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2A129DE" w14:textId="06BB63E8" w:rsidR="00B158C7" w:rsidRPr="00B158C7" w:rsidRDefault="00B158C7" w:rsidP="00B158C7">
      <w:pPr>
        <w:pStyle w:val="Heading1"/>
        <w:jc w:val="center"/>
        <w:rPr>
          <w:color w:val="000000" w:themeColor="text1"/>
          <w:sz w:val="28"/>
          <w:szCs w:val="28"/>
        </w:rPr>
      </w:pPr>
      <w:r w:rsidRPr="00B158C7">
        <w:rPr>
          <w:color w:val="000000" w:themeColor="text1"/>
          <w:sz w:val="28"/>
          <w:szCs w:val="28"/>
        </w:rPr>
        <w:t>The Prevent duty: the role of education in safeguarding</w:t>
      </w:r>
      <w:r>
        <w:rPr>
          <w:color w:val="000000" w:themeColor="text1"/>
          <w:sz w:val="28"/>
          <w:szCs w:val="28"/>
        </w:rPr>
        <w:t xml:space="preserve"> </w:t>
      </w:r>
      <w:r w:rsidRPr="00B158C7">
        <w:rPr>
          <w:color w:val="000000" w:themeColor="text1"/>
          <w:sz w:val="28"/>
          <w:szCs w:val="28"/>
        </w:rPr>
        <w:t xml:space="preserve">learners from </w:t>
      </w:r>
      <w:proofErr w:type="gramStart"/>
      <w:r w:rsidRPr="00B158C7">
        <w:rPr>
          <w:color w:val="000000" w:themeColor="text1"/>
          <w:sz w:val="28"/>
          <w:szCs w:val="28"/>
        </w:rPr>
        <w:t>radicalisation</w:t>
      </w:r>
      <w:proofErr w:type="gramEnd"/>
    </w:p>
    <w:p w14:paraId="6B5BBBBE" w14:textId="304B44F5" w:rsidR="0067514F" w:rsidRPr="00B158C7" w:rsidRDefault="00000000" w:rsidP="00B158C7">
      <w:r w:rsidRPr="00B158C7">
        <w:t>00:00:04</w:t>
      </w:r>
    </w:p>
    <w:p w14:paraId="393E611C" w14:textId="42CDCCB4" w:rsidR="0067514F" w:rsidRPr="00B158C7" w:rsidRDefault="00000000" w:rsidP="00B158C7">
      <w:r w:rsidRPr="00B158C7">
        <w:t>Just like other safeguarding risks, radicalisation is another form of harm that learners need to be protected against. Since the introduction of the Prevent Duty in 2015, the education sector has been one of the largest contributors of referrals to prevent.</w:t>
      </w:r>
    </w:p>
    <w:p w14:paraId="29203708" w14:textId="77777777" w:rsidR="0067514F" w:rsidRPr="00B158C7" w:rsidRDefault="00000000" w:rsidP="00B158C7">
      <w:r w:rsidRPr="00B158C7">
        <w:t>00:00:21</w:t>
      </w:r>
    </w:p>
    <w:p w14:paraId="53EBE8CD" w14:textId="77777777" w:rsidR="0067514F" w:rsidRPr="00B158C7" w:rsidRDefault="00000000" w:rsidP="00B158C7">
      <w:r w:rsidRPr="00B158C7">
        <w:t>This highlights how schools, further and higher education providers play a crucial role in protecting their learners from radicalisation.</w:t>
      </w:r>
    </w:p>
    <w:p w14:paraId="1C4ED179" w14:textId="77777777" w:rsidR="0067514F" w:rsidRPr="00B158C7" w:rsidRDefault="00000000" w:rsidP="00B158C7">
      <w:r w:rsidRPr="00B158C7">
        <w:t>00:00:33</w:t>
      </w:r>
    </w:p>
    <w:p w14:paraId="16C6CFFF" w14:textId="336590A4" w:rsidR="0067514F" w:rsidRPr="00B158C7" w:rsidRDefault="00000000" w:rsidP="00B158C7">
      <w:r w:rsidRPr="00B158C7">
        <w:t xml:space="preserve">The Prevent Duty guidance makes sure that education settings have the support and practical advice they need to comply with the duty.  In the guidance, you'll find an explanation of the different practices and processes you can use to effectively implement Prevent in your education setting. This includes taking a balanced and </w:t>
      </w:r>
      <w:r w:rsidR="00AB1AAB" w:rsidRPr="00B158C7">
        <w:t>risk-based</w:t>
      </w:r>
      <w:r w:rsidRPr="00B158C7">
        <w:t xml:space="preserve"> approach - making sure that when you apply Prevent you </w:t>
      </w:r>
      <w:proofErr w:type="gramStart"/>
      <w:r w:rsidRPr="00B158C7">
        <w:t>take into account</w:t>
      </w:r>
      <w:proofErr w:type="gramEnd"/>
      <w:r w:rsidRPr="00B158C7">
        <w:t xml:space="preserve"> local and national terrorism risk.</w:t>
      </w:r>
    </w:p>
    <w:p w14:paraId="64263696" w14:textId="77777777" w:rsidR="0067514F" w:rsidRPr="00B158C7" w:rsidRDefault="00000000" w:rsidP="00B158C7">
      <w:r w:rsidRPr="00B158C7">
        <w:t>00:01:02</w:t>
      </w:r>
    </w:p>
    <w:p w14:paraId="2909073D" w14:textId="77777777" w:rsidR="0067514F" w:rsidRPr="00B158C7" w:rsidRDefault="00000000" w:rsidP="00B158C7">
      <w:r w:rsidRPr="00B158C7">
        <w:t>Training - making sure relevant staff recognise signs of radicalisation and know how to respond to concerns.</w:t>
      </w:r>
    </w:p>
    <w:p w14:paraId="5A677478" w14:textId="77777777" w:rsidR="0067514F" w:rsidRPr="00B158C7" w:rsidRDefault="00000000" w:rsidP="00B158C7">
      <w:r w:rsidRPr="00B158C7">
        <w:t>00:01:10</w:t>
      </w:r>
    </w:p>
    <w:p w14:paraId="4DEBFA1B" w14:textId="77777777" w:rsidR="0067514F" w:rsidRPr="00B158C7" w:rsidRDefault="00000000" w:rsidP="00B158C7">
      <w:r w:rsidRPr="00B158C7">
        <w:t xml:space="preserve">Working in partnership - demonstrating effective and productive cooperation, </w:t>
      </w:r>
      <w:proofErr w:type="gramStart"/>
      <w:r w:rsidRPr="00B158C7">
        <w:t>in particular with</w:t>
      </w:r>
      <w:proofErr w:type="gramEnd"/>
      <w:r w:rsidRPr="00B158C7">
        <w:t xml:space="preserve"> local Prevent coordinators, the police and local authorities.</w:t>
      </w:r>
    </w:p>
    <w:p w14:paraId="70E6C7D4" w14:textId="77777777" w:rsidR="0067514F" w:rsidRPr="00B158C7" w:rsidRDefault="00000000" w:rsidP="00B158C7">
      <w:r w:rsidRPr="00B158C7">
        <w:t>00:01:21</w:t>
      </w:r>
    </w:p>
    <w:p w14:paraId="608D110A" w14:textId="7C87DC8C" w:rsidR="0067514F" w:rsidRPr="00B158C7" w:rsidRDefault="00000000" w:rsidP="00B158C7">
      <w:r w:rsidRPr="00B158C7">
        <w:t xml:space="preserve">Sharing information - using your professional judgement to take appropriate steps to share </w:t>
      </w:r>
      <w:r w:rsidR="00AB1AAB" w:rsidRPr="00B158C7">
        <w:t>information when</w:t>
      </w:r>
      <w:r w:rsidRPr="00B158C7">
        <w:t xml:space="preserve"> you have a </w:t>
      </w:r>
      <w:r w:rsidR="00AB1AAB" w:rsidRPr="00B158C7">
        <w:t>concern.</w:t>
      </w:r>
      <w:r w:rsidRPr="00B158C7">
        <w:t xml:space="preserve"> Information should be handled sensitively and be proportionate to the situation.</w:t>
      </w:r>
    </w:p>
    <w:p w14:paraId="1ED3A4BF" w14:textId="77777777" w:rsidR="0067514F" w:rsidRPr="00B158C7" w:rsidRDefault="00000000" w:rsidP="00B158C7">
      <w:r w:rsidRPr="00B158C7">
        <w:t>00:01:37</w:t>
      </w:r>
    </w:p>
    <w:p w14:paraId="3863ED62" w14:textId="77777777" w:rsidR="0067514F" w:rsidRPr="00B158C7" w:rsidRDefault="00000000" w:rsidP="00B158C7">
      <w:r w:rsidRPr="00B158C7">
        <w:t>A prevent referral is not an accusation of criminality and should not affect a person's education or career prospects.</w:t>
      </w:r>
    </w:p>
    <w:p w14:paraId="6C9692B4" w14:textId="77777777" w:rsidR="0067514F" w:rsidRPr="00B158C7" w:rsidRDefault="00000000" w:rsidP="00B158C7">
      <w:r w:rsidRPr="00B158C7">
        <w:t>00:01:44</w:t>
      </w:r>
    </w:p>
    <w:p w14:paraId="6786F5E1" w14:textId="3B08DF5B" w:rsidR="0067514F" w:rsidRPr="00B158C7" w:rsidRDefault="00000000" w:rsidP="00B158C7">
      <w:r w:rsidRPr="00B158C7">
        <w:lastRenderedPageBreak/>
        <w:t xml:space="preserve">Prevent is not about criminalising or spying on learners, targeting </w:t>
      </w:r>
      <w:proofErr w:type="gramStart"/>
      <w:r w:rsidRPr="00B158C7">
        <w:t>particular communities</w:t>
      </w:r>
      <w:proofErr w:type="gramEnd"/>
      <w:r w:rsidRPr="00B158C7">
        <w:t xml:space="preserve"> in society, or limiting lawful free speech or discussion about different beliefs and viewpoints. Prevent is about intervening early and supporting people before they act on violent </w:t>
      </w:r>
      <w:r w:rsidR="00AB1AAB" w:rsidRPr="00B158C7">
        <w:t>ideologies, building</w:t>
      </w:r>
      <w:r w:rsidRPr="00B158C7">
        <w:t xml:space="preserve"> learners resilience to extreme ideologies that promote violence and ensuring those at risk of radicalisation receive specialist support to help them challenge extreme ideologies and narratives.</w:t>
      </w:r>
    </w:p>
    <w:p w14:paraId="3F93A78F" w14:textId="77777777" w:rsidR="0067514F" w:rsidRPr="00B158C7" w:rsidRDefault="00000000" w:rsidP="00B158C7">
      <w:r w:rsidRPr="00B158C7">
        <w:t>00:02:22</w:t>
      </w:r>
    </w:p>
    <w:p w14:paraId="1E8FE53B" w14:textId="77777777" w:rsidR="0067514F" w:rsidRPr="00B158C7" w:rsidRDefault="00000000" w:rsidP="00B158C7">
      <w:r w:rsidRPr="00B158C7">
        <w:t>Don't underestimate the role that education settings can play in supporting learners to challenge extremist narratives and ideologies.</w:t>
      </w:r>
    </w:p>
    <w:p w14:paraId="1159B877" w14:textId="6DB9A9FC" w:rsidR="0067514F" w:rsidRPr="00B158C7" w:rsidRDefault="00000000" w:rsidP="00B158C7">
      <w:r w:rsidRPr="00B158C7">
        <w:t>00:02:30</w:t>
      </w:r>
    </w:p>
    <w:p w14:paraId="29382A16" w14:textId="77777777" w:rsidR="00AB1AAB" w:rsidRPr="00B158C7" w:rsidRDefault="00000000" w:rsidP="00B158C7">
      <w:r w:rsidRPr="00B158C7">
        <w:t xml:space="preserve">Prevent matters because it steers them away from harmful and criminal pathways, helping to protect both them and others. If you work in an education setting and want to know more about protecting young people from radicalisation, you can find a range of resources, tools and practical advice on Gov.uk and the Department for Education's Educate Against Hate website.  </w:t>
      </w:r>
    </w:p>
    <w:p w14:paraId="7C72CCC7" w14:textId="77777777" w:rsidR="00AB1AAB" w:rsidRPr="00B158C7" w:rsidRDefault="00AB1AAB" w:rsidP="00B158C7"/>
    <w:p w14:paraId="243414D9" w14:textId="01A56076" w:rsidR="00AB1AAB" w:rsidRPr="00B158C7" w:rsidRDefault="00000000" w:rsidP="00B158C7">
      <w:r w:rsidRPr="00B158C7">
        <w:t>www.educateagainsthate.com</w:t>
      </w:r>
    </w:p>
    <w:p w14:paraId="326C0217" w14:textId="5B26DB2A" w:rsidR="0067514F" w:rsidRPr="00B158C7" w:rsidRDefault="0067514F" w:rsidP="00B158C7"/>
    <w:sectPr w:rsidR="0067514F" w:rsidRPr="00B158C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altName w:val="Palatino Linotyp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67514F"/>
    <w:rsid w:val="0067514F"/>
    <w:rsid w:val="007C5F6B"/>
    <w:rsid w:val="00994007"/>
    <w:rsid w:val="00AB1AAB"/>
    <w:rsid w:val="00B158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8F95B"/>
  <w15:docId w15:val="{2560147E-7654-4709-96A2-5894FC767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4"/>
        <w:lang w:val="en-GB" w:eastAsia="en-GB"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contextualSpacing/>
      <w:outlineLvl w:val="0"/>
    </w:pPr>
    <w:rPr>
      <w:b/>
      <w:color w:val="138886"/>
      <w:sz w:val="55"/>
    </w:rPr>
  </w:style>
  <w:style w:type="paragraph" w:styleId="Heading2">
    <w:name w:val="heading 2"/>
    <w:basedOn w:val="Normal"/>
    <w:next w:val="Normal"/>
    <w:uiPriority w:val="9"/>
    <w:unhideWhenUsed/>
    <w:qFormat/>
    <w:pPr>
      <w:contextualSpacing/>
      <w:outlineLvl w:val="1"/>
    </w:pPr>
    <w:rPr>
      <w:color w:val="999999"/>
      <w:sz w:val="32"/>
    </w:rPr>
  </w:style>
  <w:style w:type="paragraph" w:styleId="Heading3">
    <w:name w:val="heading 3"/>
    <w:basedOn w:val="Normal"/>
    <w:next w:val="Normal"/>
    <w:uiPriority w:val="9"/>
    <w:unhideWhenUsed/>
    <w:qFormat/>
    <w:pPr>
      <w:contextualSpacing/>
      <w:outlineLvl w:val="2"/>
    </w:pPr>
    <w:rPr>
      <w:color w:val="999999"/>
    </w:rPr>
  </w:style>
  <w:style w:type="paragraph" w:styleId="Heading4">
    <w:name w:val="heading 4"/>
    <w:basedOn w:val="Normal"/>
    <w:next w:val="Normal"/>
    <w:uiPriority w:val="9"/>
    <w:unhideWhenUsed/>
    <w:qFormat/>
    <w:pPr>
      <w:contextualSpacing/>
      <w:outlineLvl w:val="3"/>
    </w:pPr>
    <w:rPr>
      <w:b/>
      <w:caps/>
      <w:color w:val="999999"/>
      <w:sz w:val="16"/>
    </w:rPr>
  </w:style>
  <w:style w:type="paragraph" w:styleId="Heading5">
    <w:name w:val="heading 5"/>
    <w:basedOn w:val="Normal"/>
    <w:next w:val="Normal"/>
    <w:uiPriority w:val="9"/>
    <w:unhideWhenUsed/>
    <w:qFormat/>
    <w:pPr>
      <w:spacing w:before="120" w:after="120"/>
      <w:contextualSpacing/>
      <w:outlineLvl w:val="4"/>
    </w:pPr>
    <w:rPr>
      <w:b/>
      <w:sz w:val="22"/>
    </w:rPr>
  </w:style>
  <w:style w:type="paragraph" w:styleId="Heading6">
    <w:name w:val="heading 6"/>
    <w:basedOn w:val="Normal"/>
    <w:next w:val="Normal"/>
    <w:uiPriority w:val="9"/>
    <w:unhideWhenUsed/>
    <w:qFormat/>
    <w:pPr>
      <w:spacing w:before="120" w:after="120"/>
      <w:contextualSpacing/>
      <w:outlineLvl w:val="5"/>
    </w:pPr>
    <w:rPr>
      <w:i/>
      <w:color w:val="666666"/>
      <w:sz w:val="22"/>
      <w:u w:val="single"/>
    </w:rPr>
  </w:style>
  <w:style w:type="paragraph" w:styleId="Heading7">
    <w:name w:val="heading 7"/>
    <w:basedOn w:val="Normal"/>
    <w:next w:val="Normal"/>
    <w:link w:val="Heading7Char"/>
    <w:uiPriority w:val="9"/>
    <w:unhideWhenUsed/>
    <w:qFormat/>
    <w:rsid w:val="00B158C7"/>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 w:type="character" w:customStyle="1" w:styleId="Heading7Char">
    <w:name w:val="Heading 7 Char"/>
    <w:basedOn w:val="DefaultParagraphFont"/>
    <w:link w:val="Heading7"/>
    <w:uiPriority w:val="9"/>
    <w:rsid w:val="00B158C7"/>
    <w:rPr>
      <w:rFonts w:asciiTheme="majorHAnsi" w:eastAsiaTheme="majorEastAsia" w:hAnsiTheme="majorHAnsi" w:cstheme="majorBidi"/>
      <w:i/>
      <w:iCs/>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991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630B2-C809-43FF-B250-447D78D17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384</Words>
  <Characters>2249</Characters>
  <Application>Microsoft Office Word</Application>
  <DocSecurity>0</DocSecurity>
  <Lines>47</Lines>
  <Paragraphs>25</Paragraphs>
  <ScaleCrop>false</ScaleCrop>
  <HeadingPairs>
    <vt:vector size="2" baseType="variant">
      <vt:variant>
        <vt:lpstr>Title</vt:lpstr>
      </vt:variant>
      <vt:variant>
        <vt:i4>1</vt:i4>
      </vt:variant>
    </vt:vector>
  </HeadingPairs>
  <TitlesOfParts>
    <vt:vector size="1" baseType="lpstr">
      <vt:lpstr>caracal.docx</vt:lpstr>
    </vt:vector>
  </TitlesOfParts>
  <Company>Edge Hill University</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cp:lastModifiedBy>Stuart Wright</cp:lastModifiedBy>
  <cp:revision>2</cp:revision>
  <dcterms:created xsi:type="dcterms:W3CDTF">2024-01-04T10:13:00Z</dcterms:created>
  <dcterms:modified xsi:type="dcterms:W3CDTF">2024-01-04T10:13:00Z</dcterms:modified>
</cp:coreProperties>
</file>