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739" w:type="pct"/>
        <w:tblInd w:w="-714" w:type="dxa"/>
        <w:tblLook w:val="04A0" w:firstRow="1" w:lastRow="0" w:firstColumn="1" w:lastColumn="0" w:noHBand="0" w:noVBand="1"/>
      </w:tblPr>
      <w:tblGrid>
        <w:gridCol w:w="3262"/>
        <w:gridCol w:w="1962"/>
        <w:gridCol w:w="1153"/>
        <w:gridCol w:w="3972"/>
      </w:tblGrid>
      <w:tr w:rsidR="00584560" w:rsidRPr="003322B3" w14:paraId="1A4E013A" w14:textId="77777777" w:rsidTr="00792808">
        <w:trPr>
          <w:cantSplit/>
          <w:tblHeader/>
        </w:trPr>
        <w:tc>
          <w:tcPr>
            <w:tcW w:w="5000" w:type="pct"/>
            <w:gridSpan w:val="4"/>
            <w:shd w:val="clear" w:color="auto" w:fill="00B0F0"/>
          </w:tcPr>
          <w:p w14:paraId="73B5A37E" w14:textId="2DD88A81" w:rsidR="00584560" w:rsidRPr="00815727" w:rsidRDefault="005C79A8" w:rsidP="0057518F">
            <w:pPr>
              <w:jc w:val="center"/>
              <w:rPr>
                <w:rFonts w:ascii="Arial" w:hAnsi="Arial" w:cs="Arial"/>
                <w:sz w:val="32"/>
                <w:szCs w:val="32"/>
              </w:rPr>
            </w:pPr>
            <w:r>
              <w:rPr>
                <w:rFonts w:ascii="Arial" w:hAnsi="Arial" w:cs="Arial"/>
                <w:sz w:val="32"/>
                <w:szCs w:val="32"/>
              </w:rPr>
              <w:t>Early Years Postgraduate</w:t>
            </w:r>
            <w:r w:rsidR="00584560" w:rsidRPr="00815727">
              <w:rPr>
                <w:rFonts w:ascii="Arial" w:hAnsi="Arial" w:cs="Arial"/>
                <w:sz w:val="32"/>
                <w:szCs w:val="32"/>
              </w:rPr>
              <w:t xml:space="preserve"> </w:t>
            </w:r>
            <w:r>
              <w:rPr>
                <w:rFonts w:ascii="Arial" w:hAnsi="Arial" w:cs="Arial"/>
                <w:sz w:val="32"/>
                <w:szCs w:val="32"/>
              </w:rPr>
              <w:t>Introductory</w:t>
            </w:r>
            <w:r w:rsidR="00584560" w:rsidRPr="00815727">
              <w:rPr>
                <w:rFonts w:ascii="Arial" w:hAnsi="Arial" w:cs="Arial"/>
                <w:sz w:val="32"/>
                <w:szCs w:val="32"/>
              </w:rPr>
              <w:t xml:space="preserve"> Placement</w:t>
            </w:r>
          </w:p>
        </w:tc>
      </w:tr>
      <w:tr w:rsidR="0061563D" w:rsidRPr="003322B3" w14:paraId="3EC04B8C" w14:textId="77777777" w:rsidTr="00792808">
        <w:tc>
          <w:tcPr>
            <w:tcW w:w="5000" w:type="pct"/>
            <w:gridSpan w:val="4"/>
            <w:shd w:val="clear" w:color="auto" w:fill="DEEAF6" w:themeFill="accent1" w:themeFillTint="33"/>
          </w:tcPr>
          <w:p w14:paraId="6521F36D" w14:textId="77777777" w:rsidR="00A84B5D" w:rsidRDefault="00A84B5D" w:rsidP="005F7422">
            <w:pPr>
              <w:jc w:val="center"/>
              <w:rPr>
                <w:rFonts w:ascii="Arial" w:hAnsi="Arial" w:cs="Arial"/>
                <w:b/>
                <w:bCs/>
                <w:sz w:val="32"/>
                <w:szCs w:val="32"/>
              </w:rPr>
            </w:pPr>
          </w:p>
          <w:p w14:paraId="0A70F978" w14:textId="3CB86D63" w:rsidR="00815727" w:rsidRDefault="00F15B10" w:rsidP="005F7422">
            <w:pPr>
              <w:jc w:val="center"/>
              <w:rPr>
                <w:rFonts w:ascii="Arial" w:hAnsi="Arial" w:cs="Arial"/>
                <w:b/>
                <w:bCs/>
                <w:sz w:val="32"/>
                <w:szCs w:val="32"/>
              </w:rPr>
            </w:pPr>
            <w:r w:rsidRPr="005F7422">
              <w:rPr>
                <w:rFonts w:ascii="Arial" w:hAnsi="Arial" w:cs="Arial"/>
                <w:b/>
                <w:bCs/>
                <w:sz w:val="32"/>
                <w:szCs w:val="32"/>
              </w:rPr>
              <w:t xml:space="preserve">Week </w:t>
            </w:r>
            <w:r w:rsidR="00792808">
              <w:rPr>
                <w:rFonts w:ascii="Arial" w:hAnsi="Arial" w:cs="Arial"/>
                <w:b/>
                <w:bCs/>
                <w:sz w:val="32"/>
                <w:szCs w:val="32"/>
              </w:rPr>
              <w:t>4</w:t>
            </w:r>
            <w:r w:rsidRPr="005F7422">
              <w:rPr>
                <w:rFonts w:ascii="Arial" w:hAnsi="Arial" w:cs="Arial"/>
                <w:b/>
                <w:bCs/>
                <w:sz w:val="32"/>
                <w:szCs w:val="32"/>
              </w:rPr>
              <w:t xml:space="preserve"> </w:t>
            </w:r>
            <w:r w:rsidR="003322B3" w:rsidRPr="005F7422">
              <w:rPr>
                <w:rFonts w:ascii="Arial" w:hAnsi="Arial" w:cs="Arial"/>
                <w:b/>
                <w:bCs/>
                <w:sz w:val="32"/>
                <w:szCs w:val="32"/>
              </w:rPr>
              <w:t>Strand Focus</w:t>
            </w:r>
            <w:r w:rsidR="0061563D" w:rsidRPr="005F7422">
              <w:rPr>
                <w:rFonts w:ascii="Arial" w:hAnsi="Arial" w:cs="Arial"/>
                <w:b/>
                <w:bCs/>
                <w:sz w:val="32"/>
                <w:szCs w:val="32"/>
              </w:rPr>
              <w:t>:</w:t>
            </w:r>
            <w:r w:rsidR="0050317F" w:rsidRPr="005F7422">
              <w:rPr>
                <w:rFonts w:ascii="Arial" w:hAnsi="Arial" w:cs="Arial"/>
                <w:b/>
                <w:bCs/>
                <w:sz w:val="32"/>
                <w:szCs w:val="32"/>
              </w:rPr>
              <w:t xml:space="preserve"> </w:t>
            </w:r>
            <w:r w:rsidR="00792808">
              <w:rPr>
                <w:rFonts w:ascii="Arial" w:hAnsi="Arial" w:cs="Arial"/>
                <w:b/>
                <w:bCs/>
                <w:sz w:val="32"/>
                <w:szCs w:val="32"/>
              </w:rPr>
              <w:t>Adaptive Teaching</w:t>
            </w:r>
          </w:p>
          <w:p w14:paraId="5854AC41" w14:textId="43AACC6B" w:rsidR="00A84B5D" w:rsidRPr="005F7422" w:rsidRDefault="00A84B5D" w:rsidP="005F7422">
            <w:pPr>
              <w:jc w:val="center"/>
              <w:rPr>
                <w:rFonts w:ascii="Arial" w:hAnsi="Arial" w:cs="Arial"/>
                <w:b/>
                <w:bCs/>
                <w:sz w:val="32"/>
                <w:szCs w:val="32"/>
              </w:rPr>
            </w:pPr>
          </w:p>
        </w:tc>
      </w:tr>
      <w:tr w:rsidR="0061563D" w:rsidRPr="003322B3" w14:paraId="58894FA4" w14:textId="77777777" w:rsidTr="00792808">
        <w:tc>
          <w:tcPr>
            <w:tcW w:w="5000" w:type="pct"/>
            <w:gridSpan w:val="4"/>
            <w:shd w:val="clear" w:color="auto" w:fill="9CC2E5" w:themeFill="accent1" w:themeFillTint="99"/>
          </w:tcPr>
          <w:p w14:paraId="6D32A237" w14:textId="5F265220" w:rsidR="0050317F" w:rsidRPr="00815727" w:rsidRDefault="00186AAD" w:rsidP="0050317F">
            <w:pPr>
              <w:jc w:val="center"/>
              <w:rPr>
                <w:rFonts w:ascii="Arial" w:hAnsi="Arial" w:cs="Arial"/>
                <w:sz w:val="24"/>
                <w:szCs w:val="24"/>
              </w:rPr>
            </w:pPr>
            <w:r w:rsidRPr="00815727">
              <w:rPr>
                <w:rFonts w:ascii="Arial" w:hAnsi="Arial" w:cs="Arial"/>
                <w:sz w:val="24"/>
                <w:szCs w:val="24"/>
              </w:rPr>
              <w:t xml:space="preserve">The ITE Curriculum is a joint venture between </w:t>
            </w:r>
            <w:r w:rsidR="00AE761A" w:rsidRPr="00815727">
              <w:rPr>
                <w:rFonts w:ascii="Arial" w:hAnsi="Arial" w:cs="Arial"/>
                <w:sz w:val="24"/>
                <w:szCs w:val="24"/>
              </w:rPr>
              <w:t>u</w:t>
            </w:r>
            <w:r w:rsidRPr="00815727">
              <w:rPr>
                <w:rFonts w:ascii="Arial" w:hAnsi="Arial" w:cs="Arial"/>
                <w:sz w:val="24"/>
                <w:szCs w:val="24"/>
              </w:rPr>
              <w:t>niversity</w:t>
            </w:r>
            <w:r w:rsidR="00AE761A" w:rsidRPr="00815727">
              <w:rPr>
                <w:rFonts w:ascii="Arial" w:hAnsi="Arial" w:cs="Arial"/>
                <w:sz w:val="24"/>
                <w:szCs w:val="24"/>
              </w:rPr>
              <w:t>-</w:t>
            </w:r>
            <w:r w:rsidRPr="00815727">
              <w:rPr>
                <w:rFonts w:ascii="Arial" w:hAnsi="Arial" w:cs="Arial"/>
                <w:sz w:val="24"/>
                <w:szCs w:val="24"/>
              </w:rPr>
              <w:t>based learning and learning through practice in schools.  Based on the Core Content Framework, please reinforce what the trainees have learned by putting this in context in schools</w:t>
            </w:r>
          </w:p>
        </w:tc>
      </w:tr>
      <w:tr w:rsidR="006B06DA" w:rsidRPr="006B06DA" w14:paraId="085E94E1" w14:textId="77777777" w:rsidTr="00792808">
        <w:tc>
          <w:tcPr>
            <w:tcW w:w="5000" w:type="pct"/>
            <w:gridSpan w:val="4"/>
            <w:shd w:val="clear" w:color="auto" w:fill="00B0F0"/>
          </w:tcPr>
          <w:p w14:paraId="5E1FE344" w14:textId="2FED2239" w:rsidR="006B06DA" w:rsidRPr="00815727" w:rsidRDefault="006B06DA" w:rsidP="0050317F">
            <w:pPr>
              <w:jc w:val="center"/>
              <w:rPr>
                <w:rFonts w:ascii="Arial" w:hAnsi="Arial" w:cs="Arial"/>
                <w:sz w:val="32"/>
                <w:szCs w:val="32"/>
              </w:rPr>
            </w:pPr>
            <w:r w:rsidRPr="00815727">
              <w:rPr>
                <w:rFonts w:ascii="Arial" w:hAnsi="Arial" w:cs="Arial"/>
                <w:sz w:val="32"/>
                <w:szCs w:val="32"/>
              </w:rPr>
              <w:t>The ITE Curriculum in University</w:t>
            </w:r>
          </w:p>
        </w:tc>
      </w:tr>
      <w:tr w:rsidR="00883166" w:rsidRPr="003322B3" w14:paraId="2A142D9A" w14:textId="77777777" w:rsidTr="00883166">
        <w:trPr>
          <w:trHeight w:val="256"/>
        </w:trPr>
        <w:tc>
          <w:tcPr>
            <w:tcW w:w="2524" w:type="pct"/>
            <w:gridSpan w:val="2"/>
            <w:shd w:val="clear" w:color="auto" w:fill="DEEAF6" w:themeFill="accent1" w:themeFillTint="33"/>
          </w:tcPr>
          <w:p w14:paraId="395F2C31" w14:textId="77777777" w:rsidR="00883166" w:rsidRPr="00883166" w:rsidRDefault="00883166" w:rsidP="00883166">
            <w:pPr>
              <w:jc w:val="center"/>
              <w:rPr>
                <w:rFonts w:ascii="Arial" w:hAnsi="Arial" w:cs="Arial"/>
                <w:i/>
                <w:iCs/>
              </w:rPr>
            </w:pPr>
            <w:r w:rsidRPr="00883166">
              <w:rPr>
                <w:rFonts w:ascii="Arial" w:hAnsi="Arial" w:cs="Arial"/>
                <w:i/>
                <w:iCs/>
              </w:rPr>
              <w:t>Learn That…</w:t>
            </w:r>
          </w:p>
          <w:p w14:paraId="7D85AF8E" w14:textId="27DF3774" w:rsidR="00883166" w:rsidRPr="00883166" w:rsidRDefault="00883166" w:rsidP="00883166">
            <w:pPr>
              <w:jc w:val="center"/>
              <w:rPr>
                <w:rFonts w:ascii="Arial" w:hAnsi="Arial" w:cs="Arial"/>
                <w:sz w:val="20"/>
                <w:szCs w:val="20"/>
              </w:rPr>
            </w:pPr>
          </w:p>
        </w:tc>
        <w:tc>
          <w:tcPr>
            <w:tcW w:w="2476" w:type="pct"/>
            <w:gridSpan w:val="2"/>
            <w:vMerge w:val="restart"/>
            <w:shd w:val="clear" w:color="auto" w:fill="FFFFFF" w:themeFill="background1"/>
          </w:tcPr>
          <w:p w14:paraId="7E38F1D6" w14:textId="148B4CA7"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 xml:space="preserve">Understanding the format and expectations of the National Curriculum </w:t>
            </w:r>
          </w:p>
          <w:p w14:paraId="11A376A7" w14:textId="103786F5" w:rsidR="00883166" w:rsidRPr="00883166" w:rsidRDefault="00883166" w:rsidP="00883166">
            <w:pPr>
              <w:pStyle w:val="paragraph"/>
              <w:spacing w:before="0" w:after="0"/>
              <w:jc w:val="center"/>
              <w:rPr>
                <w:rFonts w:ascii="Arial" w:hAnsi="Arial" w:cs="Arial"/>
                <w:sz w:val="20"/>
                <w:szCs w:val="20"/>
              </w:rPr>
            </w:pPr>
          </w:p>
        </w:tc>
      </w:tr>
      <w:tr w:rsidR="00883166" w:rsidRPr="003322B3" w14:paraId="25B42E62" w14:textId="77777777" w:rsidTr="00883166">
        <w:trPr>
          <w:trHeight w:val="1014"/>
        </w:trPr>
        <w:tc>
          <w:tcPr>
            <w:tcW w:w="2524" w:type="pct"/>
            <w:gridSpan w:val="2"/>
            <w:shd w:val="clear" w:color="auto" w:fill="FFFFFF" w:themeFill="background1"/>
          </w:tcPr>
          <w:p w14:paraId="12C6102E" w14:textId="02C91F7B" w:rsidR="00883166" w:rsidRPr="00883166" w:rsidRDefault="00883166" w:rsidP="00883166">
            <w:pPr>
              <w:jc w:val="center"/>
              <w:rPr>
                <w:rFonts w:ascii="Arial" w:hAnsi="Arial" w:cs="Arial"/>
                <w:sz w:val="20"/>
                <w:szCs w:val="20"/>
              </w:rPr>
            </w:pPr>
            <w:r w:rsidRPr="00883166">
              <w:rPr>
                <w:rFonts w:ascii="Arial" w:hAnsi="Arial" w:cs="Arial"/>
                <w:sz w:val="20"/>
                <w:szCs w:val="20"/>
              </w:rPr>
              <w:t>Key legislation and policy related to inclusion and how this informs adaptive teaching for all children in English schools promoting high expectations for outcomes for all children at different ages.</w:t>
            </w:r>
          </w:p>
        </w:tc>
        <w:tc>
          <w:tcPr>
            <w:tcW w:w="2476" w:type="pct"/>
            <w:gridSpan w:val="2"/>
            <w:vMerge/>
            <w:shd w:val="clear" w:color="auto" w:fill="FFFFFF" w:themeFill="background1"/>
          </w:tcPr>
          <w:p w14:paraId="5D1476CC" w14:textId="0241DEFF" w:rsidR="00883166" w:rsidRPr="00883166" w:rsidRDefault="00883166" w:rsidP="00883166">
            <w:pPr>
              <w:pStyle w:val="paragraph"/>
              <w:spacing w:before="0" w:beforeAutospacing="0" w:after="0" w:afterAutospacing="0"/>
              <w:jc w:val="center"/>
              <w:rPr>
                <w:rFonts w:ascii="Arial" w:hAnsi="Arial" w:cs="Arial"/>
                <w:sz w:val="20"/>
                <w:szCs w:val="20"/>
              </w:rPr>
            </w:pPr>
          </w:p>
        </w:tc>
      </w:tr>
      <w:tr w:rsidR="00A84B5D" w:rsidRPr="003322B3" w14:paraId="6FAF7789" w14:textId="77777777" w:rsidTr="00883166">
        <w:trPr>
          <w:trHeight w:val="491"/>
        </w:trPr>
        <w:tc>
          <w:tcPr>
            <w:tcW w:w="2524" w:type="pct"/>
            <w:gridSpan w:val="2"/>
            <w:shd w:val="clear" w:color="auto" w:fill="FFFFFF" w:themeFill="background1"/>
          </w:tcPr>
          <w:p w14:paraId="4659088D" w14:textId="2B0F8A59" w:rsidR="00A84B5D" w:rsidRPr="00883166" w:rsidRDefault="00883166" w:rsidP="00883166">
            <w:pPr>
              <w:jc w:val="center"/>
              <w:rPr>
                <w:rFonts w:ascii="Arial" w:eastAsiaTheme="minorEastAsia" w:hAnsi="Arial" w:cs="Arial"/>
                <w:sz w:val="20"/>
                <w:szCs w:val="20"/>
              </w:rPr>
            </w:pPr>
            <w:r w:rsidRPr="00883166">
              <w:rPr>
                <w:rFonts w:ascii="Arial" w:hAnsi="Arial" w:cs="Arial"/>
                <w:sz w:val="20"/>
                <w:szCs w:val="20"/>
              </w:rPr>
              <w:t>Legal definitions of Disability and Special Educational Needs, a range of definitions of inclusion in education including that in The Index for Inclusion</w:t>
            </w:r>
          </w:p>
        </w:tc>
        <w:tc>
          <w:tcPr>
            <w:tcW w:w="2476" w:type="pct"/>
            <w:gridSpan w:val="2"/>
            <w:shd w:val="clear" w:color="auto" w:fill="DEEAF6" w:themeFill="accent1" w:themeFillTint="33"/>
          </w:tcPr>
          <w:p w14:paraId="60A9DDD1" w14:textId="0ACCE538" w:rsidR="00A84B5D" w:rsidRPr="00883166" w:rsidRDefault="00883166" w:rsidP="00883166">
            <w:pPr>
              <w:pStyle w:val="paragraph"/>
              <w:spacing w:before="0" w:beforeAutospacing="0" w:after="0" w:afterAutospacing="0"/>
              <w:jc w:val="center"/>
              <w:rPr>
                <w:rFonts w:ascii="Arial" w:hAnsi="Arial" w:cs="Arial"/>
                <w:i/>
                <w:iCs/>
                <w:sz w:val="22"/>
                <w:szCs w:val="22"/>
              </w:rPr>
            </w:pPr>
            <w:r w:rsidRPr="00883166">
              <w:rPr>
                <w:rFonts w:ascii="Arial" w:hAnsi="Arial" w:cs="Arial"/>
                <w:i/>
                <w:iCs/>
                <w:sz w:val="22"/>
                <w:szCs w:val="22"/>
              </w:rPr>
              <w:t>Learn How…</w:t>
            </w:r>
          </w:p>
        </w:tc>
      </w:tr>
      <w:tr w:rsidR="00A84B5D" w:rsidRPr="003322B3" w14:paraId="14E53EDF" w14:textId="77777777" w:rsidTr="00883166">
        <w:trPr>
          <w:trHeight w:val="1765"/>
        </w:trPr>
        <w:tc>
          <w:tcPr>
            <w:tcW w:w="2524" w:type="pct"/>
            <w:gridSpan w:val="2"/>
            <w:shd w:val="clear" w:color="auto" w:fill="FFFFFF" w:themeFill="background1"/>
          </w:tcPr>
          <w:p w14:paraId="78C37754" w14:textId="78C96588" w:rsidR="00A84B5D" w:rsidRPr="00883166" w:rsidRDefault="00883166" w:rsidP="00883166">
            <w:pPr>
              <w:spacing w:after="160" w:line="259" w:lineRule="auto"/>
              <w:jc w:val="center"/>
              <w:rPr>
                <w:rFonts w:ascii="Arial" w:hAnsi="Arial" w:cs="Arial"/>
                <w:sz w:val="20"/>
                <w:szCs w:val="20"/>
              </w:rPr>
            </w:pPr>
            <w:r w:rsidRPr="00883166">
              <w:rPr>
                <w:rFonts w:ascii="Arial" w:hAnsi="Arial" w:cs="Arial"/>
                <w:sz w:val="20"/>
                <w:szCs w:val="20"/>
              </w:rPr>
              <w:t>The United Nations convention on the Rights of the Child, the United Nations Convention on the Rights of Disabled Persons, The Equality Act 2010, The Children and Families Act 2014 and the Special Educational Needs Code of Practice (0-25) underpin the entitlement</w:t>
            </w:r>
            <w:r w:rsidRPr="00883166">
              <w:rPr>
                <w:rFonts w:ascii="Arial" w:hAnsi="Arial" w:cs="Arial"/>
                <w:sz w:val="20"/>
                <w:szCs w:val="20"/>
              </w:rPr>
              <w:t xml:space="preserve"> </w:t>
            </w:r>
            <w:r w:rsidRPr="00883166">
              <w:rPr>
                <w:rFonts w:ascii="Arial" w:hAnsi="Arial" w:cs="Arial"/>
                <w:sz w:val="20"/>
                <w:szCs w:val="20"/>
              </w:rPr>
              <w:t>of children in schools in England to a high-quality education</w:t>
            </w:r>
          </w:p>
        </w:tc>
        <w:tc>
          <w:tcPr>
            <w:tcW w:w="2476" w:type="pct"/>
            <w:gridSpan w:val="2"/>
            <w:shd w:val="clear" w:color="auto" w:fill="FFFFFF" w:themeFill="background1"/>
          </w:tcPr>
          <w:p w14:paraId="3FF87D61" w14:textId="007145B1" w:rsidR="00883166" w:rsidRPr="00883166" w:rsidRDefault="00883166" w:rsidP="00883166">
            <w:pPr>
              <w:jc w:val="center"/>
              <w:rPr>
                <w:rFonts w:ascii="Arial" w:hAnsi="Arial" w:cs="Arial"/>
                <w:sz w:val="20"/>
                <w:szCs w:val="20"/>
              </w:rPr>
            </w:pPr>
            <w:r w:rsidRPr="00883166">
              <w:rPr>
                <w:rFonts w:ascii="Arial" w:hAnsi="Arial" w:cs="Arial"/>
                <w:sz w:val="20"/>
                <w:szCs w:val="20"/>
              </w:rPr>
              <w:t xml:space="preserve">All children have a legal and moral right to a high-quality education which values them as unique individuals and enables them to fulfil their potential academically and socially </w:t>
            </w:r>
          </w:p>
          <w:p w14:paraId="51B784BB" w14:textId="39929173" w:rsidR="00A84B5D" w:rsidRPr="00883166" w:rsidRDefault="00A84B5D" w:rsidP="00883166">
            <w:pPr>
              <w:pStyle w:val="paragraph"/>
              <w:spacing w:before="0" w:beforeAutospacing="0" w:after="0" w:afterAutospacing="0"/>
              <w:jc w:val="center"/>
              <w:rPr>
                <w:rFonts w:ascii="Arial" w:hAnsi="Arial" w:cs="Arial"/>
                <w:sz w:val="20"/>
                <w:szCs w:val="20"/>
              </w:rPr>
            </w:pPr>
          </w:p>
        </w:tc>
      </w:tr>
      <w:tr w:rsidR="00A84B5D" w:rsidRPr="003322B3" w14:paraId="60F13DEF" w14:textId="77777777" w:rsidTr="00883166">
        <w:trPr>
          <w:trHeight w:val="1424"/>
        </w:trPr>
        <w:tc>
          <w:tcPr>
            <w:tcW w:w="2524" w:type="pct"/>
            <w:gridSpan w:val="2"/>
            <w:shd w:val="clear" w:color="auto" w:fill="FFFFFF" w:themeFill="background1"/>
          </w:tcPr>
          <w:p w14:paraId="7C95B506" w14:textId="468AA3D7" w:rsidR="00A84B5D" w:rsidRPr="00883166" w:rsidRDefault="00883166" w:rsidP="00883166">
            <w:pPr>
              <w:jc w:val="center"/>
              <w:rPr>
                <w:rFonts w:ascii="Arial" w:hAnsi="Arial" w:cs="Arial"/>
                <w:sz w:val="20"/>
                <w:szCs w:val="20"/>
              </w:rPr>
            </w:pPr>
            <w:r w:rsidRPr="00883166">
              <w:rPr>
                <w:rFonts w:ascii="Arial" w:hAnsi="Arial" w:cs="Arial"/>
                <w:sz w:val="20"/>
                <w:szCs w:val="20"/>
              </w:rPr>
              <w:t>Under articles 7 and 24 of the United Nations Convention of the Rights of Persons with Disabilities, the UK Government is committed to inclusive education of disabled children and young people and the progressive removal of barriers to learning and participation in mainstream education.</w:t>
            </w:r>
          </w:p>
        </w:tc>
        <w:tc>
          <w:tcPr>
            <w:tcW w:w="2476" w:type="pct"/>
            <w:gridSpan w:val="2"/>
            <w:shd w:val="clear" w:color="auto" w:fill="FFFFFF" w:themeFill="background1"/>
          </w:tcPr>
          <w:p w14:paraId="164E9D32" w14:textId="3F0862BC" w:rsidR="00A84B5D" w:rsidRPr="00883166" w:rsidRDefault="00883166" w:rsidP="00883166">
            <w:pPr>
              <w:jc w:val="center"/>
              <w:rPr>
                <w:rFonts w:ascii="Arial" w:eastAsia="Arial" w:hAnsi="Arial" w:cs="Arial"/>
                <w:color w:val="000000"/>
                <w:sz w:val="20"/>
                <w:szCs w:val="20"/>
              </w:rPr>
            </w:pPr>
            <w:r w:rsidRPr="00883166">
              <w:rPr>
                <w:rFonts w:ascii="Arial" w:hAnsi="Arial" w:cs="Arial"/>
                <w:color w:val="000000"/>
                <w:sz w:val="20"/>
                <w:szCs w:val="20"/>
              </w:rPr>
              <w:t xml:space="preserve">Plan a lesson - Breaking down NC end points into component knowledge </w:t>
            </w:r>
          </w:p>
        </w:tc>
      </w:tr>
      <w:tr w:rsidR="00A84B5D" w:rsidRPr="003322B3" w14:paraId="6301CBFC" w14:textId="77777777" w:rsidTr="00792808">
        <w:trPr>
          <w:trHeight w:val="883"/>
        </w:trPr>
        <w:tc>
          <w:tcPr>
            <w:tcW w:w="2524" w:type="pct"/>
            <w:gridSpan w:val="2"/>
            <w:shd w:val="clear" w:color="auto" w:fill="FFFFFF" w:themeFill="background1"/>
          </w:tcPr>
          <w:p w14:paraId="1D07859B" w14:textId="77777777" w:rsidR="00883166" w:rsidRPr="00883166" w:rsidRDefault="00883166" w:rsidP="00883166">
            <w:pPr>
              <w:jc w:val="center"/>
              <w:rPr>
                <w:rFonts w:ascii="Arial" w:hAnsi="Arial" w:cs="Arial"/>
                <w:sz w:val="20"/>
                <w:szCs w:val="20"/>
              </w:rPr>
            </w:pPr>
            <w:r w:rsidRPr="00883166">
              <w:rPr>
                <w:rFonts w:ascii="Arial" w:hAnsi="Arial" w:cs="Arial"/>
                <w:sz w:val="20"/>
                <w:szCs w:val="20"/>
              </w:rPr>
              <w:t>The Children and Families Act 2014 secures the general presumption in law of mainstream education in relation to decisions about where children and young people with SEN should be educated.</w:t>
            </w:r>
          </w:p>
          <w:p w14:paraId="0E12340D" w14:textId="6674687E" w:rsidR="00A84B5D" w:rsidRPr="00883166" w:rsidRDefault="00A84B5D" w:rsidP="00883166">
            <w:pPr>
              <w:pStyle w:val="paragraph"/>
              <w:spacing w:before="0" w:beforeAutospacing="0" w:after="0" w:afterAutospacing="0"/>
              <w:jc w:val="center"/>
              <w:rPr>
                <w:rStyle w:val="normaltextrun"/>
                <w:rFonts w:ascii="Arial" w:hAnsi="Arial" w:cs="Arial"/>
                <w:color w:val="000000" w:themeColor="text1"/>
                <w:sz w:val="20"/>
                <w:szCs w:val="20"/>
              </w:rPr>
            </w:pPr>
          </w:p>
        </w:tc>
        <w:tc>
          <w:tcPr>
            <w:tcW w:w="2476" w:type="pct"/>
            <w:gridSpan w:val="2"/>
            <w:shd w:val="clear" w:color="auto" w:fill="FFFFFF" w:themeFill="background1"/>
          </w:tcPr>
          <w:p w14:paraId="38EF79FC" w14:textId="3FC090E3" w:rsidR="00883166" w:rsidRPr="00883166" w:rsidRDefault="00883166" w:rsidP="00883166">
            <w:pPr>
              <w:jc w:val="center"/>
              <w:rPr>
                <w:rFonts w:ascii="Arial" w:hAnsi="Arial" w:cs="Arial"/>
                <w:sz w:val="20"/>
                <w:szCs w:val="20"/>
              </w:rPr>
            </w:pPr>
            <w:r w:rsidRPr="00883166">
              <w:rPr>
                <w:rFonts w:ascii="Arial" w:hAnsi="Arial" w:cs="Arial"/>
                <w:sz w:val="20"/>
                <w:szCs w:val="20"/>
              </w:rPr>
              <w:t xml:space="preserve">The Special Educational Needs Code of Practice (0-25) is predicated on a graduated approach based on adaptive, high-quality teaching, </w:t>
            </w:r>
            <w:proofErr w:type="gramStart"/>
            <w:r w:rsidRPr="00883166">
              <w:rPr>
                <w:rFonts w:ascii="Arial" w:hAnsi="Arial" w:cs="Arial"/>
                <w:sz w:val="20"/>
                <w:szCs w:val="20"/>
              </w:rPr>
              <w:t>assessment</w:t>
            </w:r>
            <w:proofErr w:type="gramEnd"/>
            <w:r w:rsidRPr="00883166">
              <w:rPr>
                <w:rFonts w:ascii="Arial" w:hAnsi="Arial" w:cs="Arial"/>
                <w:sz w:val="20"/>
                <w:szCs w:val="20"/>
              </w:rPr>
              <w:t xml:space="preserve"> and evidence-based intervention. </w:t>
            </w:r>
          </w:p>
          <w:p w14:paraId="6B637EBB" w14:textId="265E66EA" w:rsidR="00A84B5D" w:rsidRPr="00883166" w:rsidRDefault="00A84B5D" w:rsidP="00883166">
            <w:pPr>
              <w:pStyle w:val="paragraph"/>
              <w:spacing w:before="0" w:beforeAutospacing="0" w:after="0" w:afterAutospacing="0"/>
              <w:jc w:val="center"/>
              <w:textAlignment w:val="baseline"/>
              <w:rPr>
                <w:rStyle w:val="normaltextrun"/>
                <w:rFonts w:ascii="Arial" w:hAnsi="Arial" w:cs="Arial"/>
                <w:sz w:val="20"/>
                <w:szCs w:val="20"/>
              </w:rPr>
            </w:pPr>
          </w:p>
        </w:tc>
      </w:tr>
      <w:tr w:rsidR="00792808" w:rsidRPr="003322B3" w14:paraId="3C635FE3" w14:textId="77777777" w:rsidTr="00883166">
        <w:trPr>
          <w:trHeight w:val="525"/>
        </w:trPr>
        <w:tc>
          <w:tcPr>
            <w:tcW w:w="2524" w:type="pct"/>
            <w:gridSpan w:val="2"/>
            <w:shd w:val="clear" w:color="auto" w:fill="FFFFFF" w:themeFill="background1"/>
          </w:tcPr>
          <w:p w14:paraId="56AB3AA3" w14:textId="4FBC39E2" w:rsidR="00792808" w:rsidRPr="00883166" w:rsidRDefault="00883166" w:rsidP="00883166">
            <w:pPr>
              <w:jc w:val="center"/>
              <w:rPr>
                <w:rFonts w:ascii="Arial" w:hAnsi="Arial" w:cs="Arial"/>
                <w:sz w:val="20"/>
                <w:szCs w:val="20"/>
              </w:rPr>
            </w:pPr>
            <w:r w:rsidRPr="00883166">
              <w:rPr>
                <w:rFonts w:ascii="Arial" w:hAnsi="Arial" w:cs="Arial"/>
                <w:sz w:val="20"/>
                <w:szCs w:val="20"/>
              </w:rPr>
              <w:t>The Equality Act 2010 provides protection from discrimination for disabled people.</w:t>
            </w:r>
          </w:p>
        </w:tc>
        <w:tc>
          <w:tcPr>
            <w:tcW w:w="2476" w:type="pct"/>
            <w:gridSpan w:val="2"/>
            <w:shd w:val="clear" w:color="auto" w:fill="FFFFFF" w:themeFill="background1"/>
          </w:tcPr>
          <w:p w14:paraId="01F558FC" w14:textId="01C93A70" w:rsidR="00792808" w:rsidRPr="00883166" w:rsidRDefault="00883166" w:rsidP="00883166">
            <w:pPr>
              <w:jc w:val="center"/>
              <w:rPr>
                <w:rFonts w:ascii="Arial" w:hAnsi="Arial" w:cs="Arial"/>
                <w:sz w:val="20"/>
                <w:szCs w:val="20"/>
              </w:rPr>
            </w:pPr>
            <w:r w:rsidRPr="00883166">
              <w:rPr>
                <w:rFonts w:ascii="Arial" w:hAnsi="Arial" w:cs="Arial"/>
                <w:sz w:val="20"/>
                <w:szCs w:val="20"/>
              </w:rPr>
              <w:t xml:space="preserve">How the graduated response outlined in the Code of Practice is implemented in schools </w:t>
            </w:r>
          </w:p>
        </w:tc>
      </w:tr>
      <w:tr w:rsidR="00792808" w:rsidRPr="003322B3" w14:paraId="6608460E" w14:textId="77777777" w:rsidTr="00883166">
        <w:trPr>
          <w:trHeight w:val="547"/>
        </w:trPr>
        <w:tc>
          <w:tcPr>
            <w:tcW w:w="2524" w:type="pct"/>
            <w:gridSpan w:val="2"/>
            <w:shd w:val="clear" w:color="auto" w:fill="FFFFFF" w:themeFill="background1"/>
          </w:tcPr>
          <w:p w14:paraId="4B6264FA" w14:textId="1FD3882C" w:rsidR="00792808" w:rsidRPr="00883166" w:rsidRDefault="00883166" w:rsidP="00883166">
            <w:pPr>
              <w:jc w:val="center"/>
              <w:rPr>
                <w:rFonts w:ascii="Arial" w:eastAsiaTheme="minorEastAsia" w:hAnsi="Arial" w:cs="Arial"/>
                <w:sz w:val="20"/>
                <w:szCs w:val="20"/>
              </w:rPr>
            </w:pPr>
            <w:r w:rsidRPr="00883166">
              <w:rPr>
                <w:rFonts w:ascii="Arial" w:hAnsi="Arial" w:cs="Arial"/>
                <w:sz w:val="20"/>
                <w:szCs w:val="20"/>
              </w:rPr>
              <w:t xml:space="preserve">Theoretical models of disability and inclusion including medical, social and </w:t>
            </w:r>
            <w:proofErr w:type="gramStart"/>
            <w:r w:rsidRPr="00883166">
              <w:rPr>
                <w:rFonts w:ascii="Arial" w:hAnsi="Arial" w:cs="Arial"/>
                <w:sz w:val="20"/>
                <w:szCs w:val="20"/>
              </w:rPr>
              <w:t>rights based</w:t>
            </w:r>
            <w:proofErr w:type="gramEnd"/>
            <w:r w:rsidRPr="00883166">
              <w:rPr>
                <w:rFonts w:ascii="Arial" w:hAnsi="Arial" w:cs="Arial"/>
                <w:sz w:val="20"/>
                <w:szCs w:val="20"/>
              </w:rPr>
              <w:t xml:space="preserve"> models.</w:t>
            </w:r>
          </w:p>
        </w:tc>
        <w:tc>
          <w:tcPr>
            <w:tcW w:w="2476" w:type="pct"/>
            <w:gridSpan w:val="2"/>
            <w:shd w:val="clear" w:color="auto" w:fill="FFFFFF" w:themeFill="background1"/>
          </w:tcPr>
          <w:p w14:paraId="18C8AFAD" w14:textId="111BBD48" w:rsidR="00792808" w:rsidRPr="00883166" w:rsidRDefault="00883166" w:rsidP="00883166">
            <w:pPr>
              <w:jc w:val="center"/>
              <w:rPr>
                <w:rFonts w:ascii="Arial" w:eastAsiaTheme="minorEastAsia" w:hAnsi="Arial" w:cs="Arial"/>
                <w:sz w:val="20"/>
                <w:szCs w:val="20"/>
              </w:rPr>
            </w:pPr>
            <w:r w:rsidRPr="00883166">
              <w:rPr>
                <w:rFonts w:ascii="Arial" w:hAnsi="Arial" w:cs="Arial"/>
                <w:sz w:val="20"/>
                <w:szCs w:val="20"/>
              </w:rPr>
              <w:t xml:space="preserve">How children with Special Educational Needs are identified in line with the Code of Practice </w:t>
            </w:r>
          </w:p>
        </w:tc>
      </w:tr>
      <w:tr w:rsidR="00792808" w:rsidRPr="003322B3" w14:paraId="0879FC11" w14:textId="77777777" w:rsidTr="00883166">
        <w:trPr>
          <w:trHeight w:val="569"/>
        </w:trPr>
        <w:tc>
          <w:tcPr>
            <w:tcW w:w="2524" w:type="pct"/>
            <w:gridSpan w:val="2"/>
            <w:shd w:val="clear" w:color="auto" w:fill="FFFFFF" w:themeFill="background1"/>
          </w:tcPr>
          <w:p w14:paraId="70A0B424" w14:textId="5D9EA0AD" w:rsidR="00792808" w:rsidRPr="00883166" w:rsidRDefault="00883166" w:rsidP="00883166">
            <w:pPr>
              <w:spacing w:after="160" w:line="259" w:lineRule="auto"/>
              <w:jc w:val="center"/>
              <w:rPr>
                <w:rFonts w:ascii="Arial" w:hAnsi="Arial" w:cs="Arial"/>
                <w:sz w:val="20"/>
                <w:szCs w:val="20"/>
              </w:rPr>
            </w:pPr>
            <w:r w:rsidRPr="00883166">
              <w:rPr>
                <w:rFonts w:ascii="Arial" w:hAnsi="Arial" w:cs="Arial"/>
                <w:sz w:val="20"/>
                <w:szCs w:val="20"/>
              </w:rPr>
              <w:t>Adaptive teaching is built on high expectations for all learners</w:t>
            </w:r>
          </w:p>
        </w:tc>
        <w:tc>
          <w:tcPr>
            <w:tcW w:w="2476" w:type="pct"/>
            <w:gridSpan w:val="2"/>
            <w:shd w:val="clear" w:color="auto" w:fill="FFFFFF" w:themeFill="background1"/>
          </w:tcPr>
          <w:p w14:paraId="602BB98B" w14:textId="1BBDDB9C" w:rsidR="00792808" w:rsidRPr="00883166" w:rsidRDefault="00883166" w:rsidP="00883166">
            <w:pPr>
              <w:jc w:val="center"/>
              <w:rPr>
                <w:rFonts w:ascii="Arial" w:hAnsi="Arial" w:cs="Arial"/>
                <w:sz w:val="20"/>
                <w:szCs w:val="20"/>
              </w:rPr>
            </w:pPr>
            <w:r w:rsidRPr="00883166">
              <w:rPr>
                <w:rFonts w:ascii="Arial" w:hAnsi="Arial" w:cs="Arial"/>
                <w:sz w:val="20"/>
                <w:szCs w:val="20"/>
              </w:rPr>
              <w:t>Key roles and responsibilities in supporting all children including in school and other agencies.</w:t>
            </w:r>
          </w:p>
        </w:tc>
      </w:tr>
      <w:tr w:rsidR="00883166" w:rsidRPr="003322B3" w14:paraId="736C1EA4" w14:textId="77777777" w:rsidTr="00883166">
        <w:trPr>
          <w:trHeight w:val="1018"/>
        </w:trPr>
        <w:tc>
          <w:tcPr>
            <w:tcW w:w="2524" w:type="pct"/>
            <w:gridSpan w:val="2"/>
            <w:shd w:val="clear" w:color="auto" w:fill="FFFFFF" w:themeFill="background1"/>
          </w:tcPr>
          <w:p w14:paraId="2312D87B" w14:textId="69DF46B6" w:rsidR="00883166" w:rsidRPr="00883166" w:rsidRDefault="00883166" w:rsidP="00883166">
            <w:pPr>
              <w:jc w:val="center"/>
              <w:rPr>
                <w:rFonts w:ascii="Arial" w:hAnsi="Arial" w:cs="Arial"/>
                <w:sz w:val="20"/>
                <w:szCs w:val="20"/>
              </w:rPr>
            </w:pPr>
            <w:r w:rsidRPr="00883166">
              <w:rPr>
                <w:rFonts w:ascii="Arial" w:hAnsi="Arial" w:cs="Arial"/>
                <w:sz w:val="20"/>
                <w:szCs w:val="20"/>
              </w:rPr>
              <w:t>Adaptive teaching, including providing targeted support, is key in removing barriers to learning and participation</w:t>
            </w:r>
          </w:p>
          <w:p w14:paraId="41954A78" w14:textId="77777777" w:rsidR="00883166" w:rsidRPr="00883166" w:rsidRDefault="00883166" w:rsidP="00883166">
            <w:pPr>
              <w:pStyle w:val="paragraph"/>
              <w:spacing w:before="0" w:beforeAutospacing="0" w:after="0" w:afterAutospacing="0"/>
              <w:jc w:val="center"/>
              <w:rPr>
                <w:rFonts w:ascii="Arial" w:hAnsi="Arial" w:cs="Arial"/>
                <w:sz w:val="20"/>
                <w:szCs w:val="20"/>
              </w:rPr>
            </w:pPr>
          </w:p>
        </w:tc>
        <w:tc>
          <w:tcPr>
            <w:tcW w:w="2476" w:type="pct"/>
            <w:gridSpan w:val="2"/>
            <w:shd w:val="clear" w:color="auto" w:fill="FFFFFF" w:themeFill="background1"/>
          </w:tcPr>
          <w:p w14:paraId="1756AE5F" w14:textId="4F2771E1" w:rsidR="00883166" w:rsidRPr="00883166" w:rsidRDefault="00883166" w:rsidP="00883166">
            <w:pPr>
              <w:jc w:val="center"/>
              <w:rPr>
                <w:rFonts w:ascii="Arial" w:eastAsiaTheme="minorEastAsia" w:hAnsi="Arial" w:cs="Arial"/>
                <w:sz w:val="20"/>
                <w:szCs w:val="20"/>
              </w:rPr>
            </w:pPr>
            <w:r w:rsidRPr="00883166">
              <w:rPr>
                <w:rFonts w:ascii="Arial" w:hAnsi="Arial" w:cs="Arial"/>
                <w:sz w:val="20"/>
                <w:szCs w:val="20"/>
              </w:rPr>
              <w:t xml:space="preserve">The importance of theoretical models of disability and inclusion including medical, social and </w:t>
            </w:r>
            <w:proofErr w:type="gramStart"/>
            <w:r w:rsidRPr="00883166">
              <w:rPr>
                <w:rFonts w:ascii="Arial" w:hAnsi="Arial" w:cs="Arial"/>
                <w:sz w:val="20"/>
                <w:szCs w:val="20"/>
              </w:rPr>
              <w:t>rights based</w:t>
            </w:r>
            <w:proofErr w:type="gramEnd"/>
            <w:r w:rsidRPr="00883166">
              <w:rPr>
                <w:rFonts w:ascii="Arial" w:hAnsi="Arial" w:cs="Arial"/>
                <w:sz w:val="20"/>
                <w:szCs w:val="20"/>
              </w:rPr>
              <w:t xml:space="preserve"> models aid the interrogation and critical analysis of teaching approaches.</w:t>
            </w:r>
          </w:p>
        </w:tc>
      </w:tr>
      <w:tr w:rsidR="00883166" w:rsidRPr="003322B3" w14:paraId="7D47EDAB" w14:textId="77777777" w:rsidTr="00883166">
        <w:trPr>
          <w:trHeight w:val="565"/>
        </w:trPr>
        <w:tc>
          <w:tcPr>
            <w:tcW w:w="2524" w:type="pct"/>
            <w:gridSpan w:val="2"/>
            <w:shd w:val="clear" w:color="auto" w:fill="FFFFFF" w:themeFill="background1"/>
          </w:tcPr>
          <w:p w14:paraId="15E07942" w14:textId="77CD4760" w:rsidR="00883166" w:rsidRPr="00883166" w:rsidRDefault="00883166" w:rsidP="00883166">
            <w:pPr>
              <w:spacing w:after="160" w:line="259" w:lineRule="auto"/>
              <w:jc w:val="center"/>
              <w:rPr>
                <w:rFonts w:ascii="Arial" w:hAnsi="Arial" w:cs="Arial"/>
                <w:sz w:val="20"/>
                <w:szCs w:val="20"/>
              </w:rPr>
            </w:pPr>
            <w:r w:rsidRPr="00883166">
              <w:rPr>
                <w:rFonts w:ascii="Arial" w:hAnsi="Arial" w:cs="Arial"/>
                <w:sz w:val="20"/>
                <w:szCs w:val="20"/>
              </w:rPr>
              <w:t xml:space="preserve">Appropriate vocabulary related to inclusion, children’s </w:t>
            </w:r>
            <w:proofErr w:type="gramStart"/>
            <w:r w:rsidRPr="00883166">
              <w:rPr>
                <w:rFonts w:ascii="Arial" w:hAnsi="Arial" w:cs="Arial"/>
                <w:sz w:val="20"/>
                <w:szCs w:val="20"/>
              </w:rPr>
              <w:t>learning</w:t>
            </w:r>
            <w:proofErr w:type="gramEnd"/>
            <w:r w:rsidRPr="00883166">
              <w:rPr>
                <w:rFonts w:ascii="Arial" w:hAnsi="Arial" w:cs="Arial"/>
                <w:sz w:val="20"/>
                <w:szCs w:val="20"/>
              </w:rPr>
              <w:t xml:space="preserve"> and adaptive teaching</w:t>
            </w:r>
          </w:p>
        </w:tc>
        <w:tc>
          <w:tcPr>
            <w:tcW w:w="2476" w:type="pct"/>
            <w:gridSpan w:val="2"/>
            <w:shd w:val="clear" w:color="auto" w:fill="FFFFFF" w:themeFill="background1"/>
          </w:tcPr>
          <w:p w14:paraId="5F98A03B" w14:textId="37489D74"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To use strategies to support pupils to retain information in the long-term memory</w:t>
            </w:r>
          </w:p>
        </w:tc>
      </w:tr>
      <w:tr w:rsidR="00883166" w:rsidRPr="003322B3" w14:paraId="0AC29EB1" w14:textId="77777777" w:rsidTr="00792808">
        <w:trPr>
          <w:trHeight w:val="883"/>
        </w:trPr>
        <w:tc>
          <w:tcPr>
            <w:tcW w:w="2524" w:type="pct"/>
            <w:gridSpan w:val="2"/>
            <w:shd w:val="clear" w:color="auto" w:fill="FFFFFF" w:themeFill="background1"/>
          </w:tcPr>
          <w:p w14:paraId="4B75AB16" w14:textId="35F5B409" w:rsidR="00883166" w:rsidRPr="00883166" w:rsidRDefault="00883166" w:rsidP="00883166">
            <w:pPr>
              <w:jc w:val="center"/>
              <w:rPr>
                <w:rFonts w:ascii="Arial" w:eastAsiaTheme="minorEastAsia" w:hAnsi="Arial" w:cs="Arial"/>
                <w:sz w:val="20"/>
                <w:szCs w:val="20"/>
              </w:rPr>
            </w:pPr>
            <w:r w:rsidRPr="00883166">
              <w:rPr>
                <w:rFonts w:ascii="Arial" w:eastAsiaTheme="minorEastAsia" w:hAnsi="Arial" w:cs="Arial"/>
                <w:sz w:val="20"/>
                <w:szCs w:val="20"/>
              </w:rPr>
              <w:t>Strategies for securing subject concepts in the long-term memory</w:t>
            </w:r>
          </w:p>
        </w:tc>
        <w:tc>
          <w:tcPr>
            <w:tcW w:w="2476" w:type="pct"/>
            <w:gridSpan w:val="2"/>
            <w:shd w:val="clear" w:color="auto" w:fill="FFFFFF" w:themeFill="background1"/>
          </w:tcPr>
          <w:p w14:paraId="7C314F78" w14:textId="2E08965C"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To use retrieval practice</w:t>
            </w:r>
          </w:p>
        </w:tc>
      </w:tr>
      <w:tr w:rsidR="00883166" w:rsidRPr="003322B3" w14:paraId="0196A9FE" w14:textId="77777777" w:rsidTr="00883166">
        <w:trPr>
          <w:trHeight w:val="70"/>
        </w:trPr>
        <w:tc>
          <w:tcPr>
            <w:tcW w:w="2524" w:type="pct"/>
            <w:gridSpan w:val="2"/>
            <w:shd w:val="clear" w:color="auto" w:fill="FFFFFF" w:themeFill="background1"/>
          </w:tcPr>
          <w:p w14:paraId="674E9596" w14:textId="1A7D2024" w:rsidR="00883166" w:rsidRPr="00883166" w:rsidRDefault="00883166" w:rsidP="00883166">
            <w:pPr>
              <w:jc w:val="center"/>
              <w:rPr>
                <w:rFonts w:ascii="Arial" w:eastAsiaTheme="minorEastAsia" w:hAnsi="Arial" w:cs="Arial"/>
                <w:sz w:val="20"/>
                <w:szCs w:val="20"/>
              </w:rPr>
            </w:pPr>
            <w:r w:rsidRPr="00883166">
              <w:rPr>
                <w:rFonts w:ascii="Arial" w:eastAsiaTheme="minorEastAsia" w:hAnsi="Arial" w:cs="Arial"/>
                <w:sz w:val="20"/>
                <w:szCs w:val="20"/>
              </w:rPr>
              <w:t>Retrieval practice assists storage of information in the long-term memory</w:t>
            </w:r>
          </w:p>
        </w:tc>
        <w:tc>
          <w:tcPr>
            <w:tcW w:w="2476" w:type="pct"/>
            <w:gridSpan w:val="2"/>
            <w:shd w:val="clear" w:color="auto" w:fill="FFFFFF" w:themeFill="background1"/>
          </w:tcPr>
          <w:p w14:paraId="4CCD788D" w14:textId="535A34FB" w:rsidR="00883166" w:rsidRPr="00883166" w:rsidRDefault="00883166" w:rsidP="00883166">
            <w:pPr>
              <w:jc w:val="center"/>
              <w:rPr>
                <w:rFonts w:ascii="Arial" w:hAnsi="Arial" w:cs="Arial"/>
                <w:sz w:val="20"/>
                <w:szCs w:val="20"/>
              </w:rPr>
            </w:pPr>
            <w:r w:rsidRPr="00883166">
              <w:rPr>
                <w:rFonts w:ascii="Arial" w:hAnsi="Arial" w:cs="Arial"/>
                <w:color w:val="000000"/>
                <w:sz w:val="20"/>
                <w:szCs w:val="20"/>
              </w:rPr>
              <w:t>To use modelling, explanations, scaffolding and fading in teaching</w:t>
            </w:r>
          </w:p>
        </w:tc>
      </w:tr>
      <w:tr w:rsidR="00883166" w:rsidRPr="003322B3" w14:paraId="686A8475" w14:textId="77777777" w:rsidTr="00883166">
        <w:trPr>
          <w:trHeight w:val="495"/>
        </w:trPr>
        <w:tc>
          <w:tcPr>
            <w:tcW w:w="2524" w:type="pct"/>
            <w:gridSpan w:val="2"/>
            <w:shd w:val="clear" w:color="auto" w:fill="FFFFFF" w:themeFill="background1"/>
          </w:tcPr>
          <w:p w14:paraId="0C0436EA" w14:textId="46AF649D"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lastRenderedPageBreak/>
              <w:t>Chunking, when planning lessons is important so as not to overload the working memory</w:t>
            </w:r>
          </w:p>
        </w:tc>
        <w:tc>
          <w:tcPr>
            <w:tcW w:w="2476" w:type="pct"/>
            <w:gridSpan w:val="2"/>
            <w:shd w:val="clear" w:color="auto" w:fill="FFFFFF" w:themeFill="background1"/>
          </w:tcPr>
          <w:p w14:paraId="7A828E54" w14:textId="6D04049D"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To use paired and group work in lessons</w:t>
            </w:r>
          </w:p>
          <w:p w14:paraId="18BB66FC" w14:textId="77777777" w:rsidR="00883166" w:rsidRPr="00883166" w:rsidRDefault="00883166" w:rsidP="00883166">
            <w:pPr>
              <w:pStyle w:val="paragraph"/>
              <w:spacing w:before="0" w:beforeAutospacing="0" w:after="0" w:afterAutospacing="0"/>
              <w:jc w:val="center"/>
              <w:textAlignment w:val="baseline"/>
              <w:rPr>
                <w:rFonts w:ascii="Arial" w:hAnsi="Arial" w:cs="Arial"/>
                <w:sz w:val="20"/>
                <w:szCs w:val="20"/>
              </w:rPr>
            </w:pPr>
          </w:p>
        </w:tc>
      </w:tr>
      <w:tr w:rsidR="00883166" w:rsidRPr="003322B3" w14:paraId="2B659B22" w14:textId="77777777" w:rsidTr="00883166">
        <w:trPr>
          <w:trHeight w:val="559"/>
        </w:trPr>
        <w:tc>
          <w:tcPr>
            <w:tcW w:w="2524" w:type="pct"/>
            <w:gridSpan w:val="2"/>
            <w:shd w:val="clear" w:color="auto" w:fill="FFFFFF" w:themeFill="background1"/>
          </w:tcPr>
          <w:p w14:paraId="49A28C64" w14:textId="4E31F9D0"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Modelling, explanations, scaffolding, fading</w:t>
            </w:r>
          </w:p>
          <w:p w14:paraId="596879D2" w14:textId="77777777" w:rsidR="00883166" w:rsidRPr="00883166" w:rsidRDefault="00883166" w:rsidP="00883166">
            <w:pPr>
              <w:pStyle w:val="paragraph"/>
              <w:spacing w:before="0" w:beforeAutospacing="0" w:after="0" w:afterAutospacing="0"/>
              <w:jc w:val="center"/>
              <w:rPr>
                <w:rFonts w:ascii="Arial" w:hAnsi="Arial" w:cs="Arial"/>
                <w:sz w:val="20"/>
                <w:szCs w:val="20"/>
              </w:rPr>
            </w:pPr>
          </w:p>
        </w:tc>
        <w:tc>
          <w:tcPr>
            <w:tcW w:w="2476" w:type="pct"/>
            <w:gridSpan w:val="2"/>
            <w:shd w:val="clear" w:color="auto" w:fill="FFFFFF" w:themeFill="background1"/>
          </w:tcPr>
          <w:p w14:paraId="18165272" w14:textId="41719375" w:rsidR="00883166" w:rsidRPr="00883166" w:rsidRDefault="00883166" w:rsidP="00883166">
            <w:pPr>
              <w:jc w:val="center"/>
              <w:rPr>
                <w:rFonts w:ascii="Arial" w:eastAsiaTheme="minorEastAsia" w:hAnsi="Arial" w:cs="Arial"/>
                <w:sz w:val="20"/>
                <w:szCs w:val="20"/>
              </w:rPr>
            </w:pPr>
            <w:r w:rsidRPr="00883166">
              <w:rPr>
                <w:rFonts w:ascii="Arial" w:hAnsi="Arial" w:cs="Arial"/>
                <w:color w:val="000000"/>
                <w:sz w:val="20"/>
                <w:szCs w:val="20"/>
              </w:rPr>
              <w:t>To use regular purposeful practice of what has previously been taught</w:t>
            </w:r>
          </w:p>
        </w:tc>
      </w:tr>
      <w:tr w:rsidR="00883166" w:rsidRPr="003322B3" w14:paraId="36A1B06F" w14:textId="77777777" w:rsidTr="00792808">
        <w:trPr>
          <w:trHeight w:val="883"/>
        </w:trPr>
        <w:tc>
          <w:tcPr>
            <w:tcW w:w="2524" w:type="pct"/>
            <w:gridSpan w:val="2"/>
            <w:shd w:val="clear" w:color="auto" w:fill="FFFFFF" w:themeFill="background1"/>
          </w:tcPr>
          <w:p w14:paraId="73FD3845" w14:textId="3D351094" w:rsidR="00883166" w:rsidRPr="00883166" w:rsidRDefault="00883166" w:rsidP="00883166">
            <w:pPr>
              <w:pStyle w:val="NoSpacing"/>
              <w:jc w:val="center"/>
              <w:rPr>
                <w:rFonts w:cs="Arial"/>
                <w:color w:val="000000"/>
                <w:sz w:val="20"/>
                <w:szCs w:val="20"/>
              </w:rPr>
            </w:pPr>
            <w:r w:rsidRPr="00883166">
              <w:rPr>
                <w:rFonts w:cs="Arial"/>
                <w:color w:val="000000"/>
                <w:sz w:val="20"/>
                <w:szCs w:val="20"/>
              </w:rPr>
              <w:t>To plan formative assessment opportunities when planning lessons and to know that good assessment helps teachers avoid being over-influenced by potentially misleading factors, such as how busy pupils appear</w:t>
            </w:r>
          </w:p>
        </w:tc>
        <w:tc>
          <w:tcPr>
            <w:tcW w:w="2476" w:type="pct"/>
            <w:gridSpan w:val="2"/>
            <w:shd w:val="clear" w:color="auto" w:fill="FFFFFF" w:themeFill="background1"/>
          </w:tcPr>
          <w:p w14:paraId="0DC00ABD" w14:textId="1A0BD817" w:rsidR="00883166" w:rsidRPr="00883166" w:rsidRDefault="00883166" w:rsidP="00883166">
            <w:pPr>
              <w:pStyle w:val="NoSpacing"/>
              <w:jc w:val="center"/>
              <w:rPr>
                <w:rFonts w:cs="Arial"/>
                <w:sz w:val="20"/>
                <w:szCs w:val="20"/>
              </w:rPr>
            </w:pPr>
            <w:r w:rsidRPr="00883166">
              <w:rPr>
                <w:rFonts w:cs="Arial"/>
                <w:sz w:val="20"/>
                <w:szCs w:val="20"/>
              </w:rPr>
              <w:t>Chunk content so as not to overload the working memory [link to lesson planning]</w:t>
            </w:r>
          </w:p>
          <w:p w14:paraId="5464B5DD" w14:textId="77777777" w:rsidR="00883166" w:rsidRPr="00883166" w:rsidRDefault="00883166" w:rsidP="00883166">
            <w:pPr>
              <w:pStyle w:val="paragraph"/>
              <w:spacing w:before="0" w:beforeAutospacing="0" w:after="0" w:afterAutospacing="0"/>
              <w:jc w:val="center"/>
              <w:textAlignment w:val="baseline"/>
              <w:rPr>
                <w:rFonts w:ascii="Arial" w:hAnsi="Arial" w:cs="Arial"/>
                <w:sz w:val="20"/>
                <w:szCs w:val="20"/>
              </w:rPr>
            </w:pPr>
          </w:p>
        </w:tc>
      </w:tr>
      <w:tr w:rsidR="00883166" w:rsidRPr="003322B3" w14:paraId="56C281C7" w14:textId="77777777" w:rsidTr="00792808">
        <w:trPr>
          <w:trHeight w:val="883"/>
        </w:trPr>
        <w:tc>
          <w:tcPr>
            <w:tcW w:w="2524" w:type="pct"/>
            <w:gridSpan w:val="2"/>
            <w:shd w:val="clear" w:color="auto" w:fill="FFFFFF" w:themeFill="background1"/>
          </w:tcPr>
          <w:p w14:paraId="03676B20" w14:textId="536DBA3A" w:rsidR="00883166" w:rsidRPr="00883166" w:rsidRDefault="00883166" w:rsidP="00883166">
            <w:pPr>
              <w:pStyle w:val="NoSpacing"/>
              <w:jc w:val="center"/>
              <w:rPr>
                <w:rFonts w:cs="Arial"/>
                <w:color w:val="000000"/>
                <w:sz w:val="20"/>
                <w:szCs w:val="20"/>
              </w:rPr>
            </w:pPr>
            <w:r w:rsidRPr="00883166">
              <w:rPr>
                <w:rFonts w:cs="Arial"/>
                <w:color w:val="000000"/>
                <w:sz w:val="20"/>
                <w:szCs w:val="20"/>
              </w:rPr>
              <w:t>The importance of explicit direct teaching in the subject</w:t>
            </w:r>
          </w:p>
          <w:p w14:paraId="73FA614C" w14:textId="77777777" w:rsidR="00883166" w:rsidRPr="00883166" w:rsidRDefault="00883166" w:rsidP="00883166">
            <w:pPr>
              <w:pStyle w:val="paragraph"/>
              <w:spacing w:before="0" w:beforeAutospacing="0" w:after="0" w:afterAutospacing="0"/>
              <w:jc w:val="center"/>
              <w:rPr>
                <w:rFonts w:ascii="Arial" w:hAnsi="Arial" w:cs="Arial"/>
                <w:sz w:val="20"/>
                <w:szCs w:val="20"/>
              </w:rPr>
            </w:pPr>
          </w:p>
        </w:tc>
        <w:tc>
          <w:tcPr>
            <w:tcW w:w="2476" w:type="pct"/>
            <w:gridSpan w:val="2"/>
            <w:shd w:val="clear" w:color="auto" w:fill="FFFFFF" w:themeFill="background1"/>
          </w:tcPr>
          <w:p w14:paraId="67738BAE" w14:textId="37C9E205"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To identify effective questions which will support pupils to learn the intended curriculum during the process of planning lessons</w:t>
            </w:r>
          </w:p>
        </w:tc>
      </w:tr>
      <w:tr w:rsidR="00883166" w:rsidRPr="003322B3" w14:paraId="47836E7A" w14:textId="77777777" w:rsidTr="00883166">
        <w:trPr>
          <w:trHeight w:val="497"/>
        </w:trPr>
        <w:tc>
          <w:tcPr>
            <w:tcW w:w="2524" w:type="pct"/>
            <w:gridSpan w:val="2"/>
            <w:shd w:val="clear" w:color="auto" w:fill="FFFFFF" w:themeFill="background1"/>
          </w:tcPr>
          <w:p w14:paraId="4A468C1A" w14:textId="71957EAC" w:rsidR="00883166" w:rsidRPr="00883166" w:rsidRDefault="00883166" w:rsidP="00883166">
            <w:pPr>
              <w:pStyle w:val="NoSpacing"/>
              <w:jc w:val="center"/>
              <w:rPr>
                <w:rFonts w:cs="Arial"/>
                <w:color w:val="000000"/>
                <w:sz w:val="20"/>
                <w:szCs w:val="20"/>
              </w:rPr>
            </w:pPr>
            <w:r w:rsidRPr="00883166">
              <w:rPr>
                <w:rFonts w:cs="Arial"/>
                <w:sz w:val="20"/>
                <w:szCs w:val="20"/>
              </w:rPr>
              <w:t>Normative and standardised assessment practices can be perpetuated problematic notions of ability/disability</w:t>
            </w:r>
          </w:p>
        </w:tc>
        <w:tc>
          <w:tcPr>
            <w:tcW w:w="2476" w:type="pct"/>
            <w:gridSpan w:val="2"/>
            <w:shd w:val="clear" w:color="auto" w:fill="FFFFFF" w:themeFill="background1"/>
          </w:tcPr>
          <w:p w14:paraId="0F799CDC" w14:textId="56F0B501" w:rsidR="00883166" w:rsidRPr="00883166" w:rsidRDefault="00883166" w:rsidP="00883166">
            <w:pPr>
              <w:jc w:val="center"/>
              <w:rPr>
                <w:rFonts w:ascii="Arial" w:hAnsi="Arial" w:cs="Arial"/>
                <w:color w:val="000000"/>
                <w:sz w:val="20"/>
                <w:szCs w:val="20"/>
              </w:rPr>
            </w:pPr>
            <w:r w:rsidRPr="00883166">
              <w:rPr>
                <w:rFonts w:ascii="Arial" w:hAnsi="Arial" w:cs="Arial"/>
                <w:color w:val="000000"/>
                <w:sz w:val="20"/>
                <w:szCs w:val="20"/>
              </w:rPr>
              <w:t>Identify opportunities to support reading development across the curriculum</w:t>
            </w:r>
          </w:p>
        </w:tc>
      </w:tr>
      <w:tr w:rsidR="006B06DA" w:rsidRPr="006B06DA" w14:paraId="75C992D8" w14:textId="77777777" w:rsidTr="00792808">
        <w:tc>
          <w:tcPr>
            <w:tcW w:w="5000" w:type="pct"/>
            <w:gridSpan w:val="4"/>
            <w:shd w:val="clear" w:color="auto" w:fill="00B0F0"/>
          </w:tcPr>
          <w:p w14:paraId="2C207F8A" w14:textId="5599DFD4" w:rsidR="006B06DA" w:rsidRPr="00815727" w:rsidRDefault="006B06DA" w:rsidP="6380ECF8">
            <w:pPr>
              <w:jc w:val="center"/>
              <w:rPr>
                <w:rFonts w:ascii="Arial" w:hAnsi="Arial" w:cs="Arial"/>
                <w:sz w:val="32"/>
                <w:szCs w:val="32"/>
              </w:rPr>
            </w:pPr>
            <w:r w:rsidRPr="00815727">
              <w:rPr>
                <w:rFonts w:ascii="Arial" w:hAnsi="Arial" w:cs="Arial"/>
                <w:sz w:val="32"/>
                <w:szCs w:val="32"/>
              </w:rPr>
              <w:t>The ITE Curriculum in school</w:t>
            </w:r>
          </w:p>
        </w:tc>
      </w:tr>
      <w:tr w:rsidR="0050317F" w:rsidRPr="003322B3" w14:paraId="5081738F" w14:textId="77777777" w:rsidTr="00792808">
        <w:tc>
          <w:tcPr>
            <w:tcW w:w="5000" w:type="pct"/>
            <w:gridSpan w:val="4"/>
            <w:shd w:val="clear" w:color="auto" w:fill="DEEAF6" w:themeFill="accent1" w:themeFillTint="33"/>
          </w:tcPr>
          <w:p w14:paraId="6CE4C271" w14:textId="48BD4E53" w:rsidR="00815727" w:rsidRPr="00792808" w:rsidRDefault="0094115A" w:rsidP="00792808">
            <w:pPr>
              <w:spacing w:line="259" w:lineRule="auto"/>
              <w:jc w:val="center"/>
              <w:rPr>
                <w:rFonts w:ascii="Arial" w:hAnsi="Arial" w:cs="Arial"/>
                <w:i/>
                <w:iCs/>
                <w:sz w:val="28"/>
                <w:szCs w:val="28"/>
              </w:rPr>
            </w:pPr>
            <w:r w:rsidRPr="00815727">
              <w:rPr>
                <w:rFonts w:ascii="Arial" w:hAnsi="Arial" w:cs="Arial"/>
                <w:i/>
                <w:iCs/>
                <w:sz w:val="28"/>
                <w:szCs w:val="28"/>
              </w:rPr>
              <w:t>Mentor</w:t>
            </w:r>
            <w:r w:rsidR="6380ECF8" w:rsidRPr="00815727">
              <w:rPr>
                <w:rFonts w:ascii="Arial" w:hAnsi="Arial" w:cs="Arial"/>
                <w:i/>
                <w:iCs/>
                <w:sz w:val="28"/>
                <w:szCs w:val="28"/>
              </w:rPr>
              <w:t xml:space="preserve"> to work on with the trainee</w:t>
            </w:r>
          </w:p>
        </w:tc>
      </w:tr>
      <w:tr w:rsidR="00792808" w:rsidRPr="003322B3" w14:paraId="6E23694D" w14:textId="77777777" w:rsidTr="00792808">
        <w:trPr>
          <w:trHeight w:val="750"/>
        </w:trPr>
        <w:tc>
          <w:tcPr>
            <w:tcW w:w="2524" w:type="pct"/>
            <w:gridSpan w:val="2"/>
            <w:shd w:val="clear" w:color="auto" w:fill="FFFFFF" w:themeFill="background1"/>
          </w:tcPr>
          <w:p w14:paraId="2373EEBA" w14:textId="4D562090" w:rsidR="00792808" w:rsidRPr="00792808" w:rsidRDefault="00792808" w:rsidP="00792808">
            <w:pPr>
              <w:pStyle w:val="paragraph"/>
              <w:spacing w:before="0" w:beforeAutospacing="0" w:after="0" w:afterAutospacing="0"/>
              <w:jc w:val="center"/>
              <w:textAlignment w:val="baseline"/>
              <w:divId w:val="1072266688"/>
              <w:rPr>
                <w:rFonts w:ascii="Arial" w:hAnsi="Arial" w:cs="Arial"/>
                <w:sz w:val="20"/>
                <w:szCs w:val="20"/>
              </w:rPr>
            </w:pPr>
            <w:r w:rsidRPr="00792808">
              <w:rPr>
                <w:rStyle w:val="normaltextrun"/>
                <w:rFonts w:ascii="Arial" w:hAnsi="Arial" w:cs="Arial"/>
                <w:color w:val="000000"/>
                <w:sz w:val="20"/>
                <w:szCs w:val="20"/>
                <w:lang w:val="en-US"/>
              </w:rPr>
              <w:t>Identify ways in which</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teachers plan for the needs of all</w:t>
            </w:r>
            <w:r w:rsidRPr="00792808">
              <w:rPr>
                <w:rStyle w:val="normaltextrun"/>
                <w:rFonts w:ascii="Arial" w:hAnsi="Arial" w:cs="Arial"/>
                <w:color w:val="000000"/>
                <w:sz w:val="20"/>
                <w:szCs w:val="20"/>
              </w:rPr>
              <w:t> </w:t>
            </w:r>
          </w:p>
          <w:p w14:paraId="01E40739" w14:textId="7C2C175D" w:rsidR="00792808" w:rsidRPr="00792808" w:rsidRDefault="00792808" w:rsidP="00792808">
            <w:pPr>
              <w:pStyle w:val="paragraph"/>
              <w:spacing w:before="0" w:beforeAutospacing="0" w:after="0" w:afterAutospacing="0"/>
              <w:jc w:val="center"/>
              <w:textAlignment w:val="baseline"/>
              <w:divId w:val="1373309432"/>
              <w:rPr>
                <w:rFonts w:ascii="Arial" w:eastAsiaTheme="minorEastAsia" w:hAnsi="Arial" w:cs="Arial"/>
                <w:color w:val="000000" w:themeColor="text1"/>
                <w:sz w:val="20"/>
                <w:szCs w:val="20"/>
              </w:rPr>
            </w:pPr>
            <w:r w:rsidRPr="00792808">
              <w:rPr>
                <w:rStyle w:val="normaltextrun"/>
                <w:rFonts w:ascii="Arial" w:hAnsi="Arial" w:cs="Arial"/>
                <w:color w:val="000000"/>
                <w:sz w:val="20"/>
                <w:szCs w:val="20"/>
                <w:lang w:val="en-US"/>
              </w:rPr>
              <w:t>learners while maintaining high</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 xml:space="preserve">expectations </w:t>
            </w:r>
          </w:p>
        </w:tc>
        <w:tc>
          <w:tcPr>
            <w:tcW w:w="2476" w:type="pct"/>
            <w:gridSpan w:val="2"/>
            <w:shd w:val="clear" w:color="auto" w:fill="FFFFFF" w:themeFill="background1"/>
          </w:tcPr>
          <w:p w14:paraId="2B228E5E" w14:textId="4D59B821" w:rsidR="00792808" w:rsidRPr="00792808" w:rsidRDefault="00792808" w:rsidP="00792808">
            <w:pPr>
              <w:pStyle w:val="paragraph"/>
              <w:spacing w:before="0" w:beforeAutospacing="0" w:after="0" w:afterAutospacing="0"/>
              <w:jc w:val="center"/>
              <w:textAlignment w:val="baseline"/>
              <w:divId w:val="2030448075"/>
              <w:rPr>
                <w:rFonts w:ascii="Arial" w:hAnsi="Arial" w:cs="Arial"/>
                <w:sz w:val="20"/>
                <w:szCs w:val="20"/>
              </w:rPr>
            </w:pPr>
            <w:r w:rsidRPr="00792808">
              <w:rPr>
                <w:rStyle w:val="normaltextrun"/>
                <w:rFonts w:ascii="Arial" w:hAnsi="Arial" w:cs="Arial"/>
                <w:color w:val="000000"/>
                <w:sz w:val="20"/>
                <w:szCs w:val="20"/>
                <w:lang w:val="en-US"/>
              </w:rPr>
              <w:t>Identify a pupil who</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needs adaptations to content, teaching approaches, representing</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their learning or the learning</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Environment.  Demonstrate what this looks like</w:t>
            </w:r>
          </w:p>
        </w:tc>
      </w:tr>
      <w:tr w:rsidR="00792808" w:rsidRPr="003322B3" w14:paraId="53BB7A04" w14:textId="77777777" w:rsidTr="00792808">
        <w:trPr>
          <w:trHeight w:val="570"/>
        </w:trPr>
        <w:tc>
          <w:tcPr>
            <w:tcW w:w="2524" w:type="pct"/>
            <w:gridSpan w:val="2"/>
            <w:shd w:val="clear" w:color="auto" w:fill="FFFFFF" w:themeFill="background1"/>
          </w:tcPr>
          <w:p w14:paraId="5AA6D2A4" w14:textId="571B86BE" w:rsidR="00792808" w:rsidRPr="00792808" w:rsidRDefault="00792808" w:rsidP="00792808">
            <w:pPr>
              <w:pStyle w:val="paragraph"/>
              <w:spacing w:before="0" w:beforeAutospacing="0" w:after="0" w:afterAutospacing="0"/>
              <w:jc w:val="center"/>
              <w:textAlignment w:val="baseline"/>
              <w:divId w:val="1793210048"/>
              <w:rPr>
                <w:rFonts w:ascii="Arial" w:hAnsi="Arial" w:cs="Arial"/>
                <w:sz w:val="20"/>
                <w:szCs w:val="20"/>
              </w:rPr>
            </w:pPr>
            <w:r w:rsidRPr="00792808">
              <w:rPr>
                <w:rStyle w:val="normaltextrun"/>
                <w:rFonts w:ascii="Arial" w:hAnsi="Arial" w:cs="Arial"/>
                <w:sz w:val="20"/>
                <w:szCs w:val="20"/>
                <w:lang w:val="en-US"/>
              </w:rPr>
              <w:t>Discuss the effectiveness and process of paired and group work</w:t>
            </w:r>
            <w:r w:rsidRPr="00792808">
              <w:rPr>
                <w:rStyle w:val="normaltextrun"/>
                <w:rFonts w:ascii="Arial" w:hAnsi="Arial" w:cs="Arial"/>
                <w:sz w:val="20"/>
                <w:szCs w:val="20"/>
              </w:rPr>
              <w:t> </w:t>
            </w:r>
          </w:p>
          <w:p w14:paraId="42A76EF3" w14:textId="50257F12" w:rsidR="00792808" w:rsidRPr="00792808" w:rsidRDefault="00792808" w:rsidP="00792808">
            <w:pPr>
              <w:pStyle w:val="paragraph"/>
              <w:spacing w:before="0" w:beforeAutospacing="0" w:after="0" w:afterAutospacing="0"/>
              <w:textAlignment w:val="baseline"/>
              <w:divId w:val="1788112704"/>
              <w:rPr>
                <w:rFonts w:ascii="Arial" w:hAnsi="Arial" w:cs="Arial"/>
                <w:sz w:val="20"/>
                <w:szCs w:val="20"/>
              </w:rPr>
            </w:pPr>
            <w:r w:rsidRPr="00792808">
              <w:rPr>
                <w:rStyle w:val="normaltextrun"/>
                <w:rFonts w:ascii="Arial" w:hAnsi="Arial" w:cs="Arial"/>
                <w:color w:val="000000"/>
                <w:sz w:val="20"/>
                <w:szCs w:val="20"/>
              </w:rPr>
              <w:t> </w:t>
            </w:r>
          </w:p>
        </w:tc>
        <w:tc>
          <w:tcPr>
            <w:tcW w:w="2476" w:type="pct"/>
            <w:gridSpan w:val="2"/>
            <w:shd w:val="clear" w:color="auto" w:fill="FFFFFF" w:themeFill="background1"/>
          </w:tcPr>
          <w:p w14:paraId="65B36956" w14:textId="52C0E928" w:rsidR="00792808" w:rsidRPr="00792808" w:rsidRDefault="00792808" w:rsidP="00792808">
            <w:pPr>
              <w:pStyle w:val="paragraph"/>
              <w:spacing w:before="0" w:beforeAutospacing="0" w:after="0" w:afterAutospacing="0"/>
              <w:jc w:val="center"/>
              <w:textAlignment w:val="baseline"/>
              <w:divId w:val="267007614"/>
              <w:rPr>
                <w:rFonts w:ascii="Arial" w:hAnsi="Arial" w:cs="Arial"/>
                <w:sz w:val="20"/>
                <w:szCs w:val="20"/>
              </w:rPr>
            </w:pPr>
            <w:r w:rsidRPr="00792808">
              <w:rPr>
                <w:rStyle w:val="normaltextrun"/>
                <w:rFonts w:ascii="Arial" w:hAnsi="Arial" w:cs="Arial"/>
                <w:color w:val="000000"/>
                <w:sz w:val="20"/>
                <w:szCs w:val="20"/>
                <w:lang w:val="en-US"/>
              </w:rPr>
              <w:t>Identify adjusting questioning as a tool to include all children in learning</w:t>
            </w:r>
          </w:p>
          <w:p w14:paraId="5ED28E86" w14:textId="05F99C1D" w:rsidR="00792808" w:rsidRPr="00792808" w:rsidRDefault="00792808" w:rsidP="00792808">
            <w:pPr>
              <w:jc w:val="center"/>
              <w:rPr>
                <w:rFonts w:ascii="Arial" w:hAnsi="Arial" w:cs="Arial"/>
                <w:sz w:val="20"/>
                <w:szCs w:val="20"/>
              </w:rPr>
            </w:pPr>
          </w:p>
        </w:tc>
      </w:tr>
      <w:tr w:rsidR="00792808" w:rsidRPr="003322B3" w14:paraId="7136916C" w14:textId="77777777" w:rsidTr="00792808">
        <w:trPr>
          <w:trHeight w:val="570"/>
        </w:trPr>
        <w:tc>
          <w:tcPr>
            <w:tcW w:w="2524" w:type="pct"/>
            <w:gridSpan w:val="2"/>
            <w:shd w:val="clear" w:color="auto" w:fill="FFFFFF" w:themeFill="background1"/>
          </w:tcPr>
          <w:p w14:paraId="19436E6D" w14:textId="56A6702B" w:rsidR="00792808" w:rsidRPr="00792808" w:rsidRDefault="00792808" w:rsidP="00792808">
            <w:pPr>
              <w:pStyle w:val="paragraph"/>
              <w:spacing w:before="0" w:beforeAutospacing="0" w:after="0" w:afterAutospacing="0"/>
              <w:jc w:val="center"/>
              <w:textAlignment w:val="baseline"/>
              <w:divId w:val="1942908988"/>
              <w:rPr>
                <w:rFonts w:ascii="Arial" w:eastAsiaTheme="minorEastAsia" w:hAnsi="Arial" w:cs="Arial"/>
                <w:sz w:val="20"/>
                <w:szCs w:val="20"/>
              </w:rPr>
            </w:pPr>
            <w:r w:rsidRPr="00792808">
              <w:rPr>
                <w:rStyle w:val="normaltextrun"/>
                <w:rFonts w:ascii="Arial" w:hAnsi="Arial" w:cs="Arial"/>
                <w:sz w:val="20"/>
                <w:szCs w:val="20"/>
                <w:lang w:val="en-US"/>
              </w:rPr>
              <w:t xml:space="preserve">Explain intentional grouping. Explain the rationale behind one of the groups in the class </w:t>
            </w:r>
          </w:p>
          <w:p w14:paraId="6366EF0A" w14:textId="4DBD8551" w:rsidR="00792808" w:rsidRPr="00792808" w:rsidRDefault="00792808" w:rsidP="00792808">
            <w:pPr>
              <w:pStyle w:val="paragraph"/>
              <w:spacing w:before="0" w:beforeAutospacing="0" w:after="0" w:afterAutospacing="0"/>
              <w:jc w:val="center"/>
              <w:textAlignment w:val="baseline"/>
              <w:divId w:val="1846700342"/>
              <w:rPr>
                <w:rFonts w:ascii="Arial" w:eastAsiaTheme="minorEastAsia" w:hAnsi="Arial" w:cs="Arial"/>
                <w:sz w:val="20"/>
                <w:szCs w:val="20"/>
              </w:rPr>
            </w:pPr>
          </w:p>
        </w:tc>
        <w:tc>
          <w:tcPr>
            <w:tcW w:w="2476" w:type="pct"/>
            <w:gridSpan w:val="2"/>
            <w:shd w:val="clear" w:color="auto" w:fill="FFFFFF" w:themeFill="background1"/>
          </w:tcPr>
          <w:p w14:paraId="7EED5082" w14:textId="3DFDB2B3" w:rsidR="00792808" w:rsidRPr="00792808" w:rsidRDefault="00792808" w:rsidP="00792808">
            <w:pPr>
              <w:pStyle w:val="paragraph"/>
              <w:spacing w:before="0" w:beforeAutospacing="0" w:after="0" w:afterAutospacing="0"/>
              <w:jc w:val="center"/>
              <w:textAlignment w:val="baseline"/>
              <w:divId w:val="1354451252"/>
              <w:rPr>
                <w:rFonts w:ascii="Arial" w:hAnsi="Arial" w:cs="Arial"/>
                <w:sz w:val="20"/>
                <w:szCs w:val="20"/>
              </w:rPr>
            </w:pPr>
            <w:r w:rsidRPr="00792808">
              <w:rPr>
                <w:rStyle w:val="normaltextrun"/>
                <w:rFonts w:ascii="Arial" w:hAnsi="Arial" w:cs="Arial"/>
                <w:color w:val="000000"/>
                <w:sz w:val="20"/>
                <w:szCs w:val="20"/>
                <w:lang w:val="en-US"/>
              </w:rPr>
              <w:t>Plan and carry out a microteach,</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deconstructing the process of</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adaptive teaching, justifying</w:t>
            </w:r>
            <w:r>
              <w:rPr>
                <w:rStyle w:val="normaltextrun"/>
                <w:rFonts w:ascii="Arial" w:hAnsi="Arial" w:cs="Arial"/>
                <w:color w:val="000000"/>
                <w:sz w:val="20"/>
                <w:szCs w:val="20"/>
                <w:lang w:val="en-US"/>
              </w:rPr>
              <w:t xml:space="preserve"> </w:t>
            </w:r>
            <w:proofErr w:type="gramStart"/>
            <w:r w:rsidRPr="00792808">
              <w:rPr>
                <w:rStyle w:val="normaltextrun"/>
                <w:rFonts w:ascii="Arial" w:hAnsi="Arial" w:cs="Arial"/>
                <w:color w:val="000000"/>
                <w:sz w:val="20"/>
                <w:szCs w:val="20"/>
                <w:lang w:val="en-US"/>
              </w:rPr>
              <w:t>approaches</w:t>
            </w:r>
            <w:proofErr w:type="gramEnd"/>
            <w:r w:rsidRPr="00792808">
              <w:rPr>
                <w:rStyle w:val="normaltextrun"/>
                <w:rFonts w:ascii="Arial" w:hAnsi="Arial" w:cs="Arial"/>
                <w:color w:val="000000"/>
                <w:sz w:val="20"/>
                <w:szCs w:val="20"/>
                <w:lang w:val="en-US"/>
              </w:rPr>
              <w:t xml:space="preserve"> and evaluating</w:t>
            </w:r>
            <w:r w:rsidRPr="00792808">
              <w:rPr>
                <w:rStyle w:val="normaltextrun"/>
                <w:rFonts w:ascii="Arial" w:hAnsi="Arial" w:cs="Arial"/>
                <w:color w:val="000000"/>
                <w:sz w:val="20"/>
                <w:szCs w:val="20"/>
              </w:rPr>
              <w:t> </w:t>
            </w:r>
            <w:r w:rsidRPr="00792808">
              <w:rPr>
                <w:rStyle w:val="normaltextrun"/>
                <w:rFonts w:ascii="Arial" w:hAnsi="Arial" w:cs="Arial"/>
                <w:color w:val="000000"/>
                <w:sz w:val="20"/>
                <w:szCs w:val="20"/>
                <w:lang w:val="en-US"/>
              </w:rPr>
              <w:t xml:space="preserve">effectiveness. </w:t>
            </w:r>
          </w:p>
        </w:tc>
      </w:tr>
      <w:tr w:rsidR="00594676" w:rsidRPr="003322B3" w14:paraId="63767C2E" w14:textId="77777777" w:rsidTr="00792808">
        <w:tc>
          <w:tcPr>
            <w:tcW w:w="5000" w:type="pct"/>
            <w:gridSpan w:val="4"/>
            <w:shd w:val="clear" w:color="auto" w:fill="00B0F0"/>
          </w:tcPr>
          <w:p w14:paraId="4B0394F6" w14:textId="4D32F74E" w:rsidR="00815727" w:rsidRPr="00815727" w:rsidRDefault="00D62D38" w:rsidP="00815727">
            <w:pPr>
              <w:pStyle w:val="NormalWeb"/>
              <w:jc w:val="center"/>
              <w:rPr>
                <w:rFonts w:ascii="Arial" w:hAnsi="Arial" w:cs="Arial"/>
                <w:color w:val="000000" w:themeColor="text1"/>
                <w:sz w:val="32"/>
                <w:szCs w:val="32"/>
              </w:rPr>
            </w:pPr>
            <w:r w:rsidRPr="00815727">
              <w:rPr>
                <w:rFonts w:ascii="Arial" w:hAnsi="Arial" w:cs="Arial"/>
                <w:color w:val="000000" w:themeColor="text1"/>
                <w:sz w:val="32"/>
                <w:szCs w:val="32"/>
              </w:rPr>
              <w:t>Composite knowledge/understanding/skills</w:t>
            </w:r>
          </w:p>
        </w:tc>
      </w:tr>
      <w:tr w:rsidR="00A84B5D" w:rsidRPr="009A134C" w14:paraId="214EC114" w14:textId="77777777" w:rsidTr="00883166">
        <w:trPr>
          <w:trHeight w:val="581"/>
        </w:trPr>
        <w:tc>
          <w:tcPr>
            <w:tcW w:w="1576" w:type="pct"/>
            <w:tcBorders>
              <w:bottom w:val="single" w:sz="4" w:space="0" w:color="auto"/>
            </w:tcBorders>
            <w:shd w:val="clear" w:color="auto" w:fill="BDD6EE" w:themeFill="accent1" w:themeFillTint="66"/>
          </w:tcPr>
          <w:p w14:paraId="4DADBEE4" w14:textId="77777777" w:rsidR="00F15B10" w:rsidRPr="002F73AD" w:rsidRDefault="00F15B10" w:rsidP="00BD75C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1505" w:type="pct"/>
            <w:gridSpan w:val="2"/>
            <w:tcBorders>
              <w:bottom w:val="single" w:sz="4" w:space="0" w:color="auto"/>
            </w:tcBorders>
            <w:shd w:val="clear" w:color="auto" w:fill="BDD6EE" w:themeFill="accent1" w:themeFillTint="66"/>
          </w:tcPr>
          <w:p w14:paraId="1D810CC4" w14:textId="77777777" w:rsidR="00F15B10" w:rsidRPr="002F73AD" w:rsidRDefault="00F15B10" w:rsidP="00BD75C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1919" w:type="pct"/>
            <w:tcBorders>
              <w:bottom w:val="single" w:sz="4" w:space="0" w:color="auto"/>
            </w:tcBorders>
            <w:shd w:val="clear" w:color="auto" w:fill="BDD6EE" w:themeFill="accent1" w:themeFillTint="66"/>
          </w:tcPr>
          <w:p w14:paraId="7AD3902B" w14:textId="77777777" w:rsidR="00F15B10" w:rsidRPr="009A134C" w:rsidRDefault="00F15B10" w:rsidP="00BD75C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r>
      <w:tr w:rsidR="00792808" w:rsidRPr="00BF64B6" w14:paraId="71CF0622" w14:textId="77777777" w:rsidTr="00883166">
        <w:trPr>
          <w:trHeight w:val="2337"/>
        </w:trPr>
        <w:tc>
          <w:tcPr>
            <w:tcW w:w="1576" w:type="pct"/>
          </w:tcPr>
          <w:p w14:paraId="531B607E" w14:textId="77777777" w:rsidR="00792808" w:rsidRPr="00792808" w:rsidRDefault="00792808" w:rsidP="00792808">
            <w:pPr>
              <w:spacing w:after="160" w:line="259" w:lineRule="auto"/>
              <w:jc w:val="center"/>
              <w:rPr>
                <w:rFonts w:ascii="Arial" w:hAnsi="Arial" w:cs="Arial"/>
                <w:sz w:val="20"/>
                <w:szCs w:val="20"/>
              </w:rPr>
            </w:pPr>
            <w:r w:rsidRPr="00792808">
              <w:rPr>
                <w:rFonts w:ascii="Arial" w:hAnsi="Arial" w:cs="Arial"/>
                <w:sz w:val="20"/>
                <w:szCs w:val="20"/>
              </w:rPr>
              <w:t>The key legislation and policies that underpin adaptive teaching and inclusive practice for all children including those with Special Educational Needs/Disability</w:t>
            </w:r>
          </w:p>
          <w:p w14:paraId="5C51AC52" w14:textId="77777777" w:rsidR="00792808" w:rsidRPr="00792808" w:rsidRDefault="00792808" w:rsidP="00792808">
            <w:pPr>
              <w:rPr>
                <w:rFonts w:ascii="Arial" w:hAnsi="Arial" w:cs="Arial"/>
                <w:sz w:val="20"/>
                <w:szCs w:val="20"/>
              </w:rPr>
            </w:pPr>
          </w:p>
        </w:tc>
        <w:tc>
          <w:tcPr>
            <w:tcW w:w="1505" w:type="pct"/>
            <w:gridSpan w:val="2"/>
          </w:tcPr>
          <w:p w14:paraId="6338CAE2" w14:textId="7CD66772" w:rsidR="00792808" w:rsidRPr="00792808" w:rsidRDefault="00792808" w:rsidP="00792808">
            <w:pPr>
              <w:spacing w:after="160" w:line="259" w:lineRule="auto"/>
              <w:jc w:val="center"/>
              <w:rPr>
                <w:rFonts w:ascii="Arial" w:hAnsi="Arial" w:cs="Arial"/>
                <w:sz w:val="20"/>
                <w:szCs w:val="20"/>
              </w:rPr>
            </w:pPr>
            <w:r w:rsidRPr="00792808">
              <w:rPr>
                <w:rFonts w:ascii="Arial" w:hAnsi="Arial" w:cs="Arial"/>
                <w:sz w:val="20"/>
                <w:szCs w:val="20"/>
              </w:rPr>
              <w:t>All children have a right to learn. Differences in learning are a valuable part of human diversity. It is the legal and moral responsibility of teachers to adapt teaching</w:t>
            </w:r>
          </w:p>
        </w:tc>
        <w:tc>
          <w:tcPr>
            <w:tcW w:w="1919" w:type="pct"/>
          </w:tcPr>
          <w:p w14:paraId="14CC202A" w14:textId="77777777" w:rsidR="00792808" w:rsidRPr="00792808" w:rsidRDefault="00792808" w:rsidP="00792808">
            <w:pPr>
              <w:spacing w:after="160" w:line="259" w:lineRule="auto"/>
              <w:jc w:val="center"/>
              <w:rPr>
                <w:rFonts w:ascii="Arial" w:hAnsi="Arial" w:cs="Arial"/>
                <w:sz w:val="20"/>
                <w:szCs w:val="20"/>
              </w:rPr>
            </w:pPr>
            <w:r w:rsidRPr="00792808">
              <w:rPr>
                <w:rFonts w:ascii="Arial" w:hAnsi="Arial" w:cs="Arial"/>
                <w:sz w:val="20"/>
                <w:szCs w:val="20"/>
              </w:rPr>
              <w:t>With support from expert practitioners, support children with a range of additional needs through adaptations to content, teaching strategies, approaches to recording and the environment</w:t>
            </w:r>
          </w:p>
          <w:p w14:paraId="29DF2D06" w14:textId="2B25A521" w:rsidR="00792808" w:rsidRPr="00792808" w:rsidRDefault="00792808" w:rsidP="00792808">
            <w:pPr>
              <w:spacing w:after="160" w:line="259" w:lineRule="auto"/>
              <w:jc w:val="center"/>
              <w:rPr>
                <w:rFonts w:ascii="Arial" w:hAnsi="Arial" w:cs="Arial"/>
                <w:sz w:val="20"/>
                <w:szCs w:val="20"/>
              </w:rPr>
            </w:pPr>
            <w:r w:rsidRPr="00792808">
              <w:rPr>
                <w:rFonts w:ascii="Arial" w:hAnsi="Arial" w:cs="Arial"/>
                <w:sz w:val="20"/>
                <w:szCs w:val="20"/>
              </w:rPr>
              <w:t>With support from expert practitioners, use the Code of Practice to identify additional guidance on supporting children with a range of needs.</w:t>
            </w:r>
          </w:p>
        </w:tc>
      </w:tr>
    </w:tbl>
    <w:p w14:paraId="171D966A" w14:textId="116977F5" w:rsidR="00584560" w:rsidRDefault="00584560" w:rsidP="00F15B10">
      <w:pPr>
        <w:rPr>
          <w:rFonts w:ascii="Arial" w:hAnsi="Arial" w:cs="Arial"/>
        </w:rPr>
      </w:pPr>
    </w:p>
    <w:p w14:paraId="162BB3A5" w14:textId="77777777" w:rsidR="00883166" w:rsidRPr="003322B3" w:rsidRDefault="00883166" w:rsidP="00F15B10">
      <w:pPr>
        <w:rPr>
          <w:rFonts w:ascii="Arial" w:hAnsi="Arial" w:cs="Arial"/>
        </w:rPr>
      </w:pPr>
    </w:p>
    <w:sectPr w:rsidR="00883166" w:rsidRPr="003322B3" w:rsidSect="00792808">
      <w:headerReference w:type="default" r:id="rId7"/>
      <w:footerReference w:type="default" r:id="rId8"/>
      <w:pgSz w:w="11906" w:h="16838"/>
      <w:pgMar w:top="0"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D0E5" w14:textId="77777777" w:rsidR="00B66586" w:rsidRDefault="00B66586">
      <w:pPr>
        <w:spacing w:after="0" w:line="240" w:lineRule="auto"/>
      </w:pPr>
      <w:r>
        <w:separator/>
      </w:r>
    </w:p>
  </w:endnote>
  <w:endnote w:type="continuationSeparator" w:id="0">
    <w:p w14:paraId="7D31760C" w14:textId="77777777" w:rsidR="00B66586" w:rsidRDefault="00B6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C73BE" w14:paraId="291C17D5" w14:textId="77777777" w:rsidTr="2DDC73BE">
      <w:tc>
        <w:tcPr>
          <w:tcW w:w="3005" w:type="dxa"/>
        </w:tcPr>
        <w:p w14:paraId="40A407F1" w14:textId="50626F74" w:rsidR="2DDC73BE" w:rsidRDefault="2DDC73BE" w:rsidP="2DDC73BE">
          <w:pPr>
            <w:pStyle w:val="Header"/>
            <w:ind w:left="-115"/>
          </w:pPr>
        </w:p>
      </w:tc>
      <w:tc>
        <w:tcPr>
          <w:tcW w:w="3005" w:type="dxa"/>
        </w:tcPr>
        <w:p w14:paraId="1607B4EF" w14:textId="2C70A839" w:rsidR="2DDC73BE" w:rsidRDefault="2DDC73BE" w:rsidP="2DDC73BE">
          <w:pPr>
            <w:pStyle w:val="Header"/>
            <w:jc w:val="center"/>
          </w:pPr>
        </w:p>
      </w:tc>
      <w:tc>
        <w:tcPr>
          <w:tcW w:w="3005" w:type="dxa"/>
        </w:tcPr>
        <w:p w14:paraId="1A5BEC13" w14:textId="1DE6CF70" w:rsidR="2DDC73BE" w:rsidRDefault="2DDC73BE" w:rsidP="2DDC73BE">
          <w:pPr>
            <w:pStyle w:val="Header"/>
            <w:ind w:right="-115"/>
            <w:jc w:val="right"/>
          </w:pPr>
        </w:p>
      </w:tc>
    </w:tr>
  </w:tbl>
  <w:p w14:paraId="27057CCB" w14:textId="79BC8204" w:rsidR="2DDC73BE" w:rsidRDefault="2DDC73BE" w:rsidP="2DDC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7550" w14:textId="77777777" w:rsidR="00B66586" w:rsidRDefault="00B66586">
      <w:pPr>
        <w:spacing w:after="0" w:line="240" w:lineRule="auto"/>
      </w:pPr>
      <w:r>
        <w:separator/>
      </w:r>
    </w:p>
  </w:footnote>
  <w:footnote w:type="continuationSeparator" w:id="0">
    <w:p w14:paraId="0CE8618F" w14:textId="77777777" w:rsidR="00B66586" w:rsidRDefault="00B6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C73BE" w14:paraId="3AD61F85" w14:textId="77777777" w:rsidTr="2DDC73BE">
      <w:tc>
        <w:tcPr>
          <w:tcW w:w="3005" w:type="dxa"/>
        </w:tcPr>
        <w:p w14:paraId="44CEF176" w14:textId="022571F9" w:rsidR="2DDC73BE" w:rsidRDefault="2DDC73BE" w:rsidP="2DDC73BE">
          <w:pPr>
            <w:pStyle w:val="Header"/>
            <w:ind w:left="-115"/>
          </w:pPr>
        </w:p>
      </w:tc>
      <w:tc>
        <w:tcPr>
          <w:tcW w:w="3005" w:type="dxa"/>
        </w:tcPr>
        <w:p w14:paraId="4CF5D03C" w14:textId="0895162A" w:rsidR="2DDC73BE" w:rsidRDefault="2DDC73BE" w:rsidP="2DDC73BE">
          <w:pPr>
            <w:pStyle w:val="Header"/>
            <w:jc w:val="center"/>
          </w:pPr>
        </w:p>
      </w:tc>
      <w:tc>
        <w:tcPr>
          <w:tcW w:w="3005" w:type="dxa"/>
        </w:tcPr>
        <w:p w14:paraId="38765B79" w14:textId="0F5AEC77" w:rsidR="2DDC73BE" w:rsidRDefault="2DDC73BE" w:rsidP="2DDC73BE">
          <w:pPr>
            <w:pStyle w:val="Header"/>
            <w:ind w:right="-115"/>
            <w:jc w:val="right"/>
          </w:pPr>
        </w:p>
      </w:tc>
    </w:tr>
  </w:tbl>
  <w:p w14:paraId="199F67F3" w14:textId="529C8B4A" w:rsidR="2DDC73BE" w:rsidRDefault="2DDC73BE" w:rsidP="2DDC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9CA"/>
    <w:multiLevelType w:val="multilevel"/>
    <w:tmpl w:val="3482D9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BE47C4"/>
    <w:multiLevelType w:val="multilevel"/>
    <w:tmpl w:val="E7E61F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2D05ED"/>
    <w:multiLevelType w:val="hybridMultilevel"/>
    <w:tmpl w:val="F6222188"/>
    <w:lvl w:ilvl="0" w:tplc="5142B218">
      <w:numFmt w:val="bullet"/>
      <w:lvlText w:val="-"/>
      <w:lvlJc w:val="left"/>
      <w:pPr>
        <w:ind w:left="720" w:hanging="360"/>
      </w:pPr>
      <w:rPr>
        <w:rFonts w:ascii="Maiandra GD" w:eastAsiaTheme="minorHAnsi" w:hAnsi="Maiandra G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907AE"/>
    <w:multiLevelType w:val="multilevel"/>
    <w:tmpl w:val="95A09D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C63D31"/>
    <w:multiLevelType w:val="multilevel"/>
    <w:tmpl w:val="69BAA3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AE55C2"/>
    <w:multiLevelType w:val="hybridMultilevel"/>
    <w:tmpl w:val="7B724A3C"/>
    <w:lvl w:ilvl="0" w:tplc="4648A55A">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242D"/>
    <w:multiLevelType w:val="hybridMultilevel"/>
    <w:tmpl w:val="03C64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234BD5"/>
    <w:multiLevelType w:val="hybridMultilevel"/>
    <w:tmpl w:val="D804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472736"/>
    <w:multiLevelType w:val="hybridMultilevel"/>
    <w:tmpl w:val="42FA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55EC1"/>
    <w:multiLevelType w:val="multilevel"/>
    <w:tmpl w:val="A8CAF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DD5333F"/>
    <w:multiLevelType w:val="multilevel"/>
    <w:tmpl w:val="5C14FC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F117ABA"/>
    <w:multiLevelType w:val="multilevel"/>
    <w:tmpl w:val="F57429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1DD540E"/>
    <w:multiLevelType w:val="multilevel"/>
    <w:tmpl w:val="6756A5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9637353"/>
    <w:multiLevelType w:val="multilevel"/>
    <w:tmpl w:val="03C877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E7610CC"/>
    <w:multiLevelType w:val="hybridMultilevel"/>
    <w:tmpl w:val="02C4716C"/>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F92014"/>
    <w:multiLevelType w:val="hybridMultilevel"/>
    <w:tmpl w:val="70841A48"/>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AD2E90"/>
    <w:multiLevelType w:val="hybridMultilevel"/>
    <w:tmpl w:val="21CA8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20E5775"/>
    <w:multiLevelType w:val="hybridMultilevel"/>
    <w:tmpl w:val="FA728E92"/>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F24E1"/>
    <w:multiLevelType w:val="hybridMultilevel"/>
    <w:tmpl w:val="EE749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A22E4E"/>
    <w:multiLevelType w:val="hybridMultilevel"/>
    <w:tmpl w:val="5E72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834DB"/>
    <w:multiLevelType w:val="hybridMultilevel"/>
    <w:tmpl w:val="0352C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6943CA"/>
    <w:multiLevelType w:val="hybridMultilevel"/>
    <w:tmpl w:val="982AFA98"/>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7202004">
    <w:abstractNumId w:val="5"/>
  </w:num>
  <w:num w:numId="2" w16cid:durableId="893272216">
    <w:abstractNumId w:val="2"/>
  </w:num>
  <w:num w:numId="3" w16cid:durableId="932055575">
    <w:abstractNumId w:val="18"/>
  </w:num>
  <w:num w:numId="4" w16cid:durableId="38631709">
    <w:abstractNumId w:val="21"/>
  </w:num>
  <w:num w:numId="5" w16cid:durableId="1081100877">
    <w:abstractNumId w:val="17"/>
  </w:num>
  <w:num w:numId="6" w16cid:durableId="2057510161">
    <w:abstractNumId w:val="14"/>
  </w:num>
  <w:num w:numId="7" w16cid:durableId="1796872898">
    <w:abstractNumId w:val="15"/>
  </w:num>
  <w:num w:numId="8" w16cid:durableId="2086758586">
    <w:abstractNumId w:val="7"/>
  </w:num>
  <w:num w:numId="9" w16cid:durableId="289409605">
    <w:abstractNumId w:val="6"/>
  </w:num>
  <w:num w:numId="10" w16cid:durableId="1034617823">
    <w:abstractNumId w:val="9"/>
  </w:num>
  <w:num w:numId="11" w16cid:durableId="1318971">
    <w:abstractNumId w:val="13"/>
  </w:num>
  <w:num w:numId="12" w16cid:durableId="592474354">
    <w:abstractNumId w:val="0"/>
  </w:num>
  <w:num w:numId="13" w16cid:durableId="592861000">
    <w:abstractNumId w:val="8"/>
  </w:num>
  <w:num w:numId="14" w16cid:durableId="588277712">
    <w:abstractNumId w:val="4"/>
  </w:num>
  <w:num w:numId="15" w16cid:durableId="1928029396">
    <w:abstractNumId w:val="19"/>
  </w:num>
  <w:num w:numId="16" w16cid:durableId="1068841482">
    <w:abstractNumId w:val="3"/>
  </w:num>
  <w:num w:numId="17" w16cid:durableId="1453790596">
    <w:abstractNumId w:val="20"/>
  </w:num>
  <w:num w:numId="18" w16cid:durableId="1040326056">
    <w:abstractNumId w:val="1"/>
  </w:num>
  <w:num w:numId="19" w16cid:durableId="350495785">
    <w:abstractNumId w:val="12"/>
  </w:num>
  <w:num w:numId="20" w16cid:durableId="426390502">
    <w:abstractNumId w:val="16"/>
  </w:num>
  <w:num w:numId="21" w16cid:durableId="1559977055">
    <w:abstractNumId w:val="11"/>
  </w:num>
  <w:num w:numId="22" w16cid:durableId="647630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3D"/>
    <w:rsid w:val="00022426"/>
    <w:rsid w:val="0008290E"/>
    <w:rsid w:val="000C0FFB"/>
    <w:rsid w:val="0010656A"/>
    <w:rsid w:val="0012605D"/>
    <w:rsid w:val="00130FFD"/>
    <w:rsid w:val="00186AAD"/>
    <w:rsid w:val="0023796D"/>
    <w:rsid w:val="002B6FE5"/>
    <w:rsid w:val="002E0A33"/>
    <w:rsid w:val="002E7386"/>
    <w:rsid w:val="003322B3"/>
    <w:rsid w:val="00370B72"/>
    <w:rsid w:val="003E0956"/>
    <w:rsid w:val="00436279"/>
    <w:rsid w:val="004721C2"/>
    <w:rsid w:val="004E49A2"/>
    <w:rsid w:val="004F02B4"/>
    <w:rsid w:val="0050317F"/>
    <w:rsid w:val="0052202A"/>
    <w:rsid w:val="0057518F"/>
    <w:rsid w:val="00584560"/>
    <w:rsid w:val="00594676"/>
    <w:rsid w:val="005B2741"/>
    <w:rsid w:val="005C79A8"/>
    <w:rsid w:val="005F7422"/>
    <w:rsid w:val="0061563D"/>
    <w:rsid w:val="0064704B"/>
    <w:rsid w:val="00681096"/>
    <w:rsid w:val="006B06DA"/>
    <w:rsid w:val="006B7A9F"/>
    <w:rsid w:val="0072128B"/>
    <w:rsid w:val="00731512"/>
    <w:rsid w:val="00755E39"/>
    <w:rsid w:val="007848AA"/>
    <w:rsid w:val="00792808"/>
    <w:rsid w:val="007C53FA"/>
    <w:rsid w:val="00815727"/>
    <w:rsid w:val="00857B60"/>
    <w:rsid w:val="00865144"/>
    <w:rsid w:val="00883166"/>
    <w:rsid w:val="008A74A5"/>
    <w:rsid w:val="008E3A8C"/>
    <w:rsid w:val="008F5BF8"/>
    <w:rsid w:val="009211C2"/>
    <w:rsid w:val="0093152D"/>
    <w:rsid w:val="0094115A"/>
    <w:rsid w:val="009B0206"/>
    <w:rsid w:val="009B1327"/>
    <w:rsid w:val="009F5A50"/>
    <w:rsid w:val="00A162F1"/>
    <w:rsid w:val="00A644F1"/>
    <w:rsid w:val="00A74A27"/>
    <w:rsid w:val="00A84B5D"/>
    <w:rsid w:val="00AE761A"/>
    <w:rsid w:val="00B342BA"/>
    <w:rsid w:val="00B66586"/>
    <w:rsid w:val="00BB3D03"/>
    <w:rsid w:val="00C20203"/>
    <w:rsid w:val="00C52341"/>
    <w:rsid w:val="00C86915"/>
    <w:rsid w:val="00CF0117"/>
    <w:rsid w:val="00D41500"/>
    <w:rsid w:val="00D62D38"/>
    <w:rsid w:val="00E16150"/>
    <w:rsid w:val="00E72CB1"/>
    <w:rsid w:val="00E77558"/>
    <w:rsid w:val="00E86F66"/>
    <w:rsid w:val="00E95EC3"/>
    <w:rsid w:val="00F15B10"/>
    <w:rsid w:val="00FD6755"/>
    <w:rsid w:val="0A920E5D"/>
    <w:rsid w:val="19D5F9D6"/>
    <w:rsid w:val="2DDC73BE"/>
    <w:rsid w:val="6380E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E293"/>
  <w15:chartTrackingRefBased/>
  <w15:docId w15:val="{EE90D3BF-F481-44EC-A172-CF2D84E5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63D"/>
    <w:pPr>
      <w:ind w:left="720"/>
      <w:contextualSpacing/>
    </w:pPr>
  </w:style>
  <w:style w:type="paragraph" w:styleId="NormalWeb">
    <w:name w:val="Normal (Web)"/>
    <w:basedOn w:val="Normal"/>
    <w:uiPriority w:val="99"/>
    <w:unhideWhenUsed/>
    <w:rsid w:val="006156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1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63D"/>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xmsonormal">
    <w:name w:val="x_xmsonormal"/>
    <w:basedOn w:val="Normal"/>
    <w:rsid w:val="0012605D"/>
    <w:pPr>
      <w:spacing w:after="0" w:line="240" w:lineRule="auto"/>
    </w:pPr>
    <w:rPr>
      <w:rFonts w:ascii="Calibri" w:hAnsi="Calibri" w:cs="Calibri"/>
      <w:lang w:eastAsia="en-GB"/>
    </w:rPr>
  </w:style>
  <w:style w:type="paragraph" w:customStyle="1" w:styleId="paragraph">
    <w:name w:val="paragraph"/>
    <w:basedOn w:val="Normal"/>
    <w:rsid w:val="00584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560"/>
  </w:style>
  <w:style w:type="character" w:customStyle="1" w:styleId="eop">
    <w:name w:val="eop"/>
    <w:basedOn w:val="DefaultParagraphFont"/>
    <w:rsid w:val="00584560"/>
  </w:style>
  <w:style w:type="paragraph" w:styleId="NoSpacing">
    <w:name w:val="No Spacing"/>
    <w:uiPriority w:val="1"/>
    <w:qFormat/>
    <w:rsid w:val="0088316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9136">
      <w:bodyDiv w:val="1"/>
      <w:marLeft w:val="0"/>
      <w:marRight w:val="0"/>
      <w:marTop w:val="0"/>
      <w:marBottom w:val="0"/>
      <w:divBdr>
        <w:top w:val="none" w:sz="0" w:space="0" w:color="auto"/>
        <w:left w:val="none" w:sz="0" w:space="0" w:color="auto"/>
        <w:bottom w:val="none" w:sz="0" w:space="0" w:color="auto"/>
        <w:right w:val="none" w:sz="0" w:space="0" w:color="auto"/>
      </w:divBdr>
      <w:divsChild>
        <w:div w:id="1660186802">
          <w:marLeft w:val="0"/>
          <w:marRight w:val="0"/>
          <w:marTop w:val="0"/>
          <w:marBottom w:val="0"/>
          <w:divBdr>
            <w:top w:val="none" w:sz="0" w:space="0" w:color="auto"/>
            <w:left w:val="none" w:sz="0" w:space="0" w:color="auto"/>
            <w:bottom w:val="none" w:sz="0" w:space="0" w:color="auto"/>
            <w:right w:val="none" w:sz="0" w:space="0" w:color="auto"/>
          </w:divBdr>
          <w:divsChild>
            <w:div w:id="13286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1031">
      <w:bodyDiv w:val="1"/>
      <w:marLeft w:val="0"/>
      <w:marRight w:val="0"/>
      <w:marTop w:val="0"/>
      <w:marBottom w:val="0"/>
      <w:divBdr>
        <w:top w:val="none" w:sz="0" w:space="0" w:color="auto"/>
        <w:left w:val="none" w:sz="0" w:space="0" w:color="auto"/>
        <w:bottom w:val="none" w:sz="0" w:space="0" w:color="auto"/>
        <w:right w:val="none" w:sz="0" w:space="0" w:color="auto"/>
      </w:divBdr>
      <w:divsChild>
        <w:div w:id="420294896">
          <w:marLeft w:val="0"/>
          <w:marRight w:val="0"/>
          <w:marTop w:val="0"/>
          <w:marBottom w:val="0"/>
          <w:divBdr>
            <w:top w:val="none" w:sz="0" w:space="0" w:color="auto"/>
            <w:left w:val="none" w:sz="0" w:space="0" w:color="auto"/>
            <w:bottom w:val="none" w:sz="0" w:space="0" w:color="auto"/>
            <w:right w:val="none" w:sz="0" w:space="0" w:color="auto"/>
          </w:divBdr>
          <w:divsChild>
            <w:div w:id="2022778221">
              <w:marLeft w:val="0"/>
              <w:marRight w:val="0"/>
              <w:marTop w:val="0"/>
              <w:marBottom w:val="0"/>
              <w:divBdr>
                <w:top w:val="none" w:sz="0" w:space="0" w:color="auto"/>
                <w:left w:val="none" w:sz="0" w:space="0" w:color="auto"/>
                <w:bottom w:val="none" w:sz="0" w:space="0" w:color="auto"/>
                <w:right w:val="none" w:sz="0" w:space="0" w:color="auto"/>
              </w:divBdr>
              <w:divsChild>
                <w:div w:id="190648353">
                  <w:marLeft w:val="0"/>
                  <w:marRight w:val="0"/>
                  <w:marTop w:val="0"/>
                  <w:marBottom w:val="0"/>
                  <w:divBdr>
                    <w:top w:val="none" w:sz="0" w:space="0" w:color="auto"/>
                    <w:left w:val="none" w:sz="0" w:space="0" w:color="auto"/>
                    <w:bottom w:val="none" w:sz="0" w:space="0" w:color="auto"/>
                    <w:right w:val="none" w:sz="0" w:space="0" w:color="auto"/>
                  </w:divBdr>
                  <w:divsChild>
                    <w:div w:id="1809207732">
                      <w:marLeft w:val="0"/>
                      <w:marRight w:val="0"/>
                      <w:marTop w:val="0"/>
                      <w:marBottom w:val="0"/>
                      <w:divBdr>
                        <w:top w:val="none" w:sz="0" w:space="0" w:color="auto"/>
                        <w:left w:val="none" w:sz="0" w:space="0" w:color="auto"/>
                        <w:bottom w:val="none" w:sz="0" w:space="0" w:color="auto"/>
                        <w:right w:val="none" w:sz="0" w:space="0" w:color="auto"/>
                      </w:divBdr>
                      <w:divsChild>
                        <w:div w:id="1788112704">
                          <w:marLeft w:val="0"/>
                          <w:marRight w:val="0"/>
                          <w:marTop w:val="0"/>
                          <w:marBottom w:val="0"/>
                          <w:divBdr>
                            <w:top w:val="none" w:sz="0" w:space="0" w:color="auto"/>
                            <w:left w:val="none" w:sz="0" w:space="0" w:color="auto"/>
                            <w:bottom w:val="none" w:sz="0" w:space="0" w:color="auto"/>
                            <w:right w:val="none" w:sz="0" w:space="0" w:color="auto"/>
                          </w:divBdr>
                        </w:div>
                        <w:div w:id="1901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9406">
                  <w:marLeft w:val="0"/>
                  <w:marRight w:val="0"/>
                  <w:marTop w:val="0"/>
                  <w:marBottom w:val="0"/>
                  <w:divBdr>
                    <w:top w:val="none" w:sz="0" w:space="0" w:color="auto"/>
                    <w:left w:val="none" w:sz="0" w:space="0" w:color="auto"/>
                    <w:bottom w:val="none" w:sz="0" w:space="0" w:color="auto"/>
                    <w:right w:val="none" w:sz="0" w:space="0" w:color="auto"/>
                  </w:divBdr>
                  <w:divsChild>
                    <w:div w:id="1523124214">
                      <w:marLeft w:val="0"/>
                      <w:marRight w:val="0"/>
                      <w:marTop w:val="0"/>
                      <w:marBottom w:val="0"/>
                      <w:divBdr>
                        <w:top w:val="none" w:sz="0" w:space="0" w:color="auto"/>
                        <w:left w:val="none" w:sz="0" w:space="0" w:color="auto"/>
                        <w:bottom w:val="none" w:sz="0" w:space="0" w:color="auto"/>
                        <w:right w:val="none" w:sz="0" w:space="0" w:color="auto"/>
                      </w:divBdr>
                      <w:divsChild>
                        <w:div w:id="18437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5993">
                  <w:marLeft w:val="0"/>
                  <w:marRight w:val="0"/>
                  <w:marTop w:val="0"/>
                  <w:marBottom w:val="0"/>
                  <w:divBdr>
                    <w:top w:val="none" w:sz="0" w:space="0" w:color="auto"/>
                    <w:left w:val="none" w:sz="0" w:space="0" w:color="auto"/>
                    <w:bottom w:val="none" w:sz="0" w:space="0" w:color="auto"/>
                    <w:right w:val="none" w:sz="0" w:space="0" w:color="auto"/>
                  </w:divBdr>
                  <w:divsChild>
                    <w:div w:id="1800762889">
                      <w:marLeft w:val="0"/>
                      <w:marRight w:val="0"/>
                      <w:marTop w:val="0"/>
                      <w:marBottom w:val="0"/>
                      <w:divBdr>
                        <w:top w:val="none" w:sz="0" w:space="0" w:color="auto"/>
                        <w:left w:val="none" w:sz="0" w:space="0" w:color="auto"/>
                        <w:bottom w:val="none" w:sz="0" w:space="0" w:color="auto"/>
                        <w:right w:val="none" w:sz="0" w:space="0" w:color="auto"/>
                      </w:divBdr>
                      <w:divsChild>
                        <w:div w:id="684746477">
                          <w:marLeft w:val="0"/>
                          <w:marRight w:val="0"/>
                          <w:marTop w:val="0"/>
                          <w:marBottom w:val="0"/>
                          <w:divBdr>
                            <w:top w:val="none" w:sz="0" w:space="0" w:color="auto"/>
                            <w:left w:val="none" w:sz="0" w:space="0" w:color="auto"/>
                            <w:bottom w:val="none" w:sz="0" w:space="0" w:color="auto"/>
                            <w:right w:val="none" w:sz="0" w:space="0" w:color="auto"/>
                          </w:divBdr>
                        </w:div>
                        <w:div w:id="1072266688">
                          <w:marLeft w:val="0"/>
                          <w:marRight w:val="0"/>
                          <w:marTop w:val="0"/>
                          <w:marBottom w:val="0"/>
                          <w:divBdr>
                            <w:top w:val="none" w:sz="0" w:space="0" w:color="auto"/>
                            <w:left w:val="none" w:sz="0" w:space="0" w:color="auto"/>
                            <w:bottom w:val="none" w:sz="0" w:space="0" w:color="auto"/>
                            <w:right w:val="none" w:sz="0" w:space="0" w:color="auto"/>
                          </w:divBdr>
                        </w:div>
                        <w:div w:id="1373309432">
                          <w:marLeft w:val="0"/>
                          <w:marRight w:val="0"/>
                          <w:marTop w:val="0"/>
                          <w:marBottom w:val="0"/>
                          <w:divBdr>
                            <w:top w:val="none" w:sz="0" w:space="0" w:color="auto"/>
                            <w:left w:val="none" w:sz="0" w:space="0" w:color="auto"/>
                            <w:bottom w:val="none" w:sz="0" w:space="0" w:color="auto"/>
                            <w:right w:val="none" w:sz="0" w:space="0" w:color="auto"/>
                          </w:divBdr>
                        </w:div>
                      </w:divsChild>
                    </w:div>
                    <w:div w:id="911618011">
                      <w:marLeft w:val="0"/>
                      <w:marRight w:val="0"/>
                      <w:marTop w:val="0"/>
                      <w:marBottom w:val="0"/>
                      <w:divBdr>
                        <w:top w:val="none" w:sz="0" w:space="0" w:color="auto"/>
                        <w:left w:val="none" w:sz="0" w:space="0" w:color="auto"/>
                        <w:bottom w:val="none" w:sz="0" w:space="0" w:color="auto"/>
                        <w:right w:val="none" w:sz="0" w:space="0" w:color="auto"/>
                      </w:divBdr>
                      <w:divsChild>
                        <w:div w:id="1793210048">
                          <w:marLeft w:val="0"/>
                          <w:marRight w:val="0"/>
                          <w:marTop w:val="0"/>
                          <w:marBottom w:val="0"/>
                          <w:divBdr>
                            <w:top w:val="none" w:sz="0" w:space="0" w:color="auto"/>
                            <w:left w:val="none" w:sz="0" w:space="0" w:color="auto"/>
                            <w:bottom w:val="none" w:sz="0" w:space="0" w:color="auto"/>
                            <w:right w:val="none" w:sz="0" w:space="0" w:color="auto"/>
                          </w:divBdr>
                        </w:div>
                        <w:div w:id="2045716159">
                          <w:marLeft w:val="0"/>
                          <w:marRight w:val="0"/>
                          <w:marTop w:val="0"/>
                          <w:marBottom w:val="0"/>
                          <w:divBdr>
                            <w:top w:val="none" w:sz="0" w:space="0" w:color="auto"/>
                            <w:left w:val="none" w:sz="0" w:space="0" w:color="auto"/>
                            <w:bottom w:val="none" w:sz="0" w:space="0" w:color="auto"/>
                            <w:right w:val="none" w:sz="0" w:space="0" w:color="auto"/>
                          </w:divBdr>
                        </w:div>
                      </w:divsChild>
                    </w:div>
                    <w:div w:id="755828211">
                      <w:marLeft w:val="0"/>
                      <w:marRight w:val="0"/>
                      <w:marTop w:val="0"/>
                      <w:marBottom w:val="0"/>
                      <w:divBdr>
                        <w:top w:val="none" w:sz="0" w:space="0" w:color="auto"/>
                        <w:left w:val="none" w:sz="0" w:space="0" w:color="auto"/>
                        <w:bottom w:val="none" w:sz="0" w:space="0" w:color="auto"/>
                        <w:right w:val="none" w:sz="0" w:space="0" w:color="auto"/>
                      </w:divBdr>
                      <w:divsChild>
                        <w:div w:id="1942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6551">
          <w:marLeft w:val="0"/>
          <w:marRight w:val="0"/>
          <w:marTop w:val="0"/>
          <w:marBottom w:val="0"/>
          <w:divBdr>
            <w:top w:val="none" w:sz="0" w:space="0" w:color="auto"/>
            <w:left w:val="none" w:sz="0" w:space="0" w:color="auto"/>
            <w:bottom w:val="none" w:sz="0" w:space="0" w:color="auto"/>
            <w:right w:val="none" w:sz="0" w:space="0" w:color="auto"/>
          </w:divBdr>
          <w:divsChild>
            <w:div w:id="244533921">
              <w:marLeft w:val="0"/>
              <w:marRight w:val="0"/>
              <w:marTop w:val="0"/>
              <w:marBottom w:val="0"/>
              <w:divBdr>
                <w:top w:val="none" w:sz="0" w:space="0" w:color="auto"/>
                <w:left w:val="none" w:sz="0" w:space="0" w:color="auto"/>
                <w:bottom w:val="none" w:sz="0" w:space="0" w:color="auto"/>
                <w:right w:val="none" w:sz="0" w:space="0" w:color="auto"/>
              </w:divBdr>
            </w:div>
            <w:div w:id="561140748">
              <w:marLeft w:val="0"/>
              <w:marRight w:val="0"/>
              <w:marTop w:val="0"/>
              <w:marBottom w:val="0"/>
              <w:divBdr>
                <w:top w:val="none" w:sz="0" w:space="0" w:color="auto"/>
                <w:left w:val="none" w:sz="0" w:space="0" w:color="auto"/>
                <w:bottom w:val="none" w:sz="0" w:space="0" w:color="auto"/>
                <w:right w:val="none" w:sz="0" w:space="0" w:color="auto"/>
              </w:divBdr>
            </w:div>
            <w:div w:id="61099753">
              <w:marLeft w:val="0"/>
              <w:marRight w:val="0"/>
              <w:marTop w:val="0"/>
              <w:marBottom w:val="0"/>
              <w:divBdr>
                <w:top w:val="none" w:sz="0" w:space="0" w:color="auto"/>
                <w:left w:val="none" w:sz="0" w:space="0" w:color="auto"/>
                <w:bottom w:val="none" w:sz="0" w:space="0" w:color="auto"/>
                <w:right w:val="none" w:sz="0" w:space="0" w:color="auto"/>
              </w:divBdr>
            </w:div>
            <w:div w:id="1761216246">
              <w:marLeft w:val="0"/>
              <w:marRight w:val="0"/>
              <w:marTop w:val="0"/>
              <w:marBottom w:val="0"/>
              <w:divBdr>
                <w:top w:val="none" w:sz="0" w:space="0" w:color="auto"/>
                <w:left w:val="none" w:sz="0" w:space="0" w:color="auto"/>
                <w:bottom w:val="none" w:sz="0" w:space="0" w:color="auto"/>
                <w:right w:val="none" w:sz="0" w:space="0" w:color="auto"/>
              </w:divBdr>
            </w:div>
            <w:div w:id="290744583">
              <w:marLeft w:val="0"/>
              <w:marRight w:val="0"/>
              <w:marTop w:val="0"/>
              <w:marBottom w:val="0"/>
              <w:divBdr>
                <w:top w:val="none" w:sz="0" w:space="0" w:color="auto"/>
                <w:left w:val="none" w:sz="0" w:space="0" w:color="auto"/>
                <w:bottom w:val="none" w:sz="0" w:space="0" w:color="auto"/>
                <w:right w:val="none" w:sz="0" w:space="0" w:color="auto"/>
              </w:divBdr>
            </w:div>
          </w:divsChild>
        </w:div>
        <w:div w:id="1891184742">
          <w:marLeft w:val="0"/>
          <w:marRight w:val="0"/>
          <w:marTop w:val="0"/>
          <w:marBottom w:val="0"/>
          <w:divBdr>
            <w:top w:val="none" w:sz="0" w:space="0" w:color="auto"/>
            <w:left w:val="none" w:sz="0" w:space="0" w:color="auto"/>
            <w:bottom w:val="none" w:sz="0" w:space="0" w:color="auto"/>
            <w:right w:val="none" w:sz="0" w:space="0" w:color="auto"/>
          </w:divBdr>
          <w:divsChild>
            <w:div w:id="1179007747">
              <w:marLeft w:val="0"/>
              <w:marRight w:val="0"/>
              <w:marTop w:val="0"/>
              <w:marBottom w:val="0"/>
              <w:divBdr>
                <w:top w:val="none" w:sz="0" w:space="0" w:color="auto"/>
                <w:left w:val="none" w:sz="0" w:space="0" w:color="auto"/>
                <w:bottom w:val="none" w:sz="0" w:space="0" w:color="auto"/>
                <w:right w:val="none" w:sz="0" w:space="0" w:color="auto"/>
              </w:divBdr>
            </w:div>
            <w:div w:id="18467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7694">
      <w:bodyDiv w:val="1"/>
      <w:marLeft w:val="0"/>
      <w:marRight w:val="0"/>
      <w:marTop w:val="0"/>
      <w:marBottom w:val="0"/>
      <w:divBdr>
        <w:top w:val="none" w:sz="0" w:space="0" w:color="auto"/>
        <w:left w:val="none" w:sz="0" w:space="0" w:color="auto"/>
        <w:bottom w:val="none" w:sz="0" w:space="0" w:color="auto"/>
        <w:right w:val="none" w:sz="0" w:space="0" w:color="auto"/>
      </w:divBdr>
      <w:divsChild>
        <w:div w:id="983311710">
          <w:marLeft w:val="0"/>
          <w:marRight w:val="0"/>
          <w:marTop w:val="0"/>
          <w:marBottom w:val="0"/>
          <w:divBdr>
            <w:top w:val="none" w:sz="0" w:space="0" w:color="auto"/>
            <w:left w:val="none" w:sz="0" w:space="0" w:color="auto"/>
            <w:bottom w:val="none" w:sz="0" w:space="0" w:color="auto"/>
            <w:right w:val="none" w:sz="0" w:space="0" w:color="auto"/>
          </w:divBdr>
          <w:divsChild>
            <w:div w:id="620697234">
              <w:marLeft w:val="0"/>
              <w:marRight w:val="0"/>
              <w:marTop w:val="0"/>
              <w:marBottom w:val="0"/>
              <w:divBdr>
                <w:top w:val="none" w:sz="0" w:space="0" w:color="auto"/>
                <w:left w:val="none" w:sz="0" w:space="0" w:color="auto"/>
                <w:bottom w:val="none" w:sz="0" w:space="0" w:color="auto"/>
                <w:right w:val="none" w:sz="0" w:space="0" w:color="auto"/>
              </w:divBdr>
            </w:div>
            <w:div w:id="1903367319">
              <w:marLeft w:val="0"/>
              <w:marRight w:val="0"/>
              <w:marTop w:val="0"/>
              <w:marBottom w:val="0"/>
              <w:divBdr>
                <w:top w:val="none" w:sz="0" w:space="0" w:color="auto"/>
                <w:left w:val="none" w:sz="0" w:space="0" w:color="auto"/>
                <w:bottom w:val="none" w:sz="0" w:space="0" w:color="auto"/>
                <w:right w:val="none" w:sz="0" w:space="0" w:color="auto"/>
              </w:divBdr>
            </w:div>
            <w:div w:id="2030448075">
              <w:marLeft w:val="0"/>
              <w:marRight w:val="0"/>
              <w:marTop w:val="0"/>
              <w:marBottom w:val="0"/>
              <w:divBdr>
                <w:top w:val="none" w:sz="0" w:space="0" w:color="auto"/>
                <w:left w:val="none" w:sz="0" w:space="0" w:color="auto"/>
                <w:bottom w:val="none" w:sz="0" w:space="0" w:color="auto"/>
                <w:right w:val="none" w:sz="0" w:space="0" w:color="auto"/>
              </w:divBdr>
            </w:div>
          </w:divsChild>
        </w:div>
        <w:div w:id="570047955">
          <w:marLeft w:val="0"/>
          <w:marRight w:val="0"/>
          <w:marTop w:val="0"/>
          <w:marBottom w:val="0"/>
          <w:divBdr>
            <w:top w:val="none" w:sz="0" w:space="0" w:color="auto"/>
            <w:left w:val="none" w:sz="0" w:space="0" w:color="auto"/>
            <w:bottom w:val="none" w:sz="0" w:space="0" w:color="auto"/>
            <w:right w:val="none" w:sz="0" w:space="0" w:color="auto"/>
          </w:divBdr>
          <w:divsChild>
            <w:div w:id="267007614">
              <w:marLeft w:val="0"/>
              <w:marRight w:val="0"/>
              <w:marTop w:val="0"/>
              <w:marBottom w:val="0"/>
              <w:divBdr>
                <w:top w:val="none" w:sz="0" w:space="0" w:color="auto"/>
                <w:left w:val="none" w:sz="0" w:space="0" w:color="auto"/>
                <w:bottom w:val="none" w:sz="0" w:space="0" w:color="auto"/>
                <w:right w:val="none" w:sz="0" w:space="0" w:color="auto"/>
              </w:divBdr>
            </w:div>
          </w:divsChild>
        </w:div>
        <w:div w:id="92630990">
          <w:marLeft w:val="0"/>
          <w:marRight w:val="0"/>
          <w:marTop w:val="0"/>
          <w:marBottom w:val="0"/>
          <w:divBdr>
            <w:top w:val="none" w:sz="0" w:space="0" w:color="auto"/>
            <w:left w:val="none" w:sz="0" w:space="0" w:color="auto"/>
            <w:bottom w:val="none" w:sz="0" w:space="0" w:color="auto"/>
            <w:right w:val="none" w:sz="0" w:space="0" w:color="auto"/>
          </w:divBdr>
          <w:divsChild>
            <w:div w:id="1795368870">
              <w:marLeft w:val="0"/>
              <w:marRight w:val="0"/>
              <w:marTop w:val="0"/>
              <w:marBottom w:val="0"/>
              <w:divBdr>
                <w:top w:val="none" w:sz="0" w:space="0" w:color="auto"/>
                <w:left w:val="none" w:sz="0" w:space="0" w:color="auto"/>
                <w:bottom w:val="none" w:sz="0" w:space="0" w:color="auto"/>
                <w:right w:val="none" w:sz="0" w:space="0" w:color="auto"/>
              </w:divBdr>
            </w:div>
            <w:div w:id="748696236">
              <w:marLeft w:val="0"/>
              <w:marRight w:val="0"/>
              <w:marTop w:val="0"/>
              <w:marBottom w:val="0"/>
              <w:divBdr>
                <w:top w:val="none" w:sz="0" w:space="0" w:color="auto"/>
                <w:left w:val="none" w:sz="0" w:space="0" w:color="auto"/>
                <w:bottom w:val="none" w:sz="0" w:space="0" w:color="auto"/>
                <w:right w:val="none" w:sz="0" w:space="0" w:color="auto"/>
              </w:divBdr>
            </w:div>
            <w:div w:id="118426877">
              <w:marLeft w:val="0"/>
              <w:marRight w:val="0"/>
              <w:marTop w:val="0"/>
              <w:marBottom w:val="0"/>
              <w:divBdr>
                <w:top w:val="none" w:sz="0" w:space="0" w:color="auto"/>
                <w:left w:val="none" w:sz="0" w:space="0" w:color="auto"/>
                <w:bottom w:val="none" w:sz="0" w:space="0" w:color="auto"/>
                <w:right w:val="none" w:sz="0" w:space="0" w:color="auto"/>
              </w:divBdr>
            </w:div>
            <w:div w:id="1354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6896">
      <w:bodyDiv w:val="1"/>
      <w:marLeft w:val="0"/>
      <w:marRight w:val="0"/>
      <w:marTop w:val="0"/>
      <w:marBottom w:val="0"/>
      <w:divBdr>
        <w:top w:val="none" w:sz="0" w:space="0" w:color="auto"/>
        <w:left w:val="none" w:sz="0" w:space="0" w:color="auto"/>
        <w:bottom w:val="none" w:sz="0" w:space="0" w:color="auto"/>
        <w:right w:val="none" w:sz="0" w:space="0" w:color="auto"/>
      </w:divBdr>
      <w:divsChild>
        <w:div w:id="1374885629">
          <w:marLeft w:val="0"/>
          <w:marRight w:val="0"/>
          <w:marTop w:val="0"/>
          <w:marBottom w:val="0"/>
          <w:divBdr>
            <w:top w:val="none" w:sz="0" w:space="0" w:color="auto"/>
            <w:left w:val="none" w:sz="0" w:space="0" w:color="auto"/>
            <w:bottom w:val="none" w:sz="0" w:space="0" w:color="auto"/>
            <w:right w:val="none" w:sz="0" w:space="0" w:color="auto"/>
          </w:divBdr>
          <w:divsChild>
            <w:div w:id="309218313">
              <w:marLeft w:val="0"/>
              <w:marRight w:val="0"/>
              <w:marTop w:val="0"/>
              <w:marBottom w:val="0"/>
              <w:divBdr>
                <w:top w:val="none" w:sz="0" w:space="0" w:color="auto"/>
                <w:left w:val="none" w:sz="0" w:space="0" w:color="auto"/>
                <w:bottom w:val="none" w:sz="0" w:space="0" w:color="auto"/>
                <w:right w:val="none" w:sz="0" w:space="0" w:color="auto"/>
              </w:divBdr>
            </w:div>
          </w:divsChild>
        </w:div>
        <w:div w:id="1415391453">
          <w:marLeft w:val="0"/>
          <w:marRight w:val="0"/>
          <w:marTop w:val="0"/>
          <w:marBottom w:val="0"/>
          <w:divBdr>
            <w:top w:val="none" w:sz="0" w:space="0" w:color="auto"/>
            <w:left w:val="none" w:sz="0" w:space="0" w:color="auto"/>
            <w:bottom w:val="none" w:sz="0" w:space="0" w:color="auto"/>
            <w:right w:val="none" w:sz="0" w:space="0" w:color="auto"/>
          </w:divBdr>
          <w:divsChild>
            <w:div w:id="2051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0827">
      <w:bodyDiv w:val="1"/>
      <w:marLeft w:val="0"/>
      <w:marRight w:val="0"/>
      <w:marTop w:val="0"/>
      <w:marBottom w:val="0"/>
      <w:divBdr>
        <w:top w:val="none" w:sz="0" w:space="0" w:color="auto"/>
        <w:left w:val="none" w:sz="0" w:space="0" w:color="auto"/>
        <w:bottom w:val="none" w:sz="0" w:space="0" w:color="auto"/>
        <w:right w:val="none" w:sz="0" w:space="0" w:color="auto"/>
      </w:divBdr>
    </w:div>
    <w:div w:id="2086535818">
      <w:bodyDiv w:val="1"/>
      <w:marLeft w:val="0"/>
      <w:marRight w:val="0"/>
      <w:marTop w:val="0"/>
      <w:marBottom w:val="0"/>
      <w:divBdr>
        <w:top w:val="none" w:sz="0" w:space="0" w:color="auto"/>
        <w:left w:val="none" w:sz="0" w:space="0" w:color="auto"/>
        <w:bottom w:val="none" w:sz="0" w:space="0" w:color="auto"/>
        <w:right w:val="none" w:sz="0" w:space="0" w:color="auto"/>
      </w:divBdr>
    </w:div>
    <w:div w:id="2133133961">
      <w:bodyDiv w:val="1"/>
      <w:marLeft w:val="0"/>
      <w:marRight w:val="0"/>
      <w:marTop w:val="0"/>
      <w:marBottom w:val="0"/>
      <w:divBdr>
        <w:top w:val="none" w:sz="0" w:space="0" w:color="auto"/>
        <w:left w:val="none" w:sz="0" w:space="0" w:color="auto"/>
        <w:bottom w:val="none" w:sz="0" w:space="0" w:color="auto"/>
        <w:right w:val="none" w:sz="0" w:space="0" w:color="auto"/>
      </w:divBdr>
      <w:divsChild>
        <w:div w:id="1977293363">
          <w:marLeft w:val="0"/>
          <w:marRight w:val="0"/>
          <w:marTop w:val="0"/>
          <w:marBottom w:val="0"/>
          <w:divBdr>
            <w:top w:val="none" w:sz="0" w:space="0" w:color="auto"/>
            <w:left w:val="none" w:sz="0" w:space="0" w:color="auto"/>
            <w:bottom w:val="none" w:sz="0" w:space="0" w:color="auto"/>
            <w:right w:val="none" w:sz="0" w:space="0" w:color="auto"/>
          </w:divBdr>
          <w:divsChild>
            <w:div w:id="1421099563">
              <w:marLeft w:val="0"/>
              <w:marRight w:val="0"/>
              <w:marTop w:val="0"/>
              <w:marBottom w:val="0"/>
              <w:divBdr>
                <w:top w:val="none" w:sz="0" w:space="0" w:color="auto"/>
                <w:left w:val="none" w:sz="0" w:space="0" w:color="auto"/>
                <w:bottom w:val="none" w:sz="0" w:space="0" w:color="auto"/>
                <w:right w:val="none" w:sz="0" w:space="0" w:color="auto"/>
              </w:divBdr>
            </w:div>
          </w:divsChild>
        </w:div>
        <w:div w:id="2081555854">
          <w:marLeft w:val="0"/>
          <w:marRight w:val="0"/>
          <w:marTop w:val="0"/>
          <w:marBottom w:val="0"/>
          <w:divBdr>
            <w:top w:val="none" w:sz="0" w:space="0" w:color="auto"/>
            <w:left w:val="none" w:sz="0" w:space="0" w:color="auto"/>
            <w:bottom w:val="none" w:sz="0" w:space="0" w:color="auto"/>
            <w:right w:val="none" w:sz="0" w:space="0" w:color="auto"/>
          </w:divBdr>
          <w:divsChild>
            <w:div w:id="842400258">
              <w:marLeft w:val="0"/>
              <w:marRight w:val="0"/>
              <w:marTop w:val="0"/>
              <w:marBottom w:val="0"/>
              <w:divBdr>
                <w:top w:val="none" w:sz="0" w:space="0" w:color="auto"/>
                <w:left w:val="none" w:sz="0" w:space="0" w:color="auto"/>
                <w:bottom w:val="none" w:sz="0" w:space="0" w:color="auto"/>
                <w:right w:val="none" w:sz="0" w:space="0" w:color="auto"/>
              </w:divBdr>
            </w:div>
            <w:div w:id="451939859">
              <w:marLeft w:val="0"/>
              <w:marRight w:val="0"/>
              <w:marTop w:val="0"/>
              <w:marBottom w:val="0"/>
              <w:divBdr>
                <w:top w:val="none" w:sz="0" w:space="0" w:color="auto"/>
                <w:left w:val="none" w:sz="0" w:space="0" w:color="auto"/>
                <w:bottom w:val="none" w:sz="0" w:space="0" w:color="auto"/>
                <w:right w:val="none" w:sz="0" w:space="0" w:color="auto"/>
              </w:divBdr>
            </w:div>
          </w:divsChild>
        </w:div>
        <w:div w:id="608465719">
          <w:marLeft w:val="0"/>
          <w:marRight w:val="0"/>
          <w:marTop w:val="0"/>
          <w:marBottom w:val="0"/>
          <w:divBdr>
            <w:top w:val="none" w:sz="0" w:space="0" w:color="auto"/>
            <w:left w:val="none" w:sz="0" w:space="0" w:color="auto"/>
            <w:bottom w:val="none" w:sz="0" w:space="0" w:color="auto"/>
            <w:right w:val="none" w:sz="0" w:space="0" w:color="auto"/>
          </w:divBdr>
          <w:divsChild>
            <w:div w:id="510602387">
              <w:marLeft w:val="0"/>
              <w:marRight w:val="0"/>
              <w:marTop w:val="0"/>
              <w:marBottom w:val="0"/>
              <w:divBdr>
                <w:top w:val="none" w:sz="0" w:space="0" w:color="auto"/>
                <w:left w:val="none" w:sz="0" w:space="0" w:color="auto"/>
                <w:bottom w:val="none" w:sz="0" w:space="0" w:color="auto"/>
                <w:right w:val="none" w:sz="0" w:space="0" w:color="auto"/>
              </w:divBdr>
            </w:div>
          </w:divsChild>
        </w:div>
        <w:div w:id="1978484564">
          <w:marLeft w:val="0"/>
          <w:marRight w:val="0"/>
          <w:marTop w:val="0"/>
          <w:marBottom w:val="0"/>
          <w:divBdr>
            <w:top w:val="none" w:sz="0" w:space="0" w:color="auto"/>
            <w:left w:val="none" w:sz="0" w:space="0" w:color="auto"/>
            <w:bottom w:val="none" w:sz="0" w:space="0" w:color="auto"/>
            <w:right w:val="none" w:sz="0" w:space="0" w:color="auto"/>
          </w:divBdr>
          <w:divsChild>
            <w:div w:id="831020606">
              <w:marLeft w:val="0"/>
              <w:marRight w:val="0"/>
              <w:marTop w:val="0"/>
              <w:marBottom w:val="0"/>
              <w:divBdr>
                <w:top w:val="none" w:sz="0" w:space="0" w:color="auto"/>
                <w:left w:val="none" w:sz="0" w:space="0" w:color="auto"/>
                <w:bottom w:val="none" w:sz="0" w:space="0" w:color="auto"/>
                <w:right w:val="none" w:sz="0" w:space="0" w:color="auto"/>
              </w:divBdr>
            </w:div>
            <w:div w:id="174198528">
              <w:marLeft w:val="0"/>
              <w:marRight w:val="0"/>
              <w:marTop w:val="0"/>
              <w:marBottom w:val="0"/>
              <w:divBdr>
                <w:top w:val="none" w:sz="0" w:space="0" w:color="auto"/>
                <w:left w:val="none" w:sz="0" w:space="0" w:color="auto"/>
                <w:bottom w:val="none" w:sz="0" w:space="0" w:color="auto"/>
                <w:right w:val="none" w:sz="0" w:space="0" w:color="auto"/>
              </w:divBdr>
            </w:div>
          </w:divsChild>
        </w:div>
        <w:div w:id="1845704161">
          <w:marLeft w:val="0"/>
          <w:marRight w:val="0"/>
          <w:marTop w:val="0"/>
          <w:marBottom w:val="0"/>
          <w:divBdr>
            <w:top w:val="none" w:sz="0" w:space="0" w:color="auto"/>
            <w:left w:val="none" w:sz="0" w:space="0" w:color="auto"/>
            <w:bottom w:val="none" w:sz="0" w:space="0" w:color="auto"/>
            <w:right w:val="none" w:sz="0" w:space="0" w:color="auto"/>
          </w:divBdr>
          <w:divsChild>
            <w:div w:id="85419998">
              <w:marLeft w:val="0"/>
              <w:marRight w:val="0"/>
              <w:marTop w:val="0"/>
              <w:marBottom w:val="0"/>
              <w:divBdr>
                <w:top w:val="none" w:sz="0" w:space="0" w:color="auto"/>
                <w:left w:val="none" w:sz="0" w:space="0" w:color="auto"/>
                <w:bottom w:val="none" w:sz="0" w:space="0" w:color="auto"/>
                <w:right w:val="none" w:sz="0" w:space="0" w:color="auto"/>
              </w:divBdr>
            </w:div>
            <w:div w:id="1456144774">
              <w:marLeft w:val="0"/>
              <w:marRight w:val="0"/>
              <w:marTop w:val="0"/>
              <w:marBottom w:val="0"/>
              <w:divBdr>
                <w:top w:val="none" w:sz="0" w:space="0" w:color="auto"/>
                <w:left w:val="none" w:sz="0" w:space="0" w:color="auto"/>
                <w:bottom w:val="none" w:sz="0" w:space="0" w:color="auto"/>
                <w:right w:val="none" w:sz="0" w:space="0" w:color="auto"/>
              </w:divBdr>
            </w:div>
          </w:divsChild>
        </w:div>
        <w:div w:id="175190874">
          <w:marLeft w:val="0"/>
          <w:marRight w:val="0"/>
          <w:marTop w:val="0"/>
          <w:marBottom w:val="0"/>
          <w:divBdr>
            <w:top w:val="none" w:sz="0" w:space="0" w:color="auto"/>
            <w:left w:val="none" w:sz="0" w:space="0" w:color="auto"/>
            <w:bottom w:val="none" w:sz="0" w:space="0" w:color="auto"/>
            <w:right w:val="none" w:sz="0" w:space="0" w:color="auto"/>
          </w:divBdr>
          <w:divsChild>
            <w:div w:id="558706318">
              <w:marLeft w:val="0"/>
              <w:marRight w:val="0"/>
              <w:marTop w:val="0"/>
              <w:marBottom w:val="0"/>
              <w:divBdr>
                <w:top w:val="none" w:sz="0" w:space="0" w:color="auto"/>
                <w:left w:val="none" w:sz="0" w:space="0" w:color="auto"/>
                <w:bottom w:val="none" w:sz="0" w:space="0" w:color="auto"/>
                <w:right w:val="none" w:sz="0" w:space="0" w:color="auto"/>
              </w:divBdr>
            </w:div>
            <w:div w:id="4656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mgladmin</dc:creator>
  <cp:keywords/>
  <dc:description/>
  <cp:lastModifiedBy>Kelvin Wilkins</cp:lastModifiedBy>
  <cp:revision>2</cp:revision>
  <dcterms:created xsi:type="dcterms:W3CDTF">2022-10-05T10:56:00Z</dcterms:created>
  <dcterms:modified xsi:type="dcterms:W3CDTF">2022-10-05T10:56:00Z</dcterms:modified>
</cp:coreProperties>
</file>