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9B6F2" w14:textId="5FCB9893" w:rsidR="00CF75EE" w:rsidRPr="001F4E5F" w:rsidRDefault="001F4E5F" w:rsidP="00E54CEF">
      <w:pPr>
        <w:pStyle w:val="Heading1"/>
      </w:pPr>
      <w:r w:rsidRPr="001F4E5F">
        <w:t>Safeguarding Process Flowchart</w:t>
      </w:r>
    </w:p>
    <w:p w14:paraId="3371739A" w14:textId="77777777" w:rsidR="00F90506" w:rsidRDefault="00F90506" w:rsidP="00722685">
      <w:pPr>
        <w:pStyle w:val="NoSpacing"/>
      </w:pPr>
    </w:p>
    <w:p w14:paraId="3ACF98CC" w14:textId="3330046B" w:rsidR="001F4E5F" w:rsidRDefault="001F4E5F" w:rsidP="00722685">
      <w:pPr>
        <w:pStyle w:val="NoSpacing"/>
      </w:pPr>
      <w:r>
        <w:t>If you are the notifier of a Safeguarding concern:</w:t>
      </w:r>
      <w:r w:rsidR="00E54CEF">
        <w:t>-</w:t>
      </w:r>
    </w:p>
    <w:p w14:paraId="3C8AE12B" w14:textId="77777777" w:rsidR="001F4E5F" w:rsidRDefault="001F4E5F" w:rsidP="00722685">
      <w:pPr>
        <w:pStyle w:val="NoSpacing"/>
      </w:pPr>
    </w:p>
    <w:p w14:paraId="3BD2666A" w14:textId="1605BD83" w:rsidR="001F4E5F" w:rsidRDefault="001F4E5F" w:rsidP="001F4E5F">
      <w:pPr>
        <w:pStyle w:val="NoSpacing"/>
        <w:numPr>
          <w:ilvl w:val="0"/>
          <w:numId w:val="1"/>
        </w:numPr>
      </w:pPr>
      <w:r>
        <w:t>A safeguarding concern could arise from a direct observation, disclosure from a child or adult at risk, observation by a third party or referral from a Public, Statutory, or Regulatory Body (PSRB)</w:t>
      </w:r>
    </w:p>
    <w:p w14:paraId="504DB79E" w14:textId="77777777" w:rsidR="001F4E5F" w:rsidRDefault="001F4E5F" w:rsidP="001F4E5F">
      <w:pPr>
        <w:pStyle w:val="NoSpacing"/>
      </w:pPr>
    </w:p>
    <w:p w14:paraId="5AF49F47" w14:textId="3213A835" w:rsidR="001F4E5F" w:rsidRDefault="001F4E5F" w:rsidP="001F4E5F">
      <w:pPr>
        <w:pStyle w:val="NoSpacing"/>
      </w:pPr>
      <w:r>
        <w:t>If you are the notifier, are you raising a concern during the core working day? If yes:-</w:t>
      </w:r>
    </w:p>
    <w:p w14:paraId="3539C5C1" w14:textId="77777777" w:rsidR="001F4E5F" w:rsidRDefault="001F4E5F" w:rsidP="001F4E5F">
      <w:pPr>
        <w:pStyle w:val="NoSpacing"/>
      </w:pPr>
    </w:p>
    <w:p w14:paraId="14804D52" w14:textId="6226542F" w:rsidR="001F4E5F" w:rsidRDefault="001F4E5F" w:rsidP="001F4E5F">
      <w:pPr>
        <w:pStyle w:val="NoSpacing"/>
        <w:numPr>
          <w:ilvl w:val="0"/>
          <w:numId w:val="1"/>
        </w:numPr>
      </w:pPr>
      <w:r>
        <w:t>Either complete a ‘Let us know’ form, inform Local Designated Safeguarding Officer or inform Student Wellbeing</w:t>
      </w:r>
    </w:p>
    <w:p w14:paraId="70BEE3C0" w14:textId="77777777" w:rsidR="001F4E5F" w:rsidRDefault="001F4E5F" w:rsidP="001F4E5F">
      <w:pPr>
        <w:pStyle w:val="NoSpacing"/>
      </w:pPr>
    </w:p>
    <w:p w14:paraId="7B194525" w14:textId="3DC23C4C" w:rsidR="001F4E5F" w:rsidRDefault="001F4E5F" w:rsidP="001F4E5F">
      <w:pPr>
        <w:pStyle w:val="NoSpacing"/>
      </w:pPr>
      <w:r>
        <w:t>If you are the notifier, are you raising a concern during the core working day? If no:-</w:t>
      </w:r>
    </w:p>
    <w:p w14:paraId="343A4D47" w14:textId="77777777" w:rsidR="001F4E5F" w:rsidRDefault="001F4E5F" w:rsidP="001F4E5F">
      <w:pPr>
        <w:pStyle w:val="NoSpacing"/>
      </w:pPr>
    </w:p>
    <w:p w14:paraId="6D14CAF4" w14:textId="1C962871" w:rsidR="001F4E5F" w:rsidRDefault="001F4E5F" w:rsidP="001F4E5F">
      <w:pPr>
        <w:pStyle w:val="NoSpacing"/>
        <w:numPr>
          <w:ilvl w:val="0"/>
          <w:numId w:val="1"/>
        </w:numPr>
      </w:pPr>
      <w:r>
        <w:t>Consider if a child or adult is at immediate risk, or if the concern can be picked up the next working day.</w:t>
      </w:r>
    </w:p>
    <w:p w14:paraId="028915C2" w14:textId="73357852" w:rsidR="001F4E5F" w:rsidRDefault="001F4E5F" w:rsidP="001F4E5F">
      <w:pPr>
        <w:pStyle w:val="NoSpacing"/>
        <w:numPr>
          <w:ilvl w:val="0"/>
          <w:numId w:val="1"/>
        </w:numPr>
      </w:pPr>
      <w:r>
        <w:t>If it can’t wait, inform Campus Support</w:t>
      </w:r>
    </w:p>
    <w:p w14:paraId="27D4C12A" w14:textId="11648BE3" w:rsidR="001F4E5F" w:rsidRDefault="001F4E5F" w:rsidP="001F4E5F">
      <w:pPr>
        <w:pStyle w:val="NoSpacing"/>
        <w:numPr>
          <w:ilvl w:val="0"/>
          <w:numId w:val="1"/>
        </w:numPr>
      </w:pPr>
      <w:r>
        <w:t>If it can wait, either complete a ‘Let us know’ form, inform Local Designated Safeguarding Officer or inform Student Wellbeing</w:t>
      </w:r>
    </w:p>
    <w:p w14:paraId="00AA5254" w14:textId="77777777" w:rsidR="001F4E5F" w:rsidRDefault="001F4E5F" w:rsidP="001F4E5F">
      <w:pPr>
        <w:pStyle w:val="NoSpacing"/>
      </w:pPr>
    </w:p>
    <w:p w14:paraId="60BBD9F9" w14:textId="0CFFD614" w:rsidR="0019738B" w:rsidRDefault="00F90506" w:rsidP="005722F1">
      <w:pPr>
        <w:pStyle w:val="NoSpacing"/>
      </w:pPr>
      <w:r>
        <w:t xml:space="preserve">If it can’t wait and you have informed Campus Support, Campus Support will then follow an internal process and Emergency Services will be called if required. </w:t>
      </w:r>
      <w:r w:rsidR="0019738B">
        <w:t>Campus Support will then include the concern or incident on their Overnight Report</w:t>
      </w:r>
      <w:r w:rsidR="005722F1">
        <w:t xml:space="preserve"> which will be picked up the following working day by a DSO in</w:t>
      </w:r>
      <w:r w:rsidR="0019738B">
        <w:t xml:space="preserve"> Student Wellbeing.</w:t>
      </w:r>
    </w:p>
    <w:p w14:paraId="126EA033" w14:textId="77777777" w:rsidR="00F90506" w:rsidRDefault="00F90506" w:rsidP="001F4E5F">
      <w:pPr>
        <w:pStyle w:val="NoSpacing"/>
      </w:pPr>
    </w:p>
    <w:p w14:paraId="23636CA4" w14:textId="6FEBA230" w:rsidR="001F4E5F" w:rsidRDefault="005722F1" w:rsidP="001F4E5F">
      <w:pPr>
        <w:pStyle w:val="NoSpacing"/>
      </w:pPr>
      <w:r>
        <w:t>Whichever route is used to report,</w:t>
      </w:r>
      <w:r w:rsidR="001F4E5F">
        <w:t xml:space="preserve"> a Designated Safeguarding Officer (DSO) will consider the referral.</w:t>
      </w:r>
    </w:p>
    <w:p w14:paraId="559B8A6C" w14:textId="77777777" w:rsidR="001F4E5F" w:rsidRDefault="001F4E5F" w:rsidP="001F4E5F">
      <w:pPr>
        <w:pStyle w:val="NoSpacing"/>
      </w:pPr>
    </w:p>
    <w:p w14:paraId="77A3CCDF" w14:textId="5A6D4011" w:rsidR="0019738B" w:rsidRDefault="001F4E5F" w:rsidP="001F4E5F">
      <w:pPr>
        <w:pStyle w:val="NoSpacing"/>
      </w:pPr>
      <w:r>
        <w:t xml:space="preserve">The DSO will consider whether or not the person identified meets the definition of a child or adult at risk. </w:t>
      </w:r>
      <w:r w:rsidR="0019738B">
        <w:t>If the answer is no, the DSO:-</w:t>
      </w:r>
    </w:p>
    <w:p w14:paraId="22438872" w14:textId="77777777" w:rsidR="0019738B" w:rsidRDefault="0019738B" w:rsidP="001F4E5F">
      <w:pPr>
        <w:pStyle w:val="NoSpacing"/>
      </w:pPr>
    </w:p>
    <w:p w14:paraId="1BDF03D6" w14:textId="4E73EF14" w:rsidR="0019738B" w:rsidRDefault="0019738B" w:rsidP="0019738B">
      <w:pPr>
        <w:pStyle w:val="NoSpacing"/>
        <w:numPr>
          <w:ilvl w:val="0"/>
          <w:numId w:val="4"/>
        </w:numPr>
      </w:pPr>
      <w:r>
        <w:t>Asks Student Wellbeing to respond</w:t>
      </w:r>
    </w:p>
    <w:p w14:paraId="49B66E2C" w14:textId="63DC3F69" w:rsidR="0019738B" w:rsidRDefault="0019738B" w:rsidP="0019738B">
      <w:pPr>
        <w:pStyle w:val="NoSpacing"/>
        <w:numPr>
          <w:ilvl w:val="0"/>
          <w:numId w:val="4"/>
        </w:numPr>
      </w:pPr>
      <w:r>
        <w:t>Student Wellbeing will then</w:t>
      </w:r>
    </w:p>
    <w:p w14:paraId="36038EA4" w14:textId="6BCDAA51" w:rsidR="0019738B" w:rsidRDefault="0019738B" w:rsidP="0019738B">
      <w:pPr>
        <w:pStyle w:val="NoSpacing"/>
        <w:numPr>
          <w:ilvl w:val="1"/>
          <w:numId w:val="4"/>
        </w:numPr>
      </w:pPr>
      <w:r>
        <w:t>Respond</w:t>
      </w:r>
      <w:r w:rsidR="005722F1">
        <w:t xml:space="preserve"> appropriately</w:t>
      </w:r>
    </w:p>
    <w:p w14:paraId="703918A8" w14:textId="04B4CF69" w:rsidR="0019738B" w:rsidRDefault="0019738B" w:rsidP="001F4E5F">
      <w:pPr>
        <w:pStyle w:val="NoSpacing"/>
        <w:numPr>
          <w:ilvl w:val="1"/>
          <w:numId w:val="4"/>
        </w:numPr>
      </w:pPr>
      <w:r>
        <w:t>Ensure complete and accurate records are stored securely</w:t>
      </w:r>
    </w:p>
    <w:p w14:paraId="4B0644F5" w14:textId="77777777" w:rsidR="0019738B" w:rsidRDefault="0019738B" w:rsidP="001F4E5F">
      <w:pPr>
        <w:pStyle w:val="NoSpacing"/>
      </w:pPr>
    </w:p>
    <w:p w14:paraId="4826B03A" w14:textId="5973D02D" w:rsidR="001F4E5F" w:rsidRDefault="001F4E5F" w:rsidP="001F4E5F">
      <w:pPr>
        <w:pStyle w:val="NoSpacing"/>
      </w:pPr>
      <w:r>
        <w:t>If the answer is yes, the DSO:-</w:t>
      </w:r>
    </w:p>
    <w:p w14:paraId="42F750CC" w14:textId="77777777" w:rsidR="001F4E5F" w:rsidRDefault="001F4E5F" w:rsidP="001F4E5F">
      <w:pPr>
        <w:pStyle w:val="NoSpacing"/>
      </w:pPr>
    </w:p>
    <w:p w14:paraId="459870A4" w14:textId="217DDAB6" w:rsidR="001F4E5F" w:rsidRDefault="001F4E5F" w:rsidP="001F4E5F">
      <w:pPr>
        <w:pStyle w:val="NoSpacing"/>
        <w:numPr>
          <w:ilvl w:val="0"/>
          <w:numId w:val="2"/>
        </w:numPr>
      </w:pPr>
      <w:r>
        <w:t>Reviews the information</w:t>
      </w:r>
    </w:p>
    <w:p w14:paraId="440230A6" w14:textId="20DB64D6" w:rsidR="001F4E5F" w:rsidRDefault="001F4E5F" w:rsidP="001F4E5F">
      <w:pPr>
        <w:pStyle w:val="NoSpacing"/>
        <w:numPr>
          <w:ilvl w:val="0"/>
          <w:numId w:val="2"/>
        </w:numPr>
      </w:pPr>
      <w:r>
        <w:t>Gains other relevant information</w:t>
      </w:r>
    </w:p>
    <w:p w14:paraId="3F313B8B" w14:textId="74C6B235" w:rsidR="006B6870" w:rsidRDefault="006B6870" w:rsidP="001F4E5F">
      <w:pPr>
        <w:pStyle w:val="NoSpacing"/>
        <w:numPr>
          <w:ilvl w:val="0"/>
          <w:numId w:val="2"/>
        </w:numPr>
      </w:pPr>
      <w:r>
        <w:t>Identifies any immediate risk and takes appropriate action</w:t>
      </w:r>
    </w:p>
    <w:p w14:paraId="03C5A753" w14:textId="3F8D0E01" w:rsidR="001F4E5F" w:rsidRDefault="001F4E5F" w:rsidP="001F4E5F">
      <w:pPr>
        <w:pStyle w:val="NoSpacing"/>
        <w:numPr>
          <w:ilvl w:val="0"/>
          <w:numId w:val="2"/>
        </w:numPr>
      </w:pPr>
      <w:r>
        <w:t>Discusses the case with a senior DSO</w:t>
      </w:r>
    </w:p>
    <w:p w14:paraId="77B395F7" w14:textId="507D3C77" w:rsidR="001F4E5F" w:rsidRDefault="001F4E5F" w:rsidP="001F4E5F">
      <w:pPr>
        <w:pStyle w:val="NoSpacing"/>
        <w:numPr>
          <w:ilvl w:val="0"/>
          <w:numId w:val="2"/>
        </w:numPr>
      </w:pPr>
      <w:r>
        <w:t xml:space="preserve">Involves HR if a staff member is involved </w:t>
      </w:r>
    </w:p>
    <w:p w14:paraId="70841F8D" w14:textId="77777777" w:rsidR="001F4E5F" w:rsidRDefault="001F4E5F" w:rsidP="001F4E5F">
      <w:pPr>
        <w:pStyle w:val="NoSpacing"/>
      </w:pPr>
    </w:p>
    <w:p w14:paraId="091A1198" w14:textId="3C7FC75F" w:rsidR="001F4E5F" w:rsidRDefault="001F4E5F" w:rsidP="001F4E5F">
      <w:pPr>
        <w:pStyle w:val="NoSpacing"/>
      </w:pPr>
      <w:r>
        <w:t xml:space="preserve">The DSO, Senior DSO </w:t>
      </w:r>
      <w:r w:rsidR="00F90506">
        <w:t>(</w:t>
      </w:r>
      <w:r>
        <w:t>and HR representative if appropriat</w:t>
      </w:r>
      <w:r w:rsidR="00F90506">
        <w:t>e) will then take appropriate steps as required, which could include one or more of the following:-</w:t>
      </w:r>
    </w:p>
    <w:p w14:paraId="4A2597D7" w14:textId="77777777" w:rsidR="00F90506" w:rsidRDefault="00F90506" w:rsidP="001F4E5F">
      <w:pPr>
        <w:pStyle w:val="NoSpacing"/>
      </w:pPr>
    </w:p>
    <w:p w14:paraId="7D065E1F" w14:textId="1734BC44" w:rsidR="004123F8" w:rsidRDefault="004123F8" w:rsidP="004123F8">
      <w:pPr>
        <w:pStyle w:val="NoSpacing"/>
        <w:numPr>
          <w:ilvl w:val="0"/>
          <w:numId w:val="3"/>
        </w:numPr>
      </w:pPr>
      <w:r>
        <w:t>To conduct a formal risk assessment</w:t>
      </w:r>
    </w:p>
    <w:p w14:paraId="4ABEC0FA" w14:textId="14395718" w:rsidR="00F90506" w:rsidRDefault="00F90506" w:rsidP="00F90506">
      <w:pPr>
        <w:pStyle w:val="NoSpacing"/>
        <w:numPr>
          <w:ilvl w:val="0"/>
          <w:numId w:val="3"/>
        </w:numPr>
      </w:pPr>
      <w:r>
        <w:t>To offer support to the individual via internal services, or refer to external support</w:t>
      </w:r>
    </w:p>
    <w:p w14:paraId="50432F6C" w14:textId="61DD8A05" w:rsidR="00F90506" w:rsidRDefault="00F90506" w:rsidP="00F90506">
      <w:pPr>
        <w:pStyle w:val="NoSpacing"/>
        <w:numPr>
          <w:ilvl w:val="0"/>
          <w:numId w:val="3"/>
        </w:numPr>
      </w:pPr>
      <w:r>
        <w:t>To consult with internal colleagues (which may include bringing relevant people together for a case conference)</w:t>
      </w:r>
    </w:p>
    <w:p w14:paraId="58C9177D" w14:textId="14E511C3" w:rsidR="00F90506" w:rsidRDefault="00F90506" w:rsidP="00F90506">
      <w:pPr>
        <w:pStyle w:val="NoSpacing"/>
        <w:numPr>
          <w:ilvl w:val="0"/>
          <w:numId w:val="3"/>
        </w:numPr>
      </w:pPr>
      <w:r>
        <w:t>To liaise with external partners to gain or share information (this could include a placement provider, an apprentice employer, a LADO and/or the DfE Regional Prevent Co-Ordinator</w:t>
      </w:r>
    </w:p>
    <w:p w14:paraId="6705271F" w14:textId="79ADE2DA" w:rsidR="00F90506" w:rsidRDefault="00F90506" w:rsidP="00F90506">
      <w:pPr>
        <w:pStyle w:val="NoSpacing"/>
        <w:numPr>
          <w:ilvl w:val="0"/>
          <w:numId w:val="3"/>
        </w:numPr>
      </w:pPr>
      <w:r>
        <w:t>To contact the Police</w:t>
      </w:r>
    </w:p>
    <w:p w14:paraId="4750A46D" w14:textId="72D71C91" w:rsidR="00F90506" w:rsidRDefault="00F90506" w:rsidP="00F90506">
      <w:pPr>
        <w:pStyle w:val="NoSpacing"/>
        <w:numPr>
          <w:ilvl w:val="0"/>
          <w:numId w:val="3"/>
        </w:numPr>
      </w:pPr>
      <w:r>
        <w:t>To make an external referral (this could include a referral to the relevant LADO, the DBS and/or to a Public Statutory or Regulatory Body (PSRB)</w:t>
      </w:r>
    </w:p>
    <w:p w14:paraId="7D6F092F" w14:textId="28863DF1" w:rsidR="00F90506" w:rsidRDefault="00F90506" w:rsidP="00F90506">
      <w:pPr>
        <w:pStyle w:val="NoSpacing"/>
        <w:numPr>
          <w:ilvl w:val="0"/>
          <w:numId w:val="3"/>
        </w:numPr>
      </w:pPr>
      <w:r>
        <w:t xml:space="preserve">To refer the case to the Prevent Lead for them to make a decision on whether a Prevent referral is required </w:t>
      </w:r>
    </w:p>
    <w:p w14:paraId="7DD834E0" w14:textId="77777777" w:rsidR="00F90506" w:rsidRDefault="00F90506" w:rsidP="00F90506">
      <w:pPr>
        <w:pStyle w:val="NoSpacing"/>
        <w:ind w:left="720"/>
      </w:pPr>
    </w:p>
    <w:p w14:paraId="3E6BFFAF" w14:textId="77777777" w:rsidR="00F90506" w:rsidRDefault="00F90506" w:rsidP="00F90506">
      <w:pPr>
        <w:pStyle w:val="NoSpacing"/>
        <w:ind w:left="360"/>
      </w:pPr>
      <w:r>
        <w:t>Limited information is passed back to the person making the referral if possible/appropriate. Then the DSO and Senior DSO ensure that complete and accurate records are stored securely while the DSO maintains contact with authorities</w:t>
      </w:r>
    </w:p>
    <w:p w14:paraId="44DE2A4A" w14:textId="77777777" w:rsidR="00F90506" w:rsidRDefault="00F90506" w:rsidP="00F90506">
      <w:pPr>
        <w:pStyle w:val="NoSpacing"/>
        <w:ind w:left="360"/>
      </w:pPr>
    </w:p>
    <w:p w14:paraId="706CB809" w14:textId="77777777" w:rsidR="00F90506" w:rsidRDefault="00F90506" w:rsidP="00F90506">
      <w:pPr>
        <w:pStyle w:val="NoSpacing"/>
        <w:ind w:left="360"/>
      </w:pPr>
    </w:p>
    <w:p w14:paraId="61F09E6E" w14:textId="77777777" w:rsidR="00F90506" w:rsidRDefault="00F90506" w:rsidP="00F90506">
      <w:pPr>
        <w:pStyle w:val="NoSpacing"/>
        <w:ind w:left="360"/>
      </w:pPr>
    </w:p>
    <w:p w14:paraId="3CF20E69" w14:textId="77777777" w:rsidR="00F90506" w:rsidRDefault="00F90506" w:rsidP="00F90506">
      <w:pPr>
        <w:pStyle w:val="NoSpacing"/>
        <w:ind w:left="360"/>
      </w:pPr>
    </w:p>
    <w:p w14:paraId="33800F6F" w14:textId="77777777" w:rsidR="00F90506" w:rsidRDefault="00F90506" w:rsidP="00F90506">
      <w:pPr>
        <w:pStyle w:val="NoSpacing"/>
        <w:ind w:left="360"/>
      </w:pPr>
    </w:p>
    <w:p w14:paraId="00E40F07" w14:textId="77777777" w:rsidR="00F90506" w:rsidRDefault="00F90506" w:rsidP="00F90506">
      <w:pPr>
        <w:pStyle w:val="NoSpacing"/>
        <w:ind w:left="360"/>
      </w:pPr>
    </w:p>
    <w:p w14:paraId="2CF930CA" w14:textId="0897D773" w:rsidR="00F90506" w:rsidRDefault="00F90506" w:rsidP="00F90506">
      <w:pPr>
        <w:pStyle w:val="NoSpacing"/>
      </w:pPr>
    </w:p>
    <w:sectPr w:rsidR="00F90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7D3"/>
    <w:multiLevelType w:val="hybridMultilevel"/>
    <w:tmpl w:val="0B02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740"/>
    <w:multiLevelType w:val="hybridMultilevel"/>
    <w:tmpl w:val="BA5A8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6C11A7"/>
    <w:multiLevelType w:val="hybridMultilevel"/>
    <w:tmpl w:val="CC66F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C66D8"/>
    <w:multiLevelType w:val="hybridMultilevel"/>
    <w:tmpl w:val="2EC8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844144">
    <w:abstractNumId w:val="3"/>
  </w:num>
  <w:num w:numId="2" w16cid:durableId="1629819794">
    <w:abstractNumId w:val="2"/>
  </w:num>
  <w:num w:numId="3" w16cid:durableId="345058286">
    <w:abstractNumId w:val="1"/>
  </w:num>
  <w:num w:numId="4" w16cid:durableId="47942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5F"/>
    <w:rsid w:val="00057AC8"/>
    <w:rsid w:val="000F3143"/>
    <w:rsid w:val="0019738B"/>
    <w:rsid w:val="001F4E5F"/>
    <w:rsid w:val="004123F8"/>
    <w:rsid w:val="00522296"/>
    <w:rsid w:val="005722F1"/>
    <w:rsid w:val="006B6870"/>
    <w:rsid w:val="00704BCD"/>
    <w:rsid w:val="00722685"/>
    <w:rsid w:val="00971F84"/>
    <w:rsid w:val="009F4042"/>
    <w:rsid w:val="00CF75EE"/>
    <w:rsid w:val="00E54CEF"/>
    <w:rsid w:val="00F90506"/>
    <w:rsid w:val="00FF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F220"/>
  <w15:chartTrackingRefBased/>
  <w15:docId w15:val="{7851AA92-85F5-4CD0-B94C-59E510F9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43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E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E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E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E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E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E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E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143"/>
    <w:pPr>
      <w:spacing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4E5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E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E5F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E5F"/>
    <w:rPr>
      <w:rFonts w:eastAsiaTheme="majorEastAsia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E5F"/>
    <w:rPr>
      <w:rFonts w:eastAsiaTheme="majorEastAsia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E5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E5F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E5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E5F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E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4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E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4E5F"/>
    <w:rPr>
      <w:rFonts w:ascii="Arial" w:hAnsi="Arial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1F4E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4E5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E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E5F"/>
    <w:rPr>
      <w:rFonts w:ascii="Arial" w:hAnsi="Arial"/>
      <w:i/>
      <w:iCs/>
      <w:color w:val="365F91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1F4E5F"/>
    <w:rPr>
      <w:b/>
      <w:bCs/>
      <w:smallCaps/>
      <w:color w:val="365F91" w:themeColor="accent1" w:themeShade="BF"/>
      <w:spacing w:val="5"/>
    </w:rPr>
  </w:style>
  <w:style w:type="paragraph" w:styleId="Revision">
    <w:name w:val="Revision"/>
    <w:hidden/>
    <w:uiPriority w:val="99"/>
    <w:semiHidden/>
    <w:rsid w:val="005722F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O'Brien</dc:creator>
  <cp:keywords/>
  <dc:description/>
  <cp:lastModifiedBy>Stuart Wright</cp:lastModifiedBy>
  <cp:revision>3</cp:revision>
  <dcterms:created xsi:type="dcterms:W3CDTF">2024-07-29T13:22:00Z</dcterms:created>
  <dcterms:modified xsi:type="dcterms:W3CDTF">2024-07-30T07:24:00Z</dcterms:modified>
</cp:coreProperties>
</file>