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0147" w14:textId="77777777" w:rsidR="00CF75EE" w:rsidRDefault="00CF75EE" w:rsidP="00722685">
      <w:pPr>
        <w:pStyle w:val="NoSpacing"/>
      </w:pPr>
    </w:p>
    <w:p w14:paraId="746DD7EF" w14:textId="77777777" w:rsidR="00F1437B" w:rsidRDefault="00F1437B" w:rsidP="00722685">
      <w:pPr>
        <w:pStyle w:val="NoSpacing"/>
      </w:pPr>
    </w:p>
    <w:p w14:paraId="2521E1CB" w14:textId="77777777" w:rsidR="00F1437B" w:rsidRDefault="00F1437B" w:rsidP="00722685">
      <w:pPr>
        <w:pStyle w:val="NoSpacing"/>
      </w:pPr>
    </w:p>
    <w:p w14:paraId="54468B49" w14:textId="2B75D37F" w:rsidR="006A15D7" w:rsidRPr="006A15D7" w:rsidRDefault="006A15D7" w:rsidP="006A15D7">
      <w:pPr>
        <w:pStyle w:val="Title"/>
      </w:pPr>
      <w:r w:rsidRPr="006A15D7">
        <w:t>Statement on Research Integrity 2024/25</w:t>
      </w:r>
    </w:p>
    <w:p w14:paraId="6C5D8DDD" w14:textId="6163FF50" w:rsidR="00F1437B" w:rsidRPr="006A15D7" w:rsidRDefault="00F1437B" w:rsidP="006A15D7">
      <w:pPr>
        <w:pStyle w:val="Heading1"/>
      </w:pPr>
      <w:r w:rsidRPr="006A15D7">
        <w:t>Section 1: Key contact information</w:t>
      </w:r>
    </w:p>
    <w:tbl>
      <w:tblPr>
        <w:tblStyle w:val="TableGrid"/>
        <w:tblW w:w="0" w:type="auto"/>
        <w:tblLook w:val="04A0" w:firstRow="1" w:lastRow="0" w:firstColumn="1" w:lastColumn="0" w:noHBand="0" w:noVBand="1"/>
      </w:tblPr>
      <w:tblGrid>
        <w:gridCol w:w="3944"/>
        <w:gridCol w:w="5072"/>
      </w:tblGrid>
      <w:tr w:rsidR="009F6BA5" w14:paraId="669E5B3B" w14:textId="77777777" w:rsidTr="009F6BA5">
        <w:trPr>
          <w:tblHeader/>
        </w:trPr>
        <w:tc>
          <w:tcPr>
            <w:tcW w:w="3944" w:type="dxa"/>
          </w:tcPr>
          <w:p w14:paraId="483E7B40" w14:textId="61C96524" w:rsidR="009F6BA5" w:rsidRPr="009F6BA5" w:rsidRDefault="009F6BA5" w:rsidP="00722685">
            <w:pPr>
              <w:pStyle w:val="NoSpacing"/>
              <w:rPr>
                <w:b/>
                <w:bCs/>
              </w:rPr>
            </w:pPr>
            <w:r w:rsidRPr="009F6BA5">
              <w:rPr>
                <w:b/>
                <w:bCs/>
              </w:rPr>
              <w:t>Element</w:t>
            </w:r>
          </w:p>
        </w:tc>
        <w:tc>
          <w:tcPr>
            <w:tcW w:w="5072" w:type="dxa"/>
          </w:tcPr>
          <w:p w14:paraId="200B2530" w14:textId="62065B25" w:rsidR="009F6BA5" w:rsidRPr="009F6BA5" w:rsidRDefault="009F6BA5" w:rsidP="00722685">
            <w:pPr>
              <w:pStyle w:val="NoSpacing"/>
              <w:rPr>
                <w:b/>
                <w:bCs/>
              </w:rPr>
            </w:pPr>
            <w:r w:rsidRPr="009F6BA5">
              <w:rPr>
                <w:b/>
                <w:bCs/>
              </w:rPr>
              <w:t>Response</w:t>
            </w:r>
          </w:p>
        </w:tc>
      </w:tr>
      <w:tr w:rsidR="00F1437B" w14:paraId="2A3DAD4B" w14:textId="77777777" w:rsidTr="009F6BA5">
        <w:tc>
          <w:tcPr>
            <w:tcW w:w="3944" w:type="dxa"/>
          </w:tcPr>
          <w:p w14:paraId="11F0748E" w14:textId="51A2A6A3" w:rsidR="00F1437B" w:rsidRPr="00A41826" w:rsidRDefault="00F1437B" w:rsidP="00722685">
            <w:pPr>
              <w:pStyle w:val="NoSpacing"/>
              <w:rPr>
                <w:b/>
                <w:bCs/>
              </w:rPr>
            </w:pPr>
            <w:r w:rsidRPr="00A41826">
              <w:rPr>
                <w:b/>
                <w:bCs/>
              </w:rPr>
              <w:t>1A. Name of organisation</w:t>
            </w:r>
          </w:p>
        </w:tc>
        <w:tc>
          <w:tcPr>
            <w:tcW w:w="5072" w:type="dxa"/>
          </w:tcPr>
          <w:p w14:paraId="50B426B4" w14:textId="39D9CA1D" w:rsidR="00F1437B" w:rsidRDefault="00F1437B" w:rsidP="00722685">
            <w:pPr>
              <w:pStyle w:val="NoSpacing"/>
            </w:pPr>
            <w:r>
              <w:t>Edge Hill University</w:t>
            </w:r>
          </w:p>
        </w:tc>
      </w:tr>
      <w:tr w:rsidR="00F1437B" w14:paraId="09F6EA67" w14:textId="77777777" w:rsidTr="009F6BA5">
        <w:tc>
          <w:tcPr>
            <w:tcW w:w="3944" w:type="dxa"/>
          </w:tcPr>
          <w:p w14:paraId="1B2DF149" w14:textId="6B5805D6" w:rsidR="00F1437B" w:rsidRPr="00A41826" w:rsidRDefault="00F1437B" w:rsidP="00722685">
            <w:pPr>
              <w:pStyle w:val="NoSpacing"/>
              <w:rPr>
                <w:b/>
                <w:bCs/>
              </w:rPr>
            </w:pPr>
            <w:r w:rsidRPr="00A41826">
              <w:rPr>
                <w:b/>
                <w:bCs/>
              </w:rPr>
              <w:t>1B. Type of organisation</w:t>
            </w:r>
          </w:p>
        </w:tc>
        <w:tc>
          <w:tcPr>
            <w:tcW w:w="5072" w:type="dxa"/>
          </w:tcPr>
          <w:p w14:paraId="4C8E4B98" w14:textId="64D3C32B" w:rsidR="00F1437B" w:rsidRDefault="00F1437B" w:rsidP="00722685">
            <w:pPr>
              <w:pStyle w:val="NoSpacing"/>
            </w:pPr>
            <w:r>
              <w:t>Higher education institution</w:t>
            </w:r>
          </w:p>
        </w:tc>
      </w:tr>
      <w:tr w:rsidR="00F1437B" w14:paraId="0E8B8FE1" w14:textId="77777777" w:rsidTr="009F6BA5">
        <w:tc>
          <w:tcPr>
            <w:tcW w:w="3944" w:type="dxa"/>
          </w:tcPr>
          <w:p w14:paraId="608B1F46" w14:textId="09CC99E7" w:rsidR="00F1437B" w:rsidRPr="00A41826" w:rsidRDefault="00F1437B" w:rsidP="00722685">
            <w:pPr>
              <w:pStyle w:val="NoSpacing"/>
              <w:rPr>
                <w:b/>
                <w:bCs/>
              </w:rPr>
            </w:pPr>
            <w:r w:rsidRPr="00A41826">
              <w:rPr>
                <w:b/>
                <w:bCs/>
              </w:rPr>
              <w:t>1C. Date statement approved by governing body</w:t>
            </w:r>
          </w:p>
        </w:tc>
        <w:tc>
          <w:tcPr>
            <w:tcW w:w="5072" w:type="dxa"/>
          </w:tcPr>
          <w:p w14:paraId="543BA090" w14:textId="7642CDB5" w:rsidR="00F1437B" w:rsidRDefault="00F1437B" w:rsidP="00722685">
            <w:pPr>
              <w:pStyle w:val="NoSpacing"/>
            </w:pPr>
            <w:r>
              <w:t>29 October 2025</w:t>
            </w:r>
          </w:p>
        </w:tc>
      </w:tr>
      <w:tr w:rsidR="00F1437B" w14:paraId="6FF5AF06" w14:textId="77777777" w:rsidTr="009F6BA5">
        <w:tc>
          <w:tcPr>
            <w:tcW w:w="3944" w:type="dxa"/>
          </w:tcPr>
          <w:p w14:paraId="1B1B5CDE" w14:textId="37F33C9D" w:rsidR="00F1437B" w:rsidRPr="00A41826" w:rsidRDefault="00F1437B" w:rsidP="00722685">
            <w:pPr>
              <w:pStyle w:val="NoSpacing"/>
              <w:rPr>
                <w:b/>
                <w:bCs/>
              </w:rPr>
            </w:pPr>
            <w:r w:rsidRPr="00A41826">
              <w:rPr>
                <w:b/>
                <w:bCs/>
              </w:rPr>
              <w:t>1D. Web address of research integrity page</w:t>
            </w:r>
          </w:p>
        </w:tc>
        <w:tc>
          <w:tcPr>
            <w:tcW w:w="5072" w:type="dxa"/>
          </w:tcPr>
          <w:p w14:paraId="03C677FC" w14:textId="57F9A2B7" w:rsidR="00F1437B" w:rsidRDefault="00F1437B" w:rsidP="00722685">
            <w:pPr>
              <w:pStyle w:val="NoSpacing"/>
            </w:pPr>
            <w:hyperlink r:id="rId5" w:history="1">
              <w:r w:rsidRPr="00E5385A">
                <w:rPr>
                  <w:rStyle w:val="Hyperlink"/>
                </w:rPr>
                <w:t>https://www.edgehill.ac.uk/research/research-integrity/</w:t>
              </w:r>
            </w:hyperlink>
            <w:r>
              <w:t xml:space="preserve"> </w:t>
            </w:r>
          </w:p>
        </w:tc>
      </w:tr>
      <w:tr w:rsidR="00F1437B" w14:paraId="78199D58" w14:textId="77777777" w:rsidTr="009F6BA5">
        <w:tc>
          <w:tcPr>
            <w:tcW w:w="3944" w:type="dxa"/>
          </w:tcPr>
          <w:p w14:paraId="3F486706" w14:textId="552E3469" w:rsidR="00F1437B" w:rsidRPr="00A41826" w:rsidRDefault="00F1437B" w:rsidP="00722685">
            <w:pPr>
              <w:pStyle w:val="NoSpacing"/>
              <w:rPr>
                <w:b/>
                <w:bCs/>
              </w:rPr>
            </w:pPr>
            <w:r w:rsidRPr="00A41826">
              <w:rPr>
                <w:b/>
                <w:bCs/>
              </w:rPr>
              <w:t>1E. Named senior member of staff to oversee research integrity</w:t>
            </w:r>
          </w:p>
        </w:tc>
        <w:tc>
          <w:tcPr>
            <w:tcW w:w="5072" w:type="dxa"/>
          </w:tcPr>
          <w:p w14:paraId="3674C120" w14:textId="77777777" w:rsidR="00F1437B" w:rsidRDefault="00D55443" w:rsidP="00722685">
            <w:pPr>
              <w:pStyle w:val="NoSpacing"/>
            </w:pPr>
            <w:r>
              <w:t>Chris Hughes, Director, Research Office</w:t>
            </w:r>
          </w:p>
          <w:p w14:paraId="57A5361B" w14:textId="09EDF720" w:rsidR="00D55443" w:rsidRDefault="00D55443" w:rsidP="00722685">
            <w:pPr>
              <w:pStyle w:val="NoSpacing"/>
            </w:pPr>
            <w:hyperlink r:id="rId6" w:history="1">
              <w:r w:rsidRPr="00597F67">
                <w:rPr>
                  <w:rStyle w:val="Hyperlink"/>
                </w:rPr>
                <w:t>hughesch@edgehill.ac.uk</w:t>
              </w:r>
            </w:hyperlink>
            <w:r>
              <w:t xml:space="preserve"> </w:t>
            </w:r>
          </w:p>
        </w:tc>
      </w:tr>
      <w:tr w:rsidR="00F1437B" w14:paraId="529AD343" w14:textId="77777777" w:rsidTr="009F6BA5">
        <w:tc>
          <w:tcPr>
            <w:tcW w:w="3944" w:type="dxa"/>
          </w:tcPr>
          <w:p w14:paraId="09B63C9F" w14:textId="6F165EFB" w:rsidR="00F1437B" w:rsidRPr="00A41826" w:rsidRDefault="00F1437B" w:rsidP="00722685">
            <w:pPr>
              <w:pStyle w:val="NoSpacing"/>
              <w:rPr>
                <w:b/>
                <w:bCs/>
              </w:rPr>
            </w:pPr>
            <w:r w:rsidRPr="00A41826">
              <w:rPr>
                <w:b/>
                <w:bCs/>
              </w:rPr>
              <w:t>1F. Named member of staff to act as first contact in relation to research integrity matters</w:t>
            </w:r>
          </w:p>
        </w:tc>
        <w:tc>
          <w:tcPr>
            <w:tcW w:w="5072" w:type="dxa"/>
          </w:tcPr>
          <w:p w14:paraId="2F4058C9" w14:textId="22441818" w:rsidR="00F1437B" w:rsidRDefault="00D55443" w:rsidP="00722685">
            <w:pPr>
              <w:pStyle w:val="NoSpacing"/>
            </w:pPr>
            <w:r>
              <w:t>Joanne Morris, Research Integrity and Policy Manager</w:t>
            </w:r>
            <w:r>
              <w:br/>
            </w:r>
            <w:hyperlink r:id="rId7" w:history="1">
              <w:r w:rsidRPr="00597F67">
                <w:rPr>
                  <w:rStyle w:val="Hyperlink"/>
                </w:rPr>
                <w:t>morrisjo@edgehill.ac.uk</w:t>
              </w:r>
            </w:hyperlink>
            <w:r>
              <w:t xml:space="preserve"> </w:t>
            </w:r>
            <w:r w:rsidR="00F1437B">
              <w:t xml:space="preserve"> </w:t>
            </w:r>
          </w:p>
        </w:tc>
      </w:tr>
    </w:tbl>
    <w:p w14:paraId="2DA1155D" w14:textId="5A34B47B" w:rsidR="00F1437B" w:rsidRPr="00A41826" w:rsidRDefault="00F1437B" w:rsidP="006A15D7">
      <w:pPr>
        <w:pStyle w:val="Heading1"/>
      </w:pPr>
      <w:r w:rsidRPr="00A41826">
        <w:t>Section 2: Promoting high standards of research integrity and positive research culture</w:t>
      </w:r>
    </w:p>
    <w:tbl>
      <w:tblPr>
        <w:tblStyle w:val="TableGrid"/>
        <w:tblW w:w="0" w:type="auto"/>
        <w:tblLook w:val="04A0" w:firstRow="1" w:lastRow="0" w:firstColumn="1" w:lastColumn="0" w:noHBand="0" w:noVBand="1"/>
      </w:tblPr>
      <w:tblGrid>
        <w:gridCol w:w="9016"/>
      </w:tblGrid>
      <w:tr w:rsidR="00F1437B" w14:paraId="7A3DDE73" w14:textId="77777777" w:rsidTr="007B2F0A">
        <w:tc>
          <w:tcPr>
            <w:tcW w:w="9016" w:type="dxa"/>
          </w:tcPr>
          <w:p w14:paraId="3CE6B86C" w14:textId="1BB68B1E" w:rsidR="00F1437B" w:rsidRDefault="00F1437B" w:rsidP="00722685">
            <w:pPr>
              <w:pStyle w:val="NoSpacing"/>
            </w:pPr>
            <w:r>
              <w:t>2A. Description of current systems and culture</w:t>
            </w:r>
          </w:p>
        </w:tc>
      </w:tr>
      <w:tr w:rsidR="00F1437B" w14:paraId="3821D1B2" w14:textId="77777777" w:rsidTr="007B2F0A">
        <w:tc>
          <w:tcPr>
            <w:tcW w:w="9016" w:type="dxa"/>
          </w:tcPr>
          <w:p w14:paraId="7F74351A" w14:textId="77777777" w:rsidR="00D55443" w:rsidRPr="00D55443" w:rsidRDefault="00D55443" w:rsidP="007B2F0A">
            <w:pPr>
              <w:pStyle w:val="NoSpacing"/>
              <w:jc w:val="both"/>
            </w:pPr>
          </w:p>
          <w:p w14:paraId="2826254D" w14:textId="0BBC24E9" w:rsidR="00D55443" w:rsidRPr="00D55443" w:rsidRDefault="00D55443" w:rsidP="007B2F0A">
            <w:pPr>
              <w:pStyle w:val="NoSpacing"/>
              <w:jc w:val="both"/>
            </w:pPr>
            <w:r w:rsidRPr="00D55443">
              <w:t xml:space="preserve">The University is committed to supporting the highest standards of research integrity which are reflected in the 2019 Concordat to Support Research Integrity. </w:t>
            </w:r>
          </w:p>
          <w:p w14:paraId="5A71C261" w14:textId="1B9103CA" w:rsidR="00D55443" w:rsidRPr="00D55443" w:rsidRDefault="00D55443" w:rsidP="007B2F0A">
            <w:pPr>
              <w:pStyle w:val="NoSpacing"/>
              <w:numPr>
                <w:ilvl w:val="0"/>
                <w:numId w:val="2"/>
              </w:numPr>
              <w:jc w:val="both"/>
            </w:pPr>
            <w:r w:rsidRPr="00D55443">
              <w:t xml:space="preserve">Commitment 1: To uphold the highest standards of rigour and integrity in all aspects of research. </w:t>
            </w:r>
          </w:p>
          <w:p w14:paraId="593AE10C" w14:textId="4C13B7F0" w:rsidR="00D55443" w:rsidRPr="00D55443" w:rsidRDefault="00D55443" w:rsidP="007B2F0A">
            <w:pPr>
              <w:pStyle w:val="NoSpacing"/>
              <w:numPr>
                <w:ilvl w:val="0"/>
                <w:numId w:val="2"/>
              </w:numPr>
              <w:jc w:val="both"/>
            </w:pPr>
            <w:r w:rsidRPr="00D55443">
              <w:t xml:space="preserve">Commitment 2: To ensure that research is conducted according to appropriate ethical, legal, and professional frameworks, obligations and standards. </w:t>
            </w:r>
          </w:p>
          <w:p w14:paraId="42D87315" w14:textId="0E17B233" w:rsidR="00D55443" w:rsidRPr="00D55443" w:rsidRDefault="00D55443" w:rsidP="007B2F0A">
            <w:pPr>
              <w:pStyle w:val="NoSpacing"/>
              <w:numPr>
                <w:ilvl w:val="0"/>
                <w:numId w:val="2"/>
              </w:numPr>
              <w:jc w:val="both"/>
            </w:pPr>
            <w:r w:rsidRPr="00D55443">
              <w:t xml:space="preserve">Commitment 3: To support a research environment that is underpinned by a culture of integrity and based on good governance, best practice and support for the development of researchers. </w:t>
            </w:r>
          </w:p>
          <w:p w14:paraId="04C3D1C9" w14:textId="55689C4F" w:rsidR="00D55443" w:rsidRPr="00D55443" w:rsidRDefault="00D55443" w:rsidP="007B2F0A">
            <w:pPr>
              <w:pStyle w:val="NoSpacing"/>
              <w:numPr>
                <w:ilvl w:val="0"/>
                <w:numId w:val="2"/>
              </w:numPr>
              <w:jc w:val="both"/>
            </w:pPr>
            <w:r w:rsidRPr="00D55443">
              <w:t xml:space="preserve">Commitment 4: To use transparent, robust and fair processes to deal with allegations of research misconduct should they arise. </w:t>
            </w:r>
          </w:p>
          <w:p w14:paraId="6753C7BC" w14:textId="4B31AFAF" w:rsidR="00D55443" w:rsidRPr="00D55443" w:rsidRDefault="00D55443" w:rsidP="007B2F0A">
            <w:pPr>
              <w:pStyle w:val="NoSpacing"/>
              <w:numPr>
                <w:ilvl w:val="0"/>
                <w:numId w:val="2"/>
              </w:numPr>
              <w:jc w:val="both"/>
            </w:pPr>
            <w:r w:rsidRPr="00D55443">
              <w:t xml:space="preserve">Commitment 5: To work together to strengthen the integrity of research and to review progress regularly and openly. </w:t>
            </w:r>
          </w:p>
          <w:p w14:paraId="6DBCD780" w14:textId="77777777" w:rsidR="00F1437B" w:rsidRDefault="00F1437B" w:rsidP="007B2F0A">
            <w:pPr>
              <w:pStyle w:val="NoSpacing"/>
              <w:jc w:val="both"/>
            </w:pPr>
          </w:p>
          <w:p w14:paraId="284578DD" w14:textId="77777777" w:rsidR="00D55443" w:rsidRPr="00D55443" w:rsidRDefault="00D55443" w:rsidP="007B2F0A">
            <w:pPr>
              <w:pStyle w:val="NoSpacing"/>
              <w:jc w:val="both"/>
            </w:pPr>
          </w:p>
          <w:p w14:paraId="0C3A8CC2" w14:textId="4BE0A35C" w:rsidR="00D55443" w:rsidRPr="00D55443" w:rsidRDefault="00D55443" w:rsidP="007B2F0A">
            <w:pPr>
              <w:pStyle w:val="NoSpacing"/>
              <w:jc w:val="both"/>
            </w:pPr>
            <w:r w:rsidRPr="00D55443">
              <w:t xml:space="preserve">The University Research and Innovation Committee is responsible for ensuring adherence to these commitments which it discharges via the University Research Ethics Sub-committee (URESC). We have a range of policies, codes and processes to support researchers in maintaining these standards, including: </w:t>
            </w:r>
          </w:p>
          <w:p w14:paraId="3D36931E" w14:textId="70B2CDC0" w:rsidR="00D55443" w:rsidRPr="00D55443" w:rsidRDefault="00D55443" w:rsidP="007B2F0A">
            <w:pPr>
              <w:pStyle w:val="NoSpacing"/>
              <w:numPr>
                <w:ilvl w:val="0"/>
                <w:numId w:val="3"/>
              </w:numPr>
              <w:jc w:val="both"/>
            </w:pPr>
            <w:r w:rsidRPr="00D55443">
              <w:lastRenderedPageBreak/>
              <w:t xml:space="preserve">Code of Practice for the Conduct of Research </w:t>
            </w:r>
          </w:p>
          <w:p w14:paraId="71B6B8EB" w14:textId="1C0A7764" w:rsidR="00D55443" w:rsidRPr="00D55443" w:rsidRDefault="00D55443" w:rsidP="007B2F0A">
            <w:pPr>
              <w:pStyle w:val="NoSpacing"/>
              <w:numPr>
                <w:ilvl w:val="0"/>
                <w:numId w:val="3"/>
              </w:numPr>
              <w:jc w:val="both"/>
            </w:pPr>
            <w:r w:rsidRPr="00D55443">
              <w:t xml:space="preserve">Code of Practice for the Investigation of Research Misconduct </w:t>
            </w:r>
          </w:p>
          <w:p w14:paraId="7A788567" w14:textId="77777777" w:rsidR="00D55443" w:rsidRDefault="00D55443" w:rsidP="007B2F0A">
            <w:pPr>
              <w:pStyle w:val="NoSpacing"/>
              <w:numPr>
                <w:ilvl w:val="0"/>
                <w:numId w:val="3"/>
              </w:numPr>
              <w:jc w:val="both"/>
            </w:pPr>
            <w:r w:rsidRPr="00D55443">
              <w:t>Research Ethics Policy (REP) and Standard Operating Procedures (SOPs)</w:t>
            </w:r>
          </w:p>
          <w:p w14:paraId="09E0F31B" w14:textId="508431D4" w:rsidR="00D55443" w:rsidRPr="00D55443" w:rsidRDefault="00D55443" w:rsidP="007B2F0A">
            <w:pPr>
              <w:pStyle w:val="NoSpacing"/>
              <w:numPr>
                <w:ilvl w:val="1"/>
                <w:numId w:val="3"/>
              </w:numPr>
              <w:jc w:val="both"/>
            </w:pPr>
            <w:r w:rsidRPr="00D55443">
              <w:t xml:space="preserve">URESC Ethical Guidance for Undertaking Research with Children and Young People </w:t>
            </w:r>
          </w:p>
          <w:p w14:paraId="15DAFD4C" w14:textId="318FF31E" w:rsidR="00D55443" w:rsidRPr="00D55443" w:rsidRDefault="00D55443" w:rsidP="007B2F0A">
            <w:pPr>
              <w:pStyle w:val="NoSpacing"/>
              <w:numPr>
                <w:ilvl w:val="1"/>
                <w:numId w:val="3"/>
              </w:numPr>
              <w:jc w:val="both"/>
            </w:pPr>
            <w:r w:rsidRPr="00D55443">
              <w:t xml:space="preserve">URESC Ethical Guidance for Undertaking Research with Vulnerable Adults </w:t>
            </w:r>
          </w:p>
          <w:p w14:paraId="0D33FFB7" w14:textId="00D90880" w:rsidR="00D55443" w:rsidRPr="00D55443" w:rsidRDefault="00D55443" w:rsidP="007B2F0A">
            <w:pPr>
              <w:pStyle w:val="NoSpacing"/>
              <w:numPr>
                <w:ilvl w:val="1"/>
                <w:numId w:val="3"/>
              </w:numPr>
              <w:jc w:val="both"/>
            </w:pPr>
            <w:r w:rsidRPr="00D55443">
              <w:t xml:space="preserve">URESC Ethical Guidance for Undertaking Research with Edge Hill University Students </w:t>
            </w:r>
          </w:p>
          <w:p w14:paraId="6EC2CAB1" w14:textId="0E3D1058" w:rsidR="00D55443" w:rsidRPr="00D55443" w:rsidRDefault="00D55443" w:rsidP="007B2F0A">
            <w:pPr>
              <w:pStyle w:val="NoSpacing"/>
              <w:numPr>
                <w:ilvl w:val="0"/>
                <w:numId w:val="3"/>
              </w:numPr>
              <w:jc w:val="both"/>
            </w:pPr>
            <w:r w:rsidRPr="00D55443">
              <w:t xml:space="preserve">Human Tissue Quality Manual </w:t>
            </w:r>
          </w:p>
          <w:p w14:paraId="41E6DB04" w14:textId="7BF7D52B" w:rsidR="00D55443" w:rsidRPr="00D55443" w:rsidRDefault="00D55443" w:rsidP="007B2F0A">
            <w:pPr>
              <w:pStyle w:val="NoSpacing"/>
              <w:numPr>
                <w:ilvl w:val="0"/>
                <w:numId w:val="3"/>
              </w:numPr>
              <w:jc w:val="both"/>
            </w:pPr>
            <w:r w:rsidRPr="00D55443">
              <w:t xml:space="preserve">Research Risk Assessment Guidance </w:t>
            </w:r>
          </w:p>
          <w:p w14:paraId="506D05E3" w14:textId="0AE870DA" w:rsidR="00D55443" w:rsidRPr="00D55443" w:rsidRDefault="00D55443" w:rsidP="007B2F0A">
            <w:pPr>
              <w:pStyle w:val="NoSpacing"/>
              <w:numPr>
                <w:ilvl w:val="0"/>
                <w:numId w:val="3"/>
              </w:numPr>
              <w:jc w:val="both"/>
            </w:pPr>
            <w:r w:rsidRPr="00D55443">
              <w:t xml:space="preserve">Open Access Policy </w:t>
            </w:r>
          </w:p>
          <w:p w14:paraId="0187C2B7" w14:textId="7169B24B" w:rsidR="00D55443" w:rsidRPr="00D55443" w:rsidRDefault="00D55443" w:rsidP="007B2F0A">
            <w:pPr>
              <w:pStyle w:val="NoSpacing"/>
              <w:numPr>
                <w:ilvl w:val="0"/>
                <w:numId w:val="3"/>
              </w:numPr>
              <w:jc w:val="both"/>
            </w:pPr>
            <w:r w:rsidRPr="00D55443">
              <w:t xml:space="preserve">Research Data Management Guidelines </w:t>
            </w:r>
          </w:p>
          <w:p w14:paraId="50459383" w14:textId="6B13DE8B" w:rsidR="00D55443" w:rsidRPr="00D55443" w:rsidRDefault="00D55443" w:rsidP="007B2F0A">
            <w:pPr>
              <w:pStyle w:val="NoSpacing"/>
              <w:numPr>
                <w:ilvl w:val="0"/>
                <w:numId w:val="3"/>
              </w:numPr>
              <w:jc w:val="both"/>
            </w:pPr>
            <w:r w:rsidRPr="00D55443">
              <w:t xml:space="preserve">Policy on Researching and Handling Sensitive Material </w:t>
            </w:r>
          </w:p>
          <w:p w14:paraId="1838E8CD" w14:textId="59FEC711" w:rsidR="00D55443" w:rsidRPr="00D55443" w:rsidRDefault="00D55443" w:rsidP="007B2F0A">
            <w:pPr>
              <w:pStyle w:val="NoSpacing"/>
              <w:numPr>
                <w:ilvl w:val="0"/>
                <w:numId w:val="3"/>
              </w:numPr>
              <w:jc w:val="both"/>
            </w:pPr>
            <w:r w:rsidRPr="00D55443">
              <w:t xml:space="preserve">Health-related findings guidance </w:t>
            </w:r>
          </w:p>
          <w:p w14:paraId="5A47C81A" w14:textId="2FE470BA" w:rsidR="00D55443" w:rsidRPr="00D55443" w:rsidRDefault="00D55443" w:rsidP="007B2F0A">
            <w:pPr>
              <w:pStyle w:val="NoSpacing"/>
              <w:numPr>
                <w:ilvl w:val="0"/>
                <w:numId w:val="3"/>
              </w:numPr>
              <w:jc w:val="both"/>
            </w:pPr>
            <w:r w:rsidRPr="00D55443">
              <w:t xml:space="preserve">Guidance when applying for </w:t>
            </w:r>
            <w:r w:rsidR="007B2F0A" w:rsidRPr="00D55443">
              <w:t>sponsorship.</w:t>
            </w:r>
            <w:r w:rsidRPr="00D55443">
              <w:t xml:space="preserve"> </w:t>
            </w:r>
          </w:p>
          <w:p w14:paraId="023D5C00" w14:textId="77777777" w:rsidR="00D55443" w:rsidRDefault="00D55443" w:rsidP="007B2F0A">
            <w:pPr>
              <w:pStyle w:val="NoSpacing"/>
              <w:jc w:val="both"/>
            </w:pPr>
          </w:p>
          <w:p w14:paraId="33AD2433" w14:textId="77777777" w:rsidR="00D55443" w:rsidRPr="00D55443" w:rsidRDefault="00D55443" w:rsidP="007B2F0A">
            <w:pPr>
              <w:pStyle w:val="NoSpacing"/>
              <w:jc w:val="both"/>
            </w:pPr>
            <w:r w:rsidRPr="00D55443">
              <w:t xml:space="preserve">All documents relating to research governance are all available on the University’s documents webpages. The Research Office oversees the review and updating of these codes and policies on behalf of Research Committee. A review of the following documents is currently underway: </w:t>
            </w:r>
          </w:p>
          <w:p w14:paraId="14529764" w14:textId="0FFF3413" w:rsidR="00D55443" w:rsidRPr="00D55443" w:rsidRDefault="00D55443" w:rsidP="007B2F0A">
            <w:pPr>
              <w:pStyle w:val="NoSpacing"/>
              <w:numPr>
                <w:ilvl w:val="0"/>
                <w:numId w:val="4"/>
              </w:numPr>
              <w:jc w:val="both"/>
            </w:pPr>
            <w:r w:rsidRPr="00D55443">
              <w:t xml:space="preserve">Code of Practice for the Conduct of Research </w:t>
            </w:r>
          </w:p>
          <w:p w14:paraId="3F868928" w14:textId="044CDF67" w:rsidR="00D55443" w:rsidRPr="00D55443" w:rsidRDefault="00D55443" w:rsidP="007B2F0A">
            <w:pPr>
              <w:pStyle w:val="NoSpacing"/>
              <w:numPr>
                <w:ilvl w:val="0"/>
                <w:numId w:val="4"/>
              </w:numPr>
              <w:jc w:val="both"/>
            </w:pPr>
            <w:r w:rsidRPr="00D55443">
              <w:t xml:space="preserve">Code of Practice for the Investigation of Research Misconduct </w:t>
            </w:r>
          </w:p>
          <w:p w14:paraId="2748955B" w14:textId="25E7178B" w:rsidR="00D55443" w:rsidRPr="00D55443" w:rsidRDefault="00D55443" w:rsidP="007B2F0A">
            <w:pPr>
              <w:pStyle w:val="NoSpacing"/>
              <w:numPr>
                <w:ilvl w:val="0"/>
                <w:numId w:val="4"/>
              </w:numPr>
              <w:jc w:val="both"/>
            </w:pPr>
            <w:r w:rsidRPr="00D55443">
              <w:t xml:space="preserve">Code of Practice for the Research Ethics Policy </w:t>
            </w:r>
          </w:p>
          <w:p w14:paraId="26968506" w14:textId="7A7F7D7A" w:rsidR="00D55443" w:rsidRPr="00D55443" w:rsidRDefault="00D55443" w:rsidP="007B2F0A">
            <w:pPr>
              <w:pStyle w:val="NoSpacing"/>
              <w:numPr>
                <w:ilvl w:val="0"/>
                <w:numId w:val="4"/>
              </w:numPr>
              <w:jc w:val="both"/>
            </w:pPr>
            <w:r w:rsidRPr="00D55443">
              <w:t xml:space="preserve">Open Access Policy </w:t>
            </w:r>
          </w:p>
          <w:p w14:paraId="7779FD29" w14:textId="27DB72AC" w:rsidR="00D55443" w:rsidRPr="00D55443" w:rsidRDefault="00D55443" w:rsidP="007B2F0A">
            <w:pPr>
              <w:pStyle w:val="NoSpacing"/>
              <w:numPr>
                <w:ilvl w:val="0"/>
                <w:numId w:val="4"/>
              </w:numPr>
              <w:jc w:val="both"/>
            </w:pPr>
            <w:r w:rsidRPr="00D55443">
              <w:t xml:space="preserve">Health-related findings guidance. </w:t>
            </w:r>
          </w:p>
          <w:p w14:paraId="1DF200C3" w14:textId="77777777" w:rsidR="00D55443" w:rsidRPr="00D55443" w:rsidRDefault="00D55443" w:rsidP="007B2F0A">
            <w:pPr>
              <w:pStyle w:val="NoSpacing"/>
              <w:jc w:val="both"/>
            </w:pPr>
          </w:p>
          <w:p w14:paraId="6813FDD9" w14:textId="77777777" w:rsidR="00D55443" w:rsidRPr="00D55443" w:rsidRDefault="00D55443" w:rsidP="007B2F0A">
            <w:pPr>
              <w:pStyle w:val="NoSpacing"/>
              <w:jc w:val="both"/>
            </w:pPr>
            <w:r w:rsidRPr="00D55443">
              <w:t xml:space="preserve">Training opportunities for researchers are reviewed annually and a number of new sessions, particularly around ethics and the ethics process have been added to researcher development programme. Newly enrolling PhD students have training sessions which cover the codes of practice, the ethics approval process, risk assessment and working with human tissue. All those undertaking research involving human tissue are required to complete specific training. </w:t>
            </w:r>
          </w:p>
          <w:p w14:paraId="61FE52D5" w14:textId="366BEA26" w:rsidR="00D55443" w:rsidRDefault="00D55443" w:rsidP="007B2F0A">
            <w:pPr>
              <w:pStyle w:val="NoSpacing"/>
              <w:jc w:val="both"/>
            </w:pPr>
            <w:r w:rsidRPr="00D55443">
              <w:t xml:space="preserve">There is an additional policy on intellectual property that is owned by Governance, Quality Assurance, and Student Casework (GQASC) and is held on the University’s documents webpages. </w:t>
            </w:r>
          </w:p>
          <w:p w14:paraId="0F9DDE75" w14:textId="77777777" w:rsidR="00D55443" w:rsidRPr="00D55443" w:rsidRDefault="00D55443" w:rsidP="007B2F0A">
            <w:pPr>
              <w:pStyle w:val="NoSpacing"/>
              <w:jc w:val="both"/>
            </w:pPr>
          </w:p>
          <w:p w14:paraId="74BCAFE2" w14:textId="77777777" w:rsidR="00D55443" w:rsidRPr="00D55443" w:rsidRDefault="00D55443" w:rsidP="007B2F0A">
            <w:pPr>
              <w:pStyle w:val="NoSpacing"/>
              <w:jc w:val="both"/>
            </w:pPr>
            <w:r w:rsidRPr="00D55443">
              <w:rPr>
                <w:b/>
                <w:bCs/>
              </w:rPr>
              <w:t xml:space="preserve">Research Governance Structures </w:t>
            </w:r>
          </w:p>
          <w:p w14:paraId="05B470A2" w14:textId="77777777" w:rsidR="00D55443" w:rsidRPr="00D55443" w:rsidRDefault="00D55443" w:rsidP="007B2F0A">
            <w:pPr>
              <w:pStyle w:val="NoSpacing"/>
              <w:jc w:val="both"/>
            </w:pPr>
            <w:r w:rsidRPr="00D55443">
              <w:t xml:space="preserve">Research and Innovation Committee (URIC) is chaired by the Pro Vice-Chancellor for Research. It has representatives from each faculty and ex-officio and appointed members from the Research Office, URESC, Learning Services and the Governing Body. The Committee delegates the responsibility for the ethical approval process to URESC which meets three times a year. Among its ex-officio members are the chairs of each Subject Research Ethics Committee (SREC) which, in turn, oversee the ethical approval processes of research conducted in their areas. The SRECs were established in academic year 2020/21, there are five in total: Arts &amp; Humanities, Education, Health-related, Science, and Social Sciences. Departmental review is encouraged but not mandatory. All applications must be endorsed by the head of department with post graduate researcher (PGR) applications requiring the </w:t>
            </w:r>
            <w:r w:rsidRPr="00D55443">
              <w:lastRenderedPageBreak/>
              <w:t xml:space="preserve">endorsement of the supervisor before the head of department. Where a SREC does not feel able to grant ethical approval, it may ask URESC to review the application. It is the nature of the project not the applicant’s department that determines which research ethics committee (REC) reviews the project. </w:t>
            </w:r>
          </w:p>
          <w:p w14:paraId="7651B052" w14:textId="77777777" w:rsidR="00D55443" w:rsidRPr="00D55443" w:rsidRDefault="00D55443" w:rsidP="007B2F0A">
            <w:pPr>
              <w:pStyle w:val="NoSpacing"/>
              <w:jc w:val="both"/>
            </w:pPr>
            <w:r w:rsidRPr="00D55443">
              <w:t xml:space="preserve">In addition to the ethics committees, there is a Human Tissue Management Sub-committee (HTMSC), which has oversight of the work carried out under a Research licence issued by the Human Tissue Authority. All projects carried out under the licence must receive ethical approval from the Science Subject Research Ethics Committee (SSREC) or Health Research Ethics Committee (HREC). HREC should review and approve if the project also needs approval from the Health Research Authority. The ‘Designated Individual’ under the terms of the HTA licence is an ex-officio member of HTMSC, URESC and SSREC. </w:t>
            </w:r>
          </w:p>
          <w:p w14:paraId="328BCC1A" w14:textId="36E61FD8" w:rsidR="00D55443" w:rsidRDefault="00D55443" w:rsidP="007B2F0A">
            <w:pPr>
              <w:pStyle w:val="NoSpacing"/>
              <w:jc w:val="both"/>
            </w:pPr>
            <w:r w:rsidRPr="00D55443">
              <w:t>All governance policies are reviewed regularly and changes are consulted on with relevant stakeholders before being approved by an appropriate Committee. Procedures and pathways for the development and approval of governance documents are owned by Governance, Quality Assurance, and Student Casework (GQASC).</w:t>
            </w:r>
          </w:p>
        </w:tc>
      </w:tr>
    </w:tbl>
    <w:p w14:paraId="315410E6" w14:textId="77777777" w:rsidR="00F1437B" w:rsidRDefault="00F1437B" w:rsidP="00722685">
      <w:pPr>
        <w:pStyle w:val="NoSpacing"/>
      </w:pPr>
    </w:p>
    <w:p w14:paraId="3962B10C" w14:textId="77777777" w:rsidR="00F1437B" w:rsidRDefault="00F1437B" w:rsidP="00722685">
      <w:pPr>
        <w:pStyle w:val="NoSpacing"/>
      </w:pPr>
    </w:p>
    <w:tbl>
      <w:tblPr>
        <w:tblStyle w:val="TableGrid"/>
        <w:tblW w:w="0" w:type="auto"/>
        <w:tblLook w:val="04A0" w:firstRow="1" w:lastRow="0" w:firstColumn="1" w:lastColumn="0" w:noHBand="0" w:noVBand="1"/>
      </w:tblPr>
      <w:tblGrid>
        <w:gridCol w:w="9016"/>
      </w:tblGrid>
      <w:tr w:rsidR="00F1437B" w14:paraId="748DF49C" w14:textId="77777777" w:rsidTr="00F1437B">
        <w:tc>
          <w:tcPr>
            <w:tcW w:w="9242" w:type="dxa"/>
          </w:tcPr>
          <w:p w14:paraId="402F604B" w14:textId="7802AD6F" w:rsidR="00F1437B" w:rsidRDefault="00F1437B" w:rsidP="00722685">
            <w:pPr>
              <w:pStyle w:val="NoSpacing"/>
            </w:pPr>
            <w:r>
              <w:t>2B. Changes and developments during the period under review</w:t>
            </w:r>
          </w:p>
        </w:tc>
      </w:tr>
      <w:tr w:rsidR="00F1437B" w14:paraId="390D24D5" w14:textId="77777777" w:rsidTr="00F1437B">
        <w:tc>
          <w:tcPr>
            <w:tcW w:w="9242" w:type="dxa"/>
          </w:tcPr>
          <w:p w14:paraId="4A803B26" w14:textId="77293656" w:rsidR="00F1437B" w:rsidRDefault="00D55443" w:rsidP="007B2F0A">
            <w:pPr>
              <w:pStyle w:val="NoSpacing"/>
              <w:jc w:val="both"/>
            </w:pPr>
            <w:r>
              <w:t>During Academic Year (AY) 2024/25 we undertook and completed a major update of the University’s research governance framework, making changes to many of the key documents, including:</w:t>
            </w:r>
          </w:p>
          <w:p w14:paraId="5EE9F2D2" w14:textId="77777777" w:rsidR="00D55443" w:rsidRDefault="00D55443" w:rsidP="007B2F0A">
            <w:pPr>
              <w:pStyle w:val="NoSpacing"/>
              <w:jc w:val="both"/>
            </w:pPr>
          </w:p>
          <w:p w14:paraId="6A427155" w14:textId="77777777" w:rsidR="00D55443" w:rsidRDefault="00D55443" w:rsidP="007B2F0A">
            <w:pPr>
              <w:pStyle w:val="NoSpacing"/>
              <w:numPr>
                <w:ilvl w:val="0"/>
                <w:numId w:val="5"/>
              </w:numPr>
              <w:jc w:val="both"/>
            </w:pPr>
            <w:r>
              <w:t>Code of Practice for the Conduct of Research</w:t>
            </w:r>
          </w:p>
          <w:p w14:paraId="49CBCBEC" w14:textId="77777777" w:rsidR="00D55443" w:rsidRDefault="00D55443" w:rsidP="007B2F0A">
            <w:pPr>
              <w:pStyle w:val="NoSpacing"/>
              <w:numPr>
                <w:ilvl w:val="0"/>
                <w:numId w:val="5"/>
              </w:numPr>
              <w:jc w:val="both"/>
            </w:pPr>
            <w:r>
              <w:t>Code of Practice for the Investigation of Research Misconduct</w:t>
            </w:r>
          </w:p>
          <w:p w14:paraId="1586A418" w14:textId="77777777" w:rsidR="00D55443" w:rsidRDefault="00D55443" w:rsidP="007B2F0A">
            <w:pPr>
              <w:pStyle w:val="NoSpacing"/>
              <w:numPr>
                <w:ilvl w:val="0"/>
                <w:numId w:val="5"/>
              </w:numPr>
              <w:jc w:val="both"/>
            </w:pPr>
            <w:r>
              <w:t>Research Ethics Policy</w:t>
            </w:r>
          </w:p>
          <w:p w14:paraId="3ADA3BF6" w14:textId="77777777" w:rsidR="00D55443" w:rsidRDefault="00D55443" w:rsidP="007B2F0A">
            <w:pPr>
              <w:pStyle w:val="NoSpacing"/>
              <w:numPr>
                <w:ilvl w:val="0"/>
                <w:numId w:val="5"/>
              </w:numPr>
              <w:jc w:val="both"/>
            </w:pPr>
            <w:r>
              <w:t>Intellectual Property Policy</w:t>
            </w:r>
          </w:p>
          <w:p w14:paraId="2E9A3FA7" w14:textId="77777777" w:rsidR="00D55443" w:rsidRDefault="00D55443" w:rsidP="007B2F0A">
            <w:pPr>
              <w:pStyle w:val="NoSpacing"/>
              <w:numPr>
                <w:ilvl w:val="0"/>
                <w:numId w:val="5"/>
              </w:numPr>
              <w:jc w:val="both"/>
            </w:pPr>
            <w:r>
              <w:t>Research Data Management Policy</w:t>
            </w:r>
          </w:p>
          <w:p w14:paraId="5DB8213A" w14:textId="77777777" w:rsidR="00D55443" w:rsidRDefault="00D55443" w:rsidP="007B2F0A">
            <w:pPr>
              <w:pStyle w:val="NoSpacing"/>
              <w:numPr>
                <w:ilvl w:val="0"/>
                <w:numId w:val="5"/>
              </w:numPr>
              <w:jc w:val="both"/>
            </w:pPr>
            <w:r>
              <w:t>Policy on Researching and Handling Sensitive Material.</w:t>
            </w:r>
          </w:p>
          <w:p w14:paraId="4AF4B5BA" w14:textId="77777777" w:rsidR="00D55443" w:rsidRDefault="00D55443" w:rsidP="007B2F0A">
            <w:pPr>
              <w:pStyle w:val="NoSpacing"/>
              <w:jc w:val="both"/>
            </w:pPr>
          </w:p>
          <w:p w14:paraId="451A2F58" w14:textId="77777777" w:rsidR="00D55443" w:rsidRDefault="00D55443" w:rsidP="007B2F0A">
            <w:pPr>
              <w:pStyle w:val="NoSpacing"/>
              <w:jc w:val="both"/>
            </w:pPr>
            <w:r>
              <w:t>We also extended the research governance framework through new statements of policy and procedure, including</w:t>
            </w:r>
          </w:p>
          <w:p w14:paraId="30297E69" w14:textId="77777777" w:rsidR="00D55443" w:rsidRDefault="00D55443" w:rsidP="007B2F0A">
            <w:pPr>
              <w:pStyle w:val="NoSpacing"/>
              <w:numPr>
                <w:ilvl w:val="0"/>
                <w:numId w:val="6"/>
              </w:numPr>
              <w:jc w:val="both"/>
            </w:pPr>
            <w:r>
              <w:t>A new Open Access and Publications Policy, including the adoption of a rights retention strategy</w:t>
            </w:r>
          </w:p>
          <w:p w14:paraId="782BFCC8" w14:textId="69C54F7B" w:rsidR="00D55443" w:rsidRDefault="00443DC2" w:rsidP="007B2F0A">
            <w:pPr>
              <w:pStyle w:val="NoSpacing"/>
              <w:numPr>
                <w:ilvl w:val="0"/>
                <w:numId w:val="6"/>
              </w:numPr>
              <w:jc w:val="both"/>
            </w:pPr>
            <w:r>
              <w:t>A policy on Sponsorship under the Health Research Authority’s Research Governance Framework</w:t>
            </w:r>
            <w:r w:rsidR="007B2F0A">
              <w:t>.</w:t>
            </w:r>
          </w:p>
          <w:p w14:paraId="7EA296DF" w14:textId="77777777" w:rsidR="00443DC2" w:rsidRDefault="00443DC2" w:rsidP="007B2F0A">
            <w:pPr>
              <w:pStyle w:val="NoSpacing"/>
              <w:jc w:val="both"/>
            </w:pPr>
          </w:p>
          <w:p w14:paraId="1F7B9957" w14:textId="3E03715C" w:rsidR="00153D79" w:rsidRDefault="00153D79" w:rsidP="007B2F0A">
            <w:pPr>
              <w:pStyle w:val="NoSpacing"/>
              <w:jc w:val="both"/>
            </w:pPr>
            <w:r>
              <w:t xml:space="preserve">A number of changes were made to key research </w:t>
            </w:r>
            <w:r w:rsidR="00D52407">
              <w:t>governance</w:t>
            </w:r>
            <w:r>
              <w:t xml:space="preserve"> roles during AY 2024/25, including:</w:t>
            </w:r>
          </w:p>
          <w:p w14:paraId="49C96C5F" w14:textId="77777777" w:rsidR="00153D79" w:rsidRDefault="00153D79" w:rsidP="007B2F0A">
            <w:pPr>
              <w:pStyle w:val="NoSpacing"/>
              <w:numPr>
                <w:ilvl w:val="0"/>
                <w:numId w:val="7"/>
              </w:numPr>
              <w:jc w:val="both"/>
            </w:pPr>
            <w:r>
              <w:t>The appointment of a new chair of the University Research Ethics Sub-Committee</w:t>
            </w:r>
          </w:p>
          <w:p w14:paraId="78581B37" w14:textId="77777777" w:rsidR="00153D79" w:rsidRDefault="00153D79" w:rsidP="007B2F0A">
            <w:pPr>
              <w:pStyle w:val="NoSpacing"/>
              <w:numPr>
                <w:ilvl w:val="0"/>
                <w:numId w:val="7"/>
              </w:numPr>
              <w:jc w:val="both"/>
            </w:pPr>
            <w:r>
              <w:t>The appointment of new chairs to the Education, and Arts &amp; Humanities research ethics committees</w:t>
            </w:r>
          </w:p>
          <w:p w14:paraId="04EDFCF0" w14:textId="06877FC7" w:rsidR="00153D79" w:rsidRDefault="00153D79" w:rsidP="007B2F0A">
            <w:pPr>
              <w:pStyle w:val="NoSpacing"/>
              <w:numPr>
                <w:ilvl w:val="0"/>
                <w:numId w:val="7"/>
              </w:numPr>
              <w:jc w:val="both"/>
            </w:pPr>
            <w:r>
              <w:t>the appointment of a new Corporate Licence Holder’s Representative under our Research Licence from the Human Tissue Authority.</w:t>
            </w:r>
          </w:p>
        </w:tc>
      </w:tr>
    </w:tbl>
    <w:p w14:paraId="17F8145D" w14:textId="77777777" w:rsidR="00F1437B" w:rsidRDefault="00F1437B" w:rsidP="00722685">
      <w:pPr>
        <w:pStyle w:val="NoSpacing"/>
      </w:pPr>
    </w:p>
    <w:p w14:paraId="066A3C9A" w14:textId="77777777" w:rsidR="00F1437B" w:rsidRDefault="00F1437B" w:rsidP="00722685">
      <w:pPr>
        <w:pStyle w:val="NoSpacing"/>
      </w:pPr>
    </w:p>
    <w:tbl>
      <w:tblPr>
        <w:tblStyle w:val="TableGrid"/>
        <w:tblW w:w="0" w:type="auto"/>
        <w:tblLook w:val="04A0" w:firstRow="1" w:lastRow="0" w:firstColumn="1" w:lastColumn="0" w:noHBand="0" w:noVBand="1"/>
      </w:tblPr>
      <w:tblGrid>
        <w:gridCol w:w="9016"/>
      </w:tblGrid>
      <w:tr w:rsidR="00F1437B" w14:paraId="6F547FF4" w14:textId="77777777" w:rsidTr="00C42048">
        <w:tc>
          <w:tcPr>
            <w:tcW w:w="9242" w:type="dxa"/>
          </w:tcPr>
          <w:p w14:paraId="6C14A6EB" w14:textId="1642380E" w:rsidR="00F1437B" w:rsidRDefault="00F1437B" w:rsidP="00C42048">
            <w:pPr>
              <w:pStyle w:val="NoSpacing"/>
            </w:pPr>
            <w:r>
              <w:t>2C. Reflections on progress and plans for future developments</w:t>
            </w:r>
          </w:p>
        </w:tc>
      </w:tr>
      <w:tr w:rsidR="00F1437B" w14:paraId="625046BC" w14:textId="77777777" w:rsidTr="00C42048">
        <w:tc>
          <w:tcPr>
            <w:tcW w:w="9242" w:type="dxa"/>
          </w:tcPr>
          <w:p w14:paraId="63BD194E" w14:textId="611CB492" w:rsidR="00F1437B" w:rsidRDefault="00153D79" w:rsidP="007B2F0A">
            <w:pPr>
              <w:pStyle w:val="NoSpacing"/>
              <w:jc w:val="both"/>
            </w:pPr>
            <w:r>
              <w:lastRenderedPageBreak/>
              <w:t xml:space="preserve">A key initiative to be taken forward in AY 2025/26 is the development and implementation of a new Research Culture and Environment Implementation Plan. This will encompass a wide range of people/ staff development and training initiatives as well as the development of new mechanisms to strengthen research culture. </w:t>
            </w:r>
            <w:r w:rsidR="00EF1462">
              <w:t xml:space="preserve">Within this framework, we will continue to implement measures agreed through the work of our reproducibility steering group, led by the Institutional and Local Network Leads. </w:t>
            </w:r>
          </w:p>
          <w:p w14:paraId="49736693" w14:textId="77777777" w:rsidR="00D52407" w:rsidRDefault="00D52407" w:rsidP="007B2F0A">
            <w:pPr>
              <w:pStyle w:val="NoSpacing"/>
              <w:jc w:val="both"/>
            </w:pPr>
          </w:p>
          <w:p w14:paraId="1BAF3398" w14:textId="6089BEE4" w:rsidR="00D52407" w:rsidRDefault="00D52407" w:rsidP="007B2F0A">
            <w:pPr>
              <w:pStyle w:val="NoSpacing"/>
              <w:jc w:val="both"/>
            </w:pPr>
            <w:r w:rsidRPr="00D52407">
              <w:t xml:space="preserve">In September 2024, the University extended its association and membership with UKRN (UK Reproducibility Network). UKRN is a peer-led consortium that aims to ensure the UK retains its place as a centre for world-leading research. For some years now, the University kept its association through a Local Network Lead (LNL) and a respective resource and training related Library Team. Last year, the PCV (Research &amp; Knowledge Exchange) has scaled up to an Institutional level membership by appointing an Institutional Lead (IL).  Soon after his appointment, the IL called for an Institutional Steering Committee with the remit to monitor progress on their proposed actions via their verification through the URIC. The purpose of these proposed actions </w:t>
            </w:r>
            <w:r w:rsidR="007B2F0A" w:rsidRPr="00D52407">
              <w:t>is</w:t>
            </w:r>
            <w:r w:rsidRPr="00D52407">
              <w:t xml:space="preserve"> to guide the transformation process of the University and its relevant units to move forward the UKRN and OR (Open Research) agendas to the highest possible UKRN standard. There is an assessment tool, called Self-Assessment Survey (SAS), which is being used to capture and track progress through a 4-point scale maturity level.  </w:t>
            </w:r>
            <w:r>
              <w:t xml:space="preserve">A key initiative being taken forward in AY 2025/26 is the implementation of the UKRN’s </w:t>
            </w:r>
            <w:r w:rsidRPr="00D52407">
              <w:t>Open and Responsible Researcher Reward and Recognition (OR4)</w:t>
            </w:r>
            <w:r>
              <w:t xml:space="preserve"> programme.</w:t>
            </w:r>
          </w:p>
          <w:p w14:paraId="0AD90D07" w14:textId="77777777" w:rsidR="00D52407" w:rsidRDefault="00D52407" w:rsidP="007B2F0A">
            <w:pPr>
              <w:pStyle w:val="NoSpacing"/>
              <w:jc w:val="both"/>
            </w:pPr>
          </w:p>
          <w:p w14:paraId="19B380F5" w14:textId="77777777" w:rsidR="00153D79" w:rsidRDefault="00153D79" w:rsidP="007B2F0A">
            <w:pPr>
              <w:pStyle w:val="NoSpacing"/>
              <w:jc w:val="both"/>
            </w:pPr>
            <w:r>
              <w:t xml:space="preserve">The University has established a new researcher-led Early and Mid Career researcher development network. This network will work closely with the Research Office and the University’s new Head of Organisational Development to design and deliver </w:t>
            </w:r>
            <w:r w:rsidR="00EF1462">
              <w:t xml:space="preserve">our </w:t>
            </w:r>
            <w:r>
              <w:t xml:space="preserve">researcher development </w:t>
            </w:r>
            <w:r w:rsidR="00EF1462">
              <w:t>programme.</w:t>
            </w:r>
          </w:p>
          <w:p w14:paraId="20CFC744" w14:textId="77777777" w:rsidR="00EF1462" w:rsidRDefault="00EF1462" w:rsidP="007B2F0A">
            <w:pPr>
              <w:pStyle w:val="NoSpacing"/>
              <w:jc w:val="both"/>
            </w:pPr>
            <w:r>
              <w:t xml:space="preserve">We intend to continue to engage actively with UKRIO’s online training offer, promoting this extensively to staff. </w:t>
            </w:r>
          </w:p>
          <w:p w14:paraId="390E353E" w14:textId="77777777" w:rsidR="00EF1462" w:rsidRDefault="00EF1462" w:rsidP="007B2F0A">
            <w:pPr>
              <w:pStyle w:val="NoSpacing"/>
              <w:jc w:val="both"/>
            </w:pPr>
            <w:r>
              <w:t>During AY 2025/26 we expect to replace our current Research Ethics system. Work is now underway to prepare a statement of requirements for this new system.</w:t>
            </w:r>
          </w:p>
          <w:p w14:paraId="7CACA3BF" w14:textId="77777777" w:rsidR="00D52407" w:rsidRDefault="00D52407" w:rsidP="007B2F0A">
            <w:pPr>
              <w:pStyle w:val="NoSpacing"/>
              <w:jc w:val="both"/>
            </w:pPr>
          </w:p>
          <w:p w14:paraId="5B008D78" w14:textId="5EC6E3BA" w:rsidR="00EF1462" w:rsidRDefault="00EF1462" w:rsidP="007B2F0A">
            <w:pPr>
              <w:pStyle w:val="NoSpacing"/>
              <w:jc w:val="both"/>
            </w:pPr>
            <w:r>
              <w:t xml:space="preserve">In order to celebrate research achievements we have introduced a new internal awards scheme, Recognising Outstanding Achievement in Research (ROAR) and will make inaugural awards in AY 2025/26. These will include a category dedicated to recognising those colleagues who contribute to the development of research culture and research integrity. </w:t>
            </w:r>
            <w:r w:rsidR="007B2F0A">
              <w:t>This is part of a wider approach to internal communications and engagement with research culture, governance and integrity issues.</w:t>
            </w:r>
          </w:p>
          <w:p w14:paraId="17BDAADB" w14:textId="00B8DABE" w:rsidR="00EF1462" w:rsidRDefault="00EF1462" w:rsidP="00C42048">
            <w:pPr>
              <w:pStyle w:val="NoSpacing"/>
            </w:pPr>
          </w:p>
        </w:tc>
      </w:tr>
    </w:tbl>
    <w:p w14:paraId="418E9EF1" w14:textId="36D1C0E1" w:rsidR="00F1437B" w:rsidRPr="00A41826" w:rsidRDefault="00F1437B" w:rsidP="006A15D7">
      <w:pPr>
        <w:pStyle w:val="Heading1"/>
      </w:pPr>
      <w:r w:rsidRPr="00A41826">
        <w:t>Section 3: Addressing research misconduct</w:t>
      </w:r>
    </w:p>
    <w:tbl>
      <w:tblPr>
        <w:tblStyle w:val="TableGrid"/>
        <w:tblW w:w="0" w:type="auto"/>
        <w:tblLook w:val="04A0" w:firstRow="1" w:lastRow="0" w:firstColumn="1" w:lastColumn="0" w:noHBand="0" w:noVBand="1"/>
      </w:tblPr>
      <w:tblGrid>
        <w:gridCol w:w="9016"/>
      </w:tblGrid>
      <w:tr w:rsidR="00F1437B" w14:paraId="06CF7768" w14:textId="77777777" w:rsidTr="009F6BA5">
        <w:tc>
          <w:tcPr>
            <w:tcW w:w="9016" w:type="dxa"/>
          </w:tcPr>
          <w:p w14:paraId="666D3678" w14:textId="4BD52F96" w:rsidR="00F1437B" w:rsidRDefault="00F1437B" w:rsidP="00C42048">
            <w:pPr>
              <w:pStyle w:val="NoSpacing"/>
            </w:pPr>
            <w:r>
              <w:t>3A. Statement on processes in place for dealing with allegations of misconduct</w:t>
            </w:r>
          </w:p>
        </w:tc>
      </w:tr>
      <w:tr w:rsidR="00F1437B" w14:paraId="76540E3A" w14:textId="77777777" w:rsidTr="009F6BA5">
        <w:tc>
          <w:tcPr>
            <w:tcW w:w="9016" w:type="dxa"/>
          </w:tcPr>
          <w:p w14:paraId="2DA3FFF4" w14:textId="3338F54B" w:rsidR="008E6715" w:rsidRDefault="008E6715" w:rsidP="007B2F0A">
            <w:pPr>
              <w:pStyle w:val="NoSpacing"/>
              <w:jc w:val="both"/>
            </w:pPr>
            <w:r>
              <w:t xml:space="preserve">Processes for receiving and handling allegations of research misconduct by staff and others acting under the auspices of the University (other than postgraduate research students) are set out in full in the Code of Practice for the Investigation of </w:t>
            </w:r>
            <w:r>
              <w:lastRenderedPageBreak/>
              <w:t xml:space="preserve">Research Misconduct. </w:t>
            </w:r>
            <w:hyperlink r:id="rId8" w:history="1">
              <w:r w:rsidRPr="00E5385A">
                <w:rPr>
                  <w:rStyle w:val="Hyperlink"/>
                </w:rPr>
                <w:t>https://www.edgehill.ac.uk/document/code-of-practice-for-the-investigation-of-research-misconduct/</w:t>
              </w:r>
            </w:hyperlink>
            <w:r>
              <w:t xml:space="preserve"> </w:t>
            </w:r>
          </w:p>
          <w:p w14:paraId="786560ED" w14:textId="77777777" w:rsidR="008E6715" w:rsidRDefault="008E6715" w:rsidP="007B2F0A">
            <w:pPr>
              <w:pStyle w:val="NoSpacing"/>
              <w:jc w:val="both"/>
            </w:pPr>
          </w:p>
          <w:p w14:paraId="5DFEAD5B" w14:textId="250E5DE9" w:rsidR="008E6715" w:rsidRDefault="008E6715" w:rsidP="007B2F0A">
            <w:pPr>
              <w:pStyle w:val="NoSpacing"/>
              <w:jc w:val="both"/>
            </w:pPr>
            <w:r>
              <w:t>This Code of Practice was reviewed and updated in AY 2024/25, drawing on a process of document review and internal and external consultation, including with the UK Research Integrity Office. It includes statements of key principles</w:t>
            </w:r>
            <w:r w:rsidR="000A4C9D">
              <w:t>, timings</w:t>
            </w:r>
            <w:r>
              <w:t xml:space="preserve"> and operational procedures for:</w:t>
            </w:r>
          </w:p>
          <w:p w14:paraId="0D2E3906" w14:textId="6E0BB048" w:rsidR="008E6715" w:rsidRDefault="008E6715" w:rsidP="007B2F0A">
            <w:pPr>
              <w:pStyle w:val="NoSpacing"/>
              <w:numPr>
                <w:ilvl w:val="0"/>
                <w:numId w:val="1"/>
              </w:numPr>
              <w:jc w:val="both"/>
            </w:pPr>
            <w:r>
              <w:t>Submitting allegations of research misconduct</w:t>
            </w:r>
          </w:p>
          <w:p w14:paraId="7FB0BFC0" w14:textId="032652C2" w:rsidR="008E6715" w:rsidRDefault="008E6715" w:rsidP="007B2F0A">
            <w:pPr>
              <w:pStyle w:val="NoSpacing"/>
              <w:numPr>
                <w:ilvl w:val="0"/>
                <w:numId w:val="1"/>
              </w:numPr>
              <w:jc w:val="both"/>
            </w:pPr>
            <w:r>
              <w:t>Handing allegations of research misconduct at a preliminary stage, including communications with both the complainant and the respondent, securing evidence</w:t>
            </w:r>
            <w:r w:rsidR="000A4C9D">
              <w:t>, establishing contractual status and obligations of all concerned, etc.</w:t>
            </w:r>
          </w:p>
          <w:p w14:paraId="4E0E345D" w14:textId="503EC24F" w:rsidR="008E6715" w:rsidRDefault="000A4C9D" w:rsidP="007B2F0A">
            <w:pPr>
              <w:pStyle w:val="NoSpacing"/>
              <w:numPr>
                <w:ilvl w:val="0"/>
                <w:numId w:val="1"/>
              </w:numPr>
              <w:jc w:val="both"/>
            </w:pPr>
            <w:r>
              <w:t>Formation and operation of an Initial Enquiry panel</w:t>
            </w:r>
          </w:p>
          <w:p w14:paraId="337FED5F" w14:textId="6C922DCC" w:rsidR="000A4C9D" w:rsidRDefault="000A4C9D" w:rsidP="007B2F0A">
            <w:pPr>
              <w:pStyle w:val="NoSpacing"/>
              <w:numPr>
                <w:ilvl w:val="0"/>
                <w:numId w:val="1"/>
              </w:numPr>
              <w:jc w:val="both"/>
            </w:pPr>
            <w:r>
              <w:t>Formation and operation of a Formal Investigation panel</w:t>
            </w:r>
          </w:p>
          <w:p w14:paraId="2CF660A3" w14:textId="38E14397" w:rsidR="000A4C9D" w:rsidRDefault="000A4C9D" w:rsidP="007B2F0A">
            <w:pPr>
              <w:pStyle w:val="NoSpacing"/>
              <w:numPr>
                <w:ilvl w:val="0"/>
                <w:numId w:val="1"/>
              </w:numPr>
              <w:jc w:val="both"/>
            </w:pPr>
            <w:r>
              <w:t>Outcomes and Reporting</w:t>
            </w:r>
          </w:p>
          <w:p w14:paraId="2D67A343" w14:textId="37079C24" w:rsidR="000A4C9D" w:rsidRDefault="000A4C9D" w:rsidP="007B2F0A">
            <w:pPr>
              <w:pStyle w:val="NoSpacing"/>
              <w:numPr>
                <w:ilvl w:val="0"/>
                <w:numId w:val="1"/>
              </w:numPr>
              <w:jc w:val="both"/>
            </w:pPr>
            <w:r>
              <w:t>Appeals</w:t>
            </w:r>
          </w:p>
          <w:p w14:paraId="5CA8B0DC" w14:textId="2C4F93FE" w:rsidR="000A4C9D" w:rsidRDefault="000A4C9D" w:rsidP="007B2F0A">
            <w:pPr>
              <w:pStyle w:val="NoSpacing"/>
              <w:numPr>
                <w:ilvl w:val="0"/>
                <w:numId w:val="1"/>
              </w:numPr>
              <w:jc w:val="both"/>
            </w:pPr>
            <w:r>
              <w:t>Next steps</w:t>
            </w:r>
          </w:p>
          <w:p w14:paraId="4C409645" w14:textId="77777777" w:rsidR="008E6715" w:rsidRDefault="008E6715" w:rsidP="007B2F0A">
            <w:pPr>
              <w:pStyle w:val="NoSpacing"/>
              <w:jc w:val="both"/>
            </w:pPr>
          </w:p>
          <w:p w14:paraId="17086863" w14:textId="77777777" w:rsidR="008E6715" w:rsidRDefault="008E6715" w:rsidP="007B2F0A">
            <w:pPr>
              <w:pStyle w:val="NoSpacing"/>
              <w:jc w:val="both"/>
            </w:pPr>
            <w:r>
              <w:t>Processes for receiving and handling allegations of research misconduct by postgraduate research students are set out in full in Appendix B of the University’s Research Degree Regulations.</w:t>
            </w:r>
          </w:p>
          <w:p w14:paraId="0B23FEC0" w14:textId="77777777" w:rsidR="008E6715" w:rsidRDefault="008E6715" w:rsidP="007B2F0A">
            <w:pPr>
              <w:pStyle w:val="NoSpacing"/>
              <w:jc w:val="both"/>
            </w:pPr>
          </w:p>
          <w:p w14:paraId="3C35E1FD" w14:textId="1C33E39B" w:rsidR="00D55443" w:rsidRPr="00D55443" w:rsidRDefault="00D55443" w:rsidP="007B2F0A">
            <w:pPr>
              <w:pStyle w:val="NoSpacing"/>
              <w:jc w:val="both"/>
            </w:pPr>
            <w:r w:rsidRPr="00D55443">
              <w:t xml:space="preserve">The Director of the Research Office is the named senior member of staff to oversee research integrity and ensure that this information is kept up to date and publicly available on the institution’s website. The secretary to URESC </w:t>
            </w:r>
          </w:p>
          <w:p w14:paraId="60249424" w14:textId="7A2B7728" w:rsidR="00D55443" w:rsidRDefault="00D55443" w:rsidP="007B2F0A">
            <w:pPr>
              <w:pStyle w:val="NoSpacing"/>
              <w:jc w:val="both"/>
            </w:pPr>
            <w:r w:rsidRPr="00D55443">
              <w:t>is a named staff member who acts as a first point of contact for anyone wanting more information on matters of research integrity, and contact details are publicly available on our website.</w:t>
            </w:r>
          </w:p>
        </w:tc>
      </w:tr>
    </w:tbl>
    <w:p w14:paraId="303B1A50" w14:textId="77777777" w:rsidR="00F1437B" w:rsidRDefault="00F1437B" w:rsidP="00722685">
      <w:pPr>
        <w:pStyle w:val="NoSpacing"/>
      </w:pPr>
    </w:p>
    <w:p w14:paraId="3311C9D9" w14:textId="77777777" w:rsidR="00F1437B" w:rsidRDefault="00F1437B" w:rsidP="00722685">
      <w:pPr>
        <w:pStyle w:val="NoSpacing"/>
      </w:pPr>
    </w:p>
    <w:tbl>
      <w:tblPr>
        <w:tblStyle w:val="TableGrid"/>
        <w:tblW w:w="0" w:type="auto"/>
        <w:tblLook w:val="04A0" w:firstRow="1" w:lastRow="0" w:firstColumn="1" w:lastColumn="0" w:noHBand="0" w:noVBand="1"/>
      </w:tblPr>
      <w:tblGrid>
        <w:gridCol w:w="9016"/>
      </w:tblGrid>
      <w:tr w:rsidR="00F1437B" w14:paraId="3C721C7C" w14:textId="77777777" w:rsidTr="00C42048">
        <w:tc>
          <w:tcPr>
            <w:tcW w:w="9242" w:type="dxa"/>
          </w:tcPr>
          <w:p w14:paraId="1DF0DD9A" w14:textId="23FB32E6" w:rsidR="00F1437B" w:rsidRDefault="00F1437B" w:rsidP="00C42048">
            <w:pPr>
              <w:pStyle w:val="NoSpacing"/>
            </w:pPr>
            <w:r>
              <w:t>3B. Investigations of research misconduct</w:t>
            </w:r>
          </w:p>
        </w:tc>
      </w:tr>
      <w:tr w:rsidR="00F1437B" w14:paraId="385FC611" w14:textId="77777777" w:rsidTr="00C42048">
        <w:tc>
          <w:tcPr>
            <w:tcW w:w="9242" w:type="dxa"/>
          </w:tcPr>
          <w:p w14:paraId="00BB9C17" w14:textId="72E6E6ED" w:rsidR="00F1437B" w:rsidRDefault="00F1437B" w:rsidP="00C42048">
            <w:pPr>
              <w:pStyle w:val="NoSpacing"/>
            </w:pPr>
            <w:r>
              <w:t>No formal investigations completed during the period under review (AY 2024</w:t>
            </w:r>
            <w:r w:rsidR="008E6715">
              <w:t>/25)</w:t>
            </w:r>
          </w:p>
        </w:tc>
      </w:tr>
    </w:tbl>
    <w:p w14:paraId="65342EB6" w14:textId="77777777" w:rsidR="00F1437B" w:rsidRDefault="00F1437B" w:rsidP="00722685">
      <w:pPr>
        <w:pStyle w:val="NoSpacing"/>
      </w:pPr>
    </w:p>
    <w:p w14:paraId="5E116247" w14:textId="6B74175F" w:rsidR="00C61216" w:rsidRDefault="009E19D2" w:rsidP="00722685">
      <w:pPr>
        <w:pStyle w:val="NoSpacing"/>
      </w:pPr>
      <w:r>
        <w:t>Chris Hughes</w:t>
      </w:r>
    </w:p>
    <w:p w14:paraId="3A6F60BB" w14:textId="1A01FD22" w:rsidR="009E19D2" w:rsidRDefault="009E19D2" w:rsidP="00722685">
      <w:pPr>
        <w:pStyle w:val="NoSpacing"/>
      </w:pPr>
      <w:r>
        <w:t>Director, Research Office</w:t>
      </w:r>
    </w:p>
    <w:p w14:paraId="6812A1FA" w14:textId="77777777" w:rsidR="009E19D2" w:rsidRDefault="009E19D2" w:rsidP="00722685">
      <w:pPr>
        <w:pStyle w:val="NoSpacing"/>
      </w:pPr>
    </w:p>
    <w:p w14:paraId="0D1AC36E" w14:textId="77777777" w:rsidR="009E19D2" w:rsidRDefault="009E19D2" w:rsidP="00722685">
      <w:pPr>
        <w:pStyle w:val="NoSpacing"/>
      </w:pPr>
    </w:p>
    <w:p w14:paraId="40B0F734" w14:textId="65B0825A" w:rsidR="00C61216" w:rsidRPr="009E19D2" w:rsidRDefault="00C61216" w:rsidP="00722685">
      <w:pPr>
        <w:pStyle w:val="NoSpacing"/>
        <w:rPr>
          <w:b/>
          <w:bCs/>
        </w:rPr>
      </w:pPr>
      <w:r w:rsidRPr="009E19D2">
        <w:rPr>
          <w:b/>
          <w:bCs/>
        </w:rPr>
        <w:t>Statement approved by University Research &amp; Innovation Committee, 29 October 2025</w:t>
      </w:r>
    </w:p>
    <w:sectPr w:rsidR="00C61216" w:rsidRPr="009E1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519F"/>
    <w:multiLevelType w:val="hybridMultilevel"/>
    <w:tmpl w:val="1586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36AA9"/>
    <w:multiLevelType w:val="hybridMultilevel"/>
    <w:tmpl w:val="5D70E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65D78"/>
    <w:multiLevelType w:val="hybridMultilevel"/>
    <w:tmpl w:val="3F0A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2837B7"/>
    <w:multiLevelType w:val="hybridMultilevel"/>
    <w:tmpl w:val="5868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D5EEF"/>
    <w:multiLevelType w:val="hybridMultilevel"/>
    <w:tmpl w:val="97B2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A77B04"/>
    <w:multiLevelType w:val="hybridMultilevel"/>
    <w:tmpl w:val="1AA2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451B4A"/>
    <w:multiLevelType w:val="hybridMultilevel"/>
    <w:tmpl w:val="476E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595580">
    <w:abstractNumId w:val="2"/>
  </w:num>
  <w:num w:numId="2" w16cid:durableId="441582244">
    <w:abstractNumId w:val="5"/>
  </w:num>
  <w:num w:numId="3" w16cid:durableId="322855836">
    <w:abstractNumId w:val="1"/>
  </w:num>
  <w:num w:numId="4" w16cid:durableId="1912038581">
    <w:abstractNumId w:val="4"/>
  </w:num>
  <w:num w:numId="5" w16cid:durableId="710568016">
    <w:abstractNumId w:val="0"/>
  </w:num>
  <w:num w:numId="6" w16cid:durableId="847136505">
    <w:abstractNumId w:val="6"/>
  </w:num>
  <w:num w:numId="7" w16cid:durableId="460226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7B"/>
    <w:rsid w:val="000A4C9D"/>
    <w:rsid w:val="000F3143"/>
    <w:rsid w:val="00153D79"/>
    <w:rsid w:val="00226B29"/>
    <w:rsid w:val="00443DC2"/>
    <w:rsid w:val="004A7006"/>
    <w:rsid w:val="005151F8"/>
    <w:rsid w:val="005868D4"/>
    <w:rsid w:val="005E56FE"/>
    <w:rsid w:val="006A15D7"/>
    <w:rsid w:val="00722685"/>
    <w:rsid w:val="007B2F0A"/>
    <w:rsid w:val="008E6715"/>
    <w:rsid w:val="00971F84"/>
    <w:rsid w:val="009B57F7"/>
    <w:rsid w:val="009E19D2"/>
    <w:rsid w:val="009F6BA5"/>
    <w:rsid w:val="00A41826"/>
    <w:rsid w:val="00A670B3"/>
    <w:rsid w:val="00A7641D"/>
    <w:rsid w:val="00AC2FE1"/>
    <w:rsid w:val="00C61216"/>
    <w:rsid w:val="00CF75EE"/>
    <w:rsid w:val="00D52407"/>
    <w:rsid w:val="00D55443"/>
    <w:rsid w:val="00EF1462"/>
    <w:rsid w:val="00F14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7BC0"/>
  <w15:chartTrackingRefBased/>
  <w15:docId w15:val="{B1A4FE99-5828-4B1A-B347-58BBF2E6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Spacing"/>
    <w:next w:val="Normal"/>
    <w:link w:val="Heading1Char"/>
    <w:uiPriority w:val="9"/>
    <w:qFormat/>
    <w:rsid w:val="009F6BA5"/>
    <w:pPr>
      <w:spacing w:before="360" w:after="200"/>
      <w:jc w:val="center"/>
      <w:outlineLvl w:val="0"/>
    </w:pPr>
    <w:rPr>
      <w:b/>
      <w:bCs/>
      <w:sz w:val="32"/>
      <w:szCs w:val="28"/>
    </w:rPr>
  </w:style>
  <w:style w:type="paragraph" w:styleId="Heading2">
    <w:name w:val="heading 2"/>
    <w:basedOn w:val="Normal"/>
    <w:next w:val="Normal"/>
    <w:link w:val="Heading2Char"/>
    <w:uiPriority w:val="9"/>
    <w:semiHidden/>
    <w:unhideWhenUsed/>
    <w:qFormat/>
    <w:rsid w:val="00F143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437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1437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1437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143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43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43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43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9F6BA5"/>
    <w:rPr>
      <w:rFonts w:ascii="Arial" w:hAnsi="Arial"/>
      <w:b/>
      <w:bCs/>
      <w:sz w:val="32"/>
      <w:szCs w:val="28"/>
    </w:rPr>
  </w:style>
  <w:style w:type="character" w:customStyle="1" w:styleId="Heading2Char">
    <w:name w:val="Heading 2 Char"/>
    <w:basedOn w:val="DefaultParagraphFont"/>
    <w:link w:val="Heading2"/>
    <w:uiPriority w:val="9"/>
    <w:semiHidden/>
    <w:rsid w:val="00F143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1437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1437B"/>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F1437B"/>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F1437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1437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1437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1437B"/>
    <w:rPr>
      <w:rFonts w:eastAsiaTheme="majorEastAsia" w:cstheme="majorBidi"/>
      <w:color w:val="272727" w:themeColor="text1" w:themeTint="D8"/>
      <w:sz w:val="24"/>
    </w:rPr>
  </w:style>
  <w:style w:type="paragraph" w:styleId="Title">
    <w:name w:val="Title"/>
    <w:basedOn w:val="Heading1"/>
    <w:next w:val="Normal"/>
    <w:link w:val="TitleChar"/>
    <w:uiPriority w:val="10"/>
    <w:qFormat/>
    <w:rsid w:val="006A15D7"/>
    <w:rPr>
      <w:sz w:val="44"/>
      <w:szCs w:val="40"/>
    </w:rPr>
  </w:style>
  <w:style w:type="character" w:customStyle="1" w:styleId="TitleChar">
    <w:name w:val="Title Char"/>
    <w:basedOn w:val="DefaultParagraphFont"/>
    <w:link w:val="Title"/>
    <w:uiPriority w:val="10"/>
    <w:rsid w:val="006A15D7"/>
    <w:rPr>
      <w:rFonts w:ascii="Arial" w:hAnsi="Arial"/>
      <w:b/>
      <w:bCs/>
      <w:sz w:val="44"/>
      <w:szCs w:val="40"/>
    </w:rPr>
  </w:style>
  <w:style w:type="paragraph" w:styleId="Subtitle">
    <w:name w:val="Subtitle"/>
    <w:basedOn w:val="Normal"/>
    <w:next w:val="Normal"/>
    <w:link w:val="SubtitleChar"/>
    <w:uiPriority w:val="11"/>
    <w:qFormat/>
    <w:rsid w:val="00F143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3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437B"/>
    <w:rPr>
      <w:rFonts w:ascii="Arial" w:hAnsi="Arial"/>
      <w:i/>
      <w:iCs/>
      <w:color w:val="404040" w:themeColor="text1" w:themeTint="BF"/>
      <w:sz w:val="24"/>
    </w:rPr>
  </w:style>
  <w:style w:type="paragraph" w:styleId="ListParagraph">
    <w:name w:val="List Paragraph"/>
    <w:basedOn w:val="Normal"/>
    <w:uiPriority w:val="34"/>
    <w:qFormat/>
    <w:rsid w:val="00F1437B"/>
    <w:pPr>
      <w:ind w:left="720"/>
      <w:contextualSpacing/>
    </w:pPr>
  </w:style>
  <w:style w:type="character" w:styleId="IntenseEmphasis">
    <w:name w:val="Intense Emphasis"/>
    <w:basedOn w:val="DefaultParagraphFont"/>
    <w:uiPriority w:val="21"/>
    <w:qFormat/>
    <w:rsid w:val="00F1437B"/>
    <w:rPr>
      <w:i/>
      <w:iCs/>
      <w:color w:val="365F91" w:themeColor="accent1" w:themeShade="BF"/>
    </w:rPr>
  </w:style>
  <w:style w:type="paragraph" w:styleId="IntenseQuote">
    <w:name w:val="Intense Quote"/>
    <w:basedOn w:val="Normal"/>
    <w:next w:val="Normal"/>
    <w:link w:val="IntenseQuoteChar"/>
    <w:uiPriority w:val="30"/>
    <w:qFormat/>
    <w:rsid w:val="00F143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1437B"/>
    <w:rPr>
      <w:rFonts w:ascii="Arial" w:hAnsi="Arial"/>
      <w:i/>
      <w:iCs/>
      <w:color w:val="365F91" w:themeColor="accent1" w:themeShade="BF"/>
      <w:sz w:val="24"/>
    </w:rPr>
  </w:style>
  <w:style w:type="character" w:styleId="IntenseReference">
    <w:name w:val="Intense Reference"/>
    <w:basedOn w:val="DefaultParagraphFont"/>
    <w:uiPriority w:val="32"/>
    <w:qFormat/>
    <w:rsid w:val="00F1437B"/>
    <w:rPr>
      <w:b/>
      <w:bCs/>
      <w:smallCaps/>
      <w:color w:val="365F91" w:themeColor="accent1" w:themeShade="BF"/>
      <w:spacing w:val="5"/>
    </w:rPr>
  </w:style>
  <w:style w:type="table" w:styleId="TableGrid">
    <w:name w:val="Table Grid"/>
    <w:basedOn w:val="TableNormal"/>
    <w:uiPriority w:val="59"/>
    <w:rsid w:val="00F14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437B"/>
    <w:rPr>
      <w:color w:val="0000FF" w:themeColor="hyperlink"/>
      <w:u w:val="single"/>
    </w:rPr>
  </w:style>
  <w:style w:type="character" w:styleId="UnresolvedMention">
    <w:name w:val="Unresolved Mention"/>
    <w:basedOn w:val="DefaultParagraphFont"/>
    <w:uiPriority w:val="99"/>
    <w:semiHidden/>
    <w:unhideWhenUsed/>
    <w:rsid w:val="00F14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document/code-of-practice-for-the-investigation-of-research-misconduct/" TargetMode="External"/><Relationship Id="rId3" Type="http://schemas.openxmlformats.org/officeDocument/2006/relationships/settings" Target="settings.xml"/><Relationship Id="rId7" Type="http://schemas.openxmlformats.org/officeDocument/2006/relationships/hyperlink" Target="mailto:morrisjo@edgehil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ghesch@edgehill.ac.uk" TargetMode="External"/><Relationship Id="rId5" Type="http://schemas.openxmlformats.org/officeDocument/2006/relationships/hyperlink" Target="https://www.edgehill.ac.uk/research/research-integr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5</Pages>
  <Words>1767</Words>
  <Characters>10446</Characters>
  <Application>Microsoft Office Word</Application>
  <DocSecurity>0</DocSecurity>
  <Lines>254</Lines>
  <Paragraphs>107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Hughes</dc:creator>
  <cp:keywords/>
  <dc:description/>
  <cp:lastModifiedBy>Paul Fox</cp:lastModifiedBy>
  <cp:revision>12</cp:revision>
  <cp:lastPrinted>2025-10-27T14:48:00Z</cp:lastPrinted>
  <dcterms:created xsi:type="dcterms:W3CDTF">2025-10-21T08:13:00Z</dcterms:created>
  <dcterms:modified xsi:type="dcterms:W3CDTF">2025-11-10T15:12:00Z</dcterms:modified>
</cp:coreProperties>
</file>