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Caption w:val="Research Data Management Policy"/>
      </w:tblPr>
      <w:tblGrid>
        <w:gridCol w:w="8966"/>
      </w:tblGrid>
      <w:tr w:rsidR="000D23AF" w14:paraId="5673BD96" w14:textId="77777777" w:rsidTr="26E91207">
        <w:tc>
          <w:tcPr>
            <w:tcW w:w="8966" w:type="dxa"/>
          </w:tcPr>
          <w:p w14:paraId="29E8B90C" w14:textId="22AA8CD5" w:rsidR="000D23AF" w:rsidRPr="007F06C7" w:rsidRDefault="00104ED3" w:rsidP="00E7254B">
            <w:pPr>
              <w:pStyle w:val="NoSpacing"/>
              <w:rPr>
                <w:rFonts w:ascii="Georgia" w:hAnsi="Georgia"/>
                <w:sz w:val="96"/>
              </w:rPr>
            </w:pPr>
            <w:r>
              <w:rPr>
                <w:rFonts w:ascii="Georgia" w:hAnsi="Georgia"/>
                <w:sz w:val="96"/>
              </w:rPr>
              <w:t>Research Data Management Policy</w:t>
            </w:r>
          </w:p>
          <w:p w14:paraId="600FBA87" w14:textId="77777777" w:rsidR="000D23AF" w:rsidRPr="00C625B0" w:rsidRDefault="000D23AF" w:rsidP="00E7254B">
            <w:pPr>
              <w:pStyle w:val="NoSpacing"/>
              <w:rPr>
                <w:rFonts w:ascii="Georgia" w:hAnsi="Georgia"/>
              </w:rPr>
            </w:pPr>
          </w:p>
        </w:tc>
      </w:tr>
      <w:tr w:rsidR="000D23AF" w14:paraId="12836404" w14:textId="77777777" w:rsidTr="26E91207">
        <w:tc>
          <w:tcPr>
            <w:tcW w:w="8966" w:type="dxa"/>
            <w:shd w:val="clear" w:color="auto" w:fill="000000" w:themeFill="text1"/>
          </w:tcPr>
          <w:p w14:paraId="313CF697" w14:textId="77777777" w:rsidR="000D23AF" w:rsidRDefault="000D23AF" w:rsidP="00E7254B">
            <w:pPr>
              <w:pStyle w:val="NoSpacing"/>
            </w:pPr>
          </w:p>
          <w:p w14:paraId="0ACCC332" w14:textId="349FE68C" w:rsidR="000D23AF" w:rsidRPr="00C625B0" w:rsidRDefault="00104ED3" w:rsidP="13EA06B1">
            <w:pPr>
              <w:pStyle w:val="NoSpacing"/>
              <w:rPr>
                <w:b/>
                <w:bCs/>
                <w:color w:val="FFFFFF" w:themeColor="background1"/>
              </w:rPr>
            </w:pPr>
            <w:r w:rsidRPr="26E91207">
              <w:rPr>
                <w:b/>
                <w:bCs/>
                <w:color w:val="FFFFFF" w:themeColor="background1"/>
              </w:rPr>
              <w:t>20</w:t>
            </w:r>
            <w:r w:rsidR="7CFD08D4" w:rsidRPr="26E91207">
              <w:rPr>
                <w:b/>
                <w:bCs/>
                <w:color w:val="FFFFFF" w:themeColor="background1"/>
              </w:rPr>
              <w:t>2</w:t>
            </w:r>
            <w:r w:rsidR="00344494">
              <w:rPr>
                <w:b/>
                <w:bCs/>
                <w:color w:val="FFFFFF" w:themeColor="background1"/>
              </w:rPr>
              <w:t>4</w:t>
            </w:r>
            <w:r w:rsidR="563B0A8C" w:rsidRPr="26E91207">
              <w:rPr>
                <w:b/>
                <w:bCs/>
                <w:color w:val="FFFFFF" w:themeColor="background1"/>
              </w:rPr>
              <w:t xml:space="preserve"> – </w:t>
            </w:r>
            <w:r w:rsidRPr="26E91207">
              <w:rPr>
                <w:b/>
                <w:bCs/>
                <w:color w:val="FFFFFF" w:themeColor="background1"/>
              </w:rPr>
              <w:t>20</w:t>
            </w:r>
            <w:r w:rsidR="7C7D9D96" w:rsidRPr="26E91207">
              <w:rPr>
                <w:b/>
                <w:bCs/>
                <w:color w:val="FFFFFF" w:themeColor="background1"/>
              </w:rPr>
              <w:t>2</w:t>
            </w:r>
            <w:r w:rsidR="00344494">
              <w:rPr>
                <w:b/>
                <w:bCs/>
                <w:color w:val="FFFFFF" w:themeColor="background1"/>
              </w:rPr>
              <w:t>7</w:t>
            </w:r>
          </w:p>
          <w:p w14:paraId="6C68FB73" w14:textId="77777777" w:rsidR="000D23AF" w:rsidRDefault="000D23AF" w:rsidP="00E7254B">
            <w:pPr>
              <w:pStyle w:val="NoSpacing"/>
            </w:pPr>
          </w:p>
        </w:tc>
      </w:tr>
    </w:tbl>
    <w:p w14:paraId="55A09D08" w14:textId="77777777" w:rsidR="00C625B0" w:rsidRDefault="00C625B0" w:rsidP="00722685">
      <w:pPr>
        <w:pStyle w:val="NoSpacing"/>
      </w:pPr>
    </w:p>
    <w:p w14:paraId="0DB522DC" w14:textId="77777777" w:rsidR="00C625B0" w:rsidRDefault="00C625B0" w:rsidP="00722685">
      <w:pPr>
        <w:pStyle w:val="NoSpacing"/>
      </w:pPr>
    </w:p>
    <w:p w14:paraId="79071B6C" w14:textId="77777777" w:rsidR="00C625B0" w:rsidRDefault="00C625B0" w:rsidP="00722685">
      <w:pPr>
        <w:pStyle w:val="NoSpacing"/>
      </w:pPr>
    </w:p>
    <w:p w14:paraId="20B405B5" w14:textId="77777777" w:rsidR="00C625B0" w:rsidRDefault="00C625B0" w:rsidP="00722685">
      <w:pPr>
        <w:pStyle w:val="NoSpacing"/>
      </w:pPr>
    </w:p>
    <w:p w14:paraId="354BB3D1" w14:textId="77777777" w:rsidR="00C625B0" w:rsidRDefault="00C625B0" w:rsidP="00722685">
      <w:pPr>
        <w:pStyle w:val="NoSpacing"/>
      </w:pPr>
    </w:p>
    <w:p w14:paraId="343E2235" w14:textId="77777777" w:rsidR="00C625B0" w:rsidRDefault="00C625B0" w:rsidP="00722685">
      <w:pPr>
        <w:pStyle w:val="NoSpacing"/>
      </w:pPr>
    </w:p>
    <w:p w14:paraId="4EB31775" w14:textId="77777777" w:rsidR="00C625B0" w:rsidRDefault="00C625B0" w:rsidP="00722685">
      <w:pPr>
        <w:pStyle w:val="NoSpacing"/>
      </w:pPr>
    </w:p>
    <w:p w14:paraId="4797B2EE" w14:textId="77777777" w:rsidR="00C625B0" w:rsidRDefault="00C625B0" w:rsidP="00722685">
      <w:pPr>
        <w:pStyle w:val="NoSpacing"/>
      </w:pPr>
    </w:p>
    <w:p w14:paraId="21B81C9E" w14:textId="77777777" w:rsidR="00C625B0" w:rsidRDefault="00C625B0" w:rsidP="00722685">
      <w:pPr>
        <w:pStyle w:val="NoSpacing"/>
      </w:pPr>
    </w:p>
    <w:p w14:paraId="2F2EB02B" w14:textId="77777777" w:rsidR="00C625B0" w:rsidRDefault="00C625B0" w:rsidP="00722685">
      <w:pPr>
        <w:pStyle w:val="NoSpacing"/>
      </w:pPr>
    </w:p>
    <w:p w14:paraId="2D292223" w14:textId="77777777" w:rsidR="000D23AF" w:rsidRDefault="000D23AF" w:rsidP="00722685">
      <w:pPr>
        <w:pStyle w:val="NoSpacing"/>
      </w:pPr>
    </w:p>
    <w:p w14:paraId="1E0F5B41" w14:textId="77777777" w:rsidR="00C625B0" w:rsidRDefault="00C625B0" w:rsidP="00722685">
      <w:pPr>
        <w:pStyle w:val="NoSpacing"/>
      </w:pPr>
    </w:p>
    <w:p w14:paraId="4E2C8B7A" w14:textId="77777777" w:rsidR="00C625B0" w:rsidRDefault="00C625B0" w:rsidP="00C625B0">
      <w:pPr>
        <w:pStyle w:val="NoSpacing"/>
        <w:jc w:val="right"/>
      </w:pPr>
    </w:p>
    <w:p w14:paraId="1DEFB05F" w14:textId="77777777" w:rsidR="006A5B50" w:rsidRDefault="006A5B50">
      <w:pPr>
        <w:rPr>
          <w:b/>
          <w:sz w:val="36"/>
        </w:rPr>
      </w:pPr>
      <w:r>
        <w:rPr>
          <w:b/>
          <w:sz w:val="36"/>
        </w:rPr>
        <w:br w:type="page"/>
      </w:r>
    </w:p>
    <w:sdt>
      <w:sdtPr>
        <w:rPr>
          <w:rFonts w:ascii="Arial" w:eastAsiaTheme="minorHAnsi" w:hAnsi="Arial" w:cstheme="minorBidi"/>
          <w:color w:val="auto"/>
          <w:sz w:val="24"/>
          <w:szCs w:val="22"/>
          <w:lang w:val="en-GB"/>
        </w:rPr>
        <w:id w:val="-1637946893"/>
        <w:docPartObj>
          <w:docPartGallery w:val="Table of Contents"/>
          <w:docPartUnique/>
        </w:docPartObj>
      </w:sdtPr>
      <w:sdtEndPr>
        <w:rPr>
          <w:b/>
          <w:bCs/>
          <w:noProof/>
        </w:rPr>
      </w:sdtEndPr>
      <w:sdtContent>
        <w:p w14:paraId="1BB6C87D" w14:textId="74F752C8" w:rsidR="00114EE4" w:rsidRDefault="00114EE4" w:rsidP="0097440D">
          <w:pPr>
            <w:pStyle w:val="TOCHeading"/>
          </w:pPr>
          <w:r>
            <w:t>Contents</w:t>
          </w:r>
        </w:p>
        <w:p w14:paraId="432238AF" w14:textId="1E5D5B87" w:rsidR="00C51822" w:rsidRDefault="00114EE4">
          <w:pPr>
            <w:pStyle w:val="TOC1"/>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80146276" w:history="1">
            <w:r w:rsidR="00C51822" w:rsidRPr="00E9638E">
              <w:rPr>
                <w:rStyle w:val="Hyperlink"/>
                <w:noProof/>
              </w:rPr>
              <w:t>Introduction</w:t>
            </w:r>
            <w:r w:rsidR="00C51822">
              <w:rPr>
                <w:noProof/>
                <w:webHidden/>
              </w:rPr>
              <w:tab/>
            </w:r>
            <w:r w:rsidR="00C51822">
              <w:rPr>
                <w:noProof/>
                <w:webHidden/>
              </w:rPr>
              <w:fldChar w:fldCharType="begin"/>
            </w:r>
            <w:r w:rsidR="00C51822">
              <w:rPr>
                <w:noProof/>
                <w:webHidden/>
              </w:rPr>
              <w:instrText xml:space="preserve"> PAGEREF _Toc180146276 \h </w:instrText>
            </w:r>
            <w:r w:rsidR="00C51822">
              <w:rPr>
                <w:noProof/>
                <w:webHidden/>
              </w:rPr>
            </w:r>
            <w:r w:rsidR="00C51822">
              <w:rPr>
                <w:noProof/>
                <w:webHidden/>
              </w:rPr>
              <w:fldChar w:fldCharType="separate"/>
            </w:r>
            <w:r w:rsidR="00C51822">
              <w:rPr>
                <w:noProof/>
                <w:webHidden/>
              </w:rPr>
              <w:t>3</w:t>
            </w:r>
            <w:r w:rsidR="00C51822">
              <w:rPr>
                <w:noProof/>
                <w:webHidden/>
              </w:rPr>
              <w:fldChar w:fldCharType="end"/>
            </w:r>
          </w:hyperlink>
        </w:p>
        <w:p w14:paraId="12E55B88" w14:textId="207B2AB6" w:rsidR="00C51822" w:rsidRDefault="00C51822">
          <w:pPr>
            <w:pStyle w:val="TOC1"/>
            <w:rPr>
              <w:rFonts w:asciiTheme="minorHAnsi" w:eastAsiaTheme="minorEastAsia" w:hAnsiTheme="minorHAnsi"/>
              <w:noProof/>
              <w:kern w:val="2"/>
              <w:szCs w:val="24"/>
              <w:lang w:eastAsia="en-GB"/>
              <w14:ligatures w14:val="standardContextual"/>
            </w:rPr>
          </w:pPr>
          <w:hyperlink w:anchor="_Toc180146277" w:history="1">
            <w:r w:rsidRPr="00E9638E">
              <w:rPr>
                <w:rStyle w:val="Hyperlink"/>
                <w:noProof/>
              </w:rPr>
              <w:t>Definitions</w:t>
            </w:r>
            <w:r>
              <w:rPr>
                <w:noProof/>
                <w:webHidden/>
              </w:rPr>
              <w:tab/>
            </w:r>
            <w:r>
              <w:rPr>
                <w:noProof/>
                <w:webHidden/>
              </w:rPr>
              <w:fldChar w:fldCharType="begin"/>
            </w:r>
            <w:r>
              <w:rPr>
                <w:noProof/>
                <w:webHidden/>
              </w:rPr>
              <w:instrText xml:space="preserve"> PAGEREF _Toc180146277 \h </w:instrText>
            </w:r>
            <w:r>
              <w:rPr>
                <w:noProof/>
                <w:webHidden/>
              </w:rPr>
            </w:r>
            <w:r>
              <w:rPr>
                <w:noProof/>
                <w:webHidden/>
              </w:rPr>
              <w:fldChar w:fldCharType="separate"/>
            </w:r>
            <w:r>
              <w:rPr>
                <w:noProof/>
                <w:webHidden/>
              </w:rPr>
              <w:t>3</w:t>
            </w:r>
            <w:r>
              <w:rPr>
                <w:noProof/>
                <w:webHidden/>
              </w:rPr>
              <w:fldChar w:fldCharType="end"/>
            </w:r>
          </w:hyperlink>
        </w:p>
        <w:p w14:paraId="03F52E9A" w14:textId="09AFC781" w:rsidR="00C51822" w:rsidRDefault="00C51822">
          <w:pPr>
            <w:pStyle w:val="TOC1"/>
            <w:rPr>
              <w:rFonts w:asciiTheme="minorHAnsi" w:eastAsiaTheme="minorEastAsia" w:hAnsiTheme="minorHAnsi"/>
              <w:noProof/>
              <w:kern w:val="2"/>
              <w:szCs w:val="24"/>
              <w:lang w:eastAsia="en-GB"/>
              <w14:ligatures w14:val="standardContextual"/>
            </w:rPr>
          </w:pPr>
          <w:hyperlink w:anchor="_Toc180146278" w:history="1">
            <w:r w:rsidRPr="00E9638E">
              <w:rPr>
                <w:rStyle w:val="Hyperlink"/>
                <w:noProof/>
              </w:rPr>
              <w:t>Policy Statements</w:t>
            </w:r>
            <w:r>
              <w:rPr>
                <w:noProof/>
                <w:webHidden/>
              </w:rPr>
              <w:tab/>
            </w:r>
            <w:r>
              <w:rPr>
                <w:noProof/>
                <w:webHidden/>
              </w:rPr>
              <w:fldChar w:fldCharType="begin"/>
            </w:r>
            <w:r>
              <w:rPr>
                <w:noProof/>
                <w:webHidden/>
              </w:rPr>
              <w:instrText xml:space="preserve"> PAGEREF _Toc180146278 \h </w:instrText>
            </w:r>
            <w:r>
              <w:rPr>
                <w:noProof/>
                <w:webHidden/>
              </w:rPr>
            </w:r>
            <w:r>
              <w:rPr>
                <w:noProof/>
                <w:webHidden/>
              </w:rPr>
              <w:fldChar w:fldCharType="separate"/>
            </w:r>
            <w:r>
              <w:rPr>
                <w:noProof/>
                <w:webHidden/>
              </w:rPr>
              <w:t>4</w:t>
            </w:r>
            <w:r>
              <w:rPr>
                <w:noProof/>
                <w:webHidden/>
              </w:rPr>
              <w:fldChar w:fldCharType="end"/>
            </w:r>
          </w:hyperlink>
        </w:p>
        <w:p w14:paraId="70097447" w14:textId="2AFB66DC" w:rsidR="00C51822" w:rsidRDefault="00C51822">
          <w:pPr>
            <w:pStyle w:val="TOC1"/>
            <w:rPr>
              <w:rFonts w:asciiTheme="minorHAnsi" w:eastAsiaTheme="minorEastAsia" w:hAnsiTheme="minorHAnsi"/>
              <w:noProof/>
              <w:kern w:val="2"/>
              <w:szCs w:val="24"/>
              <w:lang w:eastAsia="en-GB"/>
              <w14:ligatures w14:val="standardContextual"/>
            </w:rPr>
          </w:pPr>
          <w:hyperlink w:anchor="_Toc180146279" w:history="1">
            <w:r w:rsidRPr="00E9638E">
              <w:rPr>
                <w:rStyle w:val="Hyperlink"/>
                <w:noProof/>
              </w:rPr>
              <w:t>Responsibilities</w:t>
            </w:r>
            <w:r>
              <w:rPr>
                <w:noProof/>
                <w:webHidden/>
              </w:rPr>
              <w:tab/>
            </w:r>
            <w:r>
              <w:rPr>
                <w:noProof/>
                <w:webHidden/>
              </w:rPr>
              <w:fldChar w:fldCharType="begin"/>
            </w:r>
            <w:r>
              <w:rPr>
                <w:noProof/>
                <w:webHidden/>
              </w:rPr>
              <w:instrText xml:space="preserve"> PAGEREF _Toc180146279 \h </w:instrText>
            </w:r>
            <w:r>
              <w:rPr>
                <w:noProof/>
                <w:webHidden/>
              </w:rPr>
            </w:r>
            <w:r>
              <w:rPr>
                <w:noProof/>
                <w:webHidden/>
              </w:rPr>
              <w:fldChar w:fldCharType="separate"/>
            </w:r>
            <w:r>
              <w:rPr>
                <w:noProof/>
                <w:webHidden/>
              </w:rPr>
              <w:t>5</w:t>
            </w:r>
            <w:r>
              <w:rPr>
                <w:noProof/>
                <w:webHidden/>
              </w:rPr>
              <w:fldChar w:fldCharType="end"/>
            </w:r>
          </w:hyperlink>
        </w:p>
        <w:p w14:paraId="35BEB9AF" w14:textId="75743D4A" w:rsidR="00C51822" w:rsidRDefault="00C51822">
          <w:pPr>
            <w:pStyle w:val="TOC1"/>
            <w:rPr>
              <w:rFonts w:asciiTheme="minorHAnsi" w:eastAsiaTheme="minorEastAsia" w:hAnsiTheme="minorHAnsi"/>
              <w:noProof/>
              <w:kern w:val="2"/>
              <w:szCs w:val="24"/>
              <w:lang w:eastAsia="en-GB"/>
              <w14:ligatures w14:val="standardContextual"/>
            </w:rPr>
          </w:pPr>
          <w:hyperlink w:anchor="_Toc180146280" w:history="1">
            <w:r w:rsidRPr="00E9638E">
              <w:rPr>
                <w:rStyle w:val="Hyperlink"/>
                <w:noProof/>
              </w:rPr>
              <w:t>Related policies</w:t>
            </w:r>
            <w:r>
              <w:rPr>
                <w:noProof/>
                <w:webHidden/>
              </w:rPr>
              <w:tab/>
            </w:r>
            <w:r>
              <w:rPr>
                <w:noProof/>
                <w:webHidden/>
              </w:rPr>
              <w:fldChar w:fldCharType="begin"/>
            </w:r>
            <w:r>
              <w:rPr>
                <w:noProof/>
                <w:webHidden/>
              </w:rPr>
              <w:instrText xml:space="preserve"> PAGEREF _Toc180146280 \h </w:instrText>
            </w:r>
            <w:r>
              <w:rPr>
                <w:noProof/>
                <w:webHidden/>
              </w:rPr>
            </w:r>
            <w:r>
              <w:rPr>
                <w:noProof/>
                <w:webHidden/>
              </w:rPr>
              <w:fldChar w:fldCharType="separate"/>
            </w:r>
            <w:r>
              <w:rPr>
                <w:noProof/>
                <w:webHidden/>
              </w:rPr>
              <w:t>6</w:t>
            </w:r>
            <w:r>
              <w:rPr>
                <w:noProof/>
                <w:webHidden/>
              </w:rPr>
              <w:fldChar w:fldCharType="end"/>
            </w:r>
          </w:hyperlink>
        </w:p>
        <w:p w14:paraId="70E64C02" w14:textId="50FE2DA7" w:rsidR="00C51822" w:rsidRDefault="00C51822">
          <w:pPr>
            <w:pStyle w:val="TOC1"/>
            <w:rPr>
              <w:rFonts w:asciiTheme="minorHAnsi" w:eastAsiaTheme="minorEastAsia" w:hAnsiTheme="minorHAnsi"/>
              <w:noProof/>
              <w:kern w:val="2"/>
              <w:szCs w:val="24"/>
              <w:lang w:eastAsia="en-GB"/>
              <w14:ligatures w14:val="standardContextual"/>
            </w:rPr>
          </w:pPr>
          <w:hyperlink w:anchor="_Toc180146281" w:history="1">
            <w:r w:rsidRPr="00E9638E">
              <w:rPr>
                <w:rStyle w:val="Hyperlink"/>
                <w:noProof/>
              </w:rPr>
              <w:t>Endmatter</w:t>
            </w:r>
            <w:r>
              <w:rPr>
                <w:noProof/>
                <w:webHidden/>
              </w:rPr>
              <w:tab/>
            </w:r>
            <w:r>
              <w:rPr>
                <w:noProof/>
                <w:webHidden/>
              </w:rPr>
              <w:fldChar w:fldCharType="begin"/>
            </w:r>
            <w:r>
              <w:rPr>
                <w:noProof/>
                <w:webHidden/>
              </w:rPr>
              <w:instrText xml:space="preserve"> PAGEREF _Toc180146281 \h </w:instrText>
            </w:r>
            <w:r>
              <w:rPr>
                <w:noProof/>
                <w:webHidden/>
              </w:rPr>
            </w:r>
            <w:r>
              <w:rPr>
                <w:noProof/>
                <w:webHidden/>
              </w:rPr>
              <w:fldChar w:fldCharType="separate"/>
            </w:r>
            <w:r>
              <w:rPr>
                <w:noProof/>
                <w:webHidden/>
              </w:rPr>
              <w:t>6</w:t>
            </w:r>
            <w:r>
              <w:rPr>
                <w:noProof/>
                <w:webHidden/>
              </w:rPr>
              <w:fldChar w:fldCharType="end"/>
            </w:r>
          </w:hyperlink>
        </w:p>
        <w:p w14:paraId="6FD43B3F" w14:textId="4DFED5F9" w:rsidR="00351BCA" w:rsidRDefault="00114EE4" w:rsidP="00114EE4">
          <w:r>
            <w:rPr>
              <w:b/>
              <w:bCs/>
              <w:noProof/>
            </w:rPr>
            <w:fldChar w:fldCharType="end"/>
          </w:r>
        </w:p>
      </w:sdtContent>
    </w:sdt>
    <w:p w14:paraId="3BF1CE08" w14:textId="77777777" w:rsidR="00C625B0" w:rsidRDefault="00C625B0">
      <w:r>
        <w:br w:type="page"/>
      </w:r>
    </w:p>
    <w:p w14:paraId="4679E358" w14:textId="1628A3F7" w:rsidR="000D23AF" w:rsidRPr="00D84C7A" w:rsidRDefault="00953708" w:rsidP="00E95944">
      <w:pPr>
        <w:pStyle w:val="Heading1"/>
        <w:spacing w:before="120" w:after="120"/>
      </w:pPr>
      <w:bookmarkStart w:id="0" w:name="_Toc180146276"/>
      <w:r>
        <w:lastRenderedPageBreak/>
        <w:t>Introduction</w:t>
      </w:r>
      <w:bookmarkEnd w:id="0"/>
    </w:p>
    <w:p w14:paraId="37F9E31C" w14:textId="398F77F5" w:rsidR="00104ED3" w:rsidRPr="00721315" w:rsidRDefault="00C467D8" w:rsidP="00114EE4">
      <w:pPr>
        <w:pStyle w:val="fBullet1"/>
      </w:pPr>
      <w:r w:rsidRPr="00721315">
        <w:t>A systematic approach to research data management is central to good research practice and governance</w:t>
      </w:r>
      <w:r w:rsidR="001D0421" w:rsidRPr="00721315">
        <w:t xml:space="preserve"> and</w:t>
      </w:r>
      <w:r w:rsidRPr="00721315">
        <w:t xml:space="preserve"> underpins the University’s commitment to Open Research</w:t>
      </w:r>
      <w:r w:rsidR="009902A1" w:rsidRPr="00721315">
        <w:t>,</w:t>
      </w:r>
      <w:r w:rsidR="005B7F06" w:rsidRPr="00721315">
        <w:t xml:space="preserve"> </w:t>
      </w:r>
      <w:r w:rsidR="00253B18" w:rsidRPr="00721315">
        <w:t xml:space="preserve">as outlined in the </w:t>
      </w:r>
      <w:hyperlink r:id="rId11" w:history="1">
        <w:r w:rsidR="00253B18" w:rsidRPr="00E619F3">
          <w:rPr>
            <w:rStyle w:val="Hyperlink"/>
          </w:rPr>
          <w:t>Open Research Statement</w:t>
        </w:r>
      </w:hyperlink>
      <w:r w:rsidR="00B91426" w:rsidRPr="00721315">
        <w:t>.</w:t>
      </w:r>
    </w:p>
    <w:p w14:paraId="626CD805" w14:textId="77777777" w:rsidR="001C6CEA" w:rsidRDefault="001C6CEA" w:rsidP="001C6CEA">
      <w:pPr>
        <w:pStyle w:val="fBullet1"/>
      </w:pPr>
      <w:r>
        <w:t>The University recognises the following benefits of effective research data management:</w:t>
      </w:r>
    </w:p>
    <w:p w14:paraId="04A8170E" w14:textId="5FD44F60" w:rsidR="001C6CEA" w:rsidRDefault="001C6CEA" w:rsidP="001C6CEA">
      <w:pPr>
        <w:pStyle w:val="gBullet2"/>
      </w:pPr>
      <w:r>
        <w:t>Open</w:t>
      </w:r>
      <w:r w:rsidR="00441C95">
        <w:t>ing</w:t>
      </w:r>
      <w:r>
        <w:t xml:space="preserve"> research to the public and other researchers </w:t>
      </w:r>
      <w:r w:rsidR="005C4217">
        <w:t>and</w:t>
      </w:r>
      <w:r>
        <w:t xml:space="preserve"> increasing transparency, enabling the re-use of data and the replication and validation of research.</w:t>
      </w:r>
    </w:p>
    <w:p w14:paraId="3F892264" w14:textId="05C9BDAD" w:rsidR="001C6CEA" w:rsidRDefault="00441C95" w:rsidP="001C6CEA">
      <w:pPr>
        <w:pStyle w:val="gBullet2"/>
      </w:pPr>
      <w:r>
        <w:t>Enabling a</w:t>
      </w:r>
      <w:r w:rsidR="001C6CEA">
        <w:t xml:space="preserve">dherence to the </w:t>
      </w:r>
      <w:hyperlink r:id="rId12">
        <w:r w:rsidR="001C6CEA" w:rsidRPr="7AA86B27">
          <w:rPr>
            <w:rStyle w:val="Hyperlink"/>
          </w:rPr>
          <w:t>FAIR Principles</w:t>
        </w:r>
      </w:hyperlink>
      <w:r w:rsidR="001C6CEA">
        <w:t xml:space="preserve"> of data being findable, accessible, interoperable and reusable.</w:t>
      </w:r>
    </w:p>
    <w:p w14:paraId="0AF939E9" w14:textId="05151F68" w:rsidR="001C6CEA" w:rsidRDefault="001C6CEA" w:rsidP="001C6CEA">
      <w:pPr>
        <w:pStyle w:val="gBullet2"/>
      </w:pPr>
      <w:r>
        <w:t>Improv</w:t>
      </w:r>
      <w:r w:rsidR="00441C95">
        <w:t>ing</w:t>
      </w:r>
      <w:r>
        <w:t xml:space="preserve"> data integrity, security and access management</w:t>
      </w:r>
      <w:r w:rsidR="00C31A07">
        <w:t>.</w:t>
      </w:r>
    </w:p>
    <w:p w14:paraId="162F627C" w14:textId="48249F06" w:rsidR="001C6CEA" w:rsidRDefault="004215BA" w:rsidP="001C6CEA">
      <w:pPr>
        <w:pStyle w:val="gBullet2"/>
      </w:pPr>
      <w:r>
        <w:t>Enhancing the</w:t>
      </w:r>
      <w:r w:rsidR="00E16FCE">
        <w:t xml:space="preserve"> visibility of </w:t>
      </w:r>
      <w:r w:rsidR="00C75F0A">
        <w:t>Edge Hill research and the</w:t>
      </w:r>
      <w:r>
        <w:t xml:space="preserve"> </w:t>
      </w:r>
      <w:r w:rsidR="001C6CEA">
        <w:t>research reputation</w:t>
      </w:r>
      <w:r w:rsidR="00023B25">
        <w:t>s</w:t>
      </w:r>
      <w:r w:rsidR="001C6CEA">
        <w:t xml:space="preserve"> </w:t>
      </w:r>
      <w:r>
        <w:t>of</w:t>
      </w:r>
      <w:r w:rsidR="001C6CEA">
        <w:t xml:space="preserve"> </w:t>
      </w:r>
      <w:r w:rsidR="00023B25">
        <w:t xml:space="preserve">both </w:t>
      </w:r>
      <w:r w:rsidR="001C6CEA">
        <w:t>researchers and the University.</w:t>
      </w:r>
    </w:p>
    <w:p w14:paraId="1B52AA13" w14:textId="041E0680" w:rsidR="001562EC" w:rsidRDefault="009D3282" w:rsidP="001C6CEA">
      <w:pPr>
        <w:pStyle w:val="gBullet2"/>
      </w:pPr>
      <w:r>
        <w:t>Maximising the potential for</w:t>
      </w:r>
      <w:r w:rsidR="001562EC">
        <w:t xml:space="preserve"> collaboration</w:t>
      </w:r>
      <w:r>
        <w:t xml:space="preserve"> within and outside the University. </w:t>
      </w:r>
    </w:p>
    <w:p w14:paraId="32E1E36C" w14:textId="528DAE07" w:rsidR="001C6CEA" w:rsidRDefault="004215BA" w:rsidP="001C6CEA">
      <w:pPr>
        <w:pStyle w:val="gBullet2"/>
      </w:pPr>
      <w:r>
        <w:t>Demonstrating c</w:t>
      </w:r>
      <w:r w:rsidR="001C6CEA">
        <w:t>ompliance with research funders</w:t>
      </w:r>
      <w:r w:rsidR="00543CE8">
        <w:t>’</w:t>
      </w:r>
      <w:r w:rsidR="001C6CEA">
        <w:t xml:space="preserve"> and assessment bodies</w:t>
      </w:r>
      <w:r w:rsidR="00543CE8">
        <w:t>’ policies</w:t>
      </w:r>
      <w:r w:rsidR="001C6CEA">
        <w:t xml:space="preserve">. </w:t>
      </w:r>
    </w:p>
    <w:p w14:paraId="747B178A" w14:textId="77777777" w:rsidR="00721315" w:rsidRDefault="00721315" w:rsidP="00721315">
      <w:pPr>
        <w:pStyle w:val="fBullet1"/>
      </w:pPr>
      <w:r>
        <w:t>Responsibility for good management of research data rests with the Principal Investigator or lead researcher, supported by the University.</w:t>
      </w:r>
    </w:p>
    <w:p w14:paraId="29A840E3" w14:textId="3479F744" w:rsidR="00F65C92" w:rsidRDefault="00F65C92" w:rsidP="00E7254B">
      <w:pPr>
        <w:pStyle w:val="fBullet1"/>
      </w:pPr>
      <w:r>
        <w:t xml:space="preserve">This policy applies </w:t>
      </w:r>
      <w:r w:rsidR="00090381">
        <w:t xml:space="preserve">to anyone conducting research </w:t>
      </w:r>
      <w:r>
        <w:t xml:space="preserve">across </w:t>
      </w:r>
      <w:r w:rsidR="00090381">
        <w:t>any</w:t>
      </w:r>
      <w:r>
        <w:t xml:space="preserve"> discipline at Edge Hill University.</w:t>
      </w:r>
      <w:r w:rsidR="004E06E3" w:rsidRPr="004E06E3">
        <w:t xml:space="preserve"> For taught </w:t>
      </w:r>
      <w:r w:rsidR="004E06E3">
        <w:t xml:space="preserve">postgraduate </w:t>
      </w:r>
      <w:r w:rsidR="004E06E3" w:rsidRPr="004E06E3">
        <w:t>courses, this policy only applies where the research findings are published.</w:t>
      </w:r>
    </w:p>
    <w:p w14:paraId="53F8CDEF" w14:textId="1389075C" w:rsidR="004E06E3" w:rsidRDefault="006905C0" w:rsidP="00E7254B">
      <w:pPr>
        <w:pStyle w:val="fBullet1"/>
      </w:pPr>
      <w:r>
        <w:t xml:space="preserve">This policy does not apply to undergraduate students. However, undergraduate students should manage any course-related research in line with the </w:t>
      </w:r>
      <w:hyperlink r:id="rId13" w:history="1">
        <w:r w:rsidRPr="00BF2742">
          <w:rPr>
            <w:rStyle w:val="Hyperlink"/>
          </w:rPr>
          <w:t>Code of Practice for Research</w:t>
        </w:r>
      </w:hyperlink>
      <w:r>
        <w:t xml:space="preserve">. </w:t>
      </w:r>
    </w:p>
    <w:p w14:paraId="618362F3" w14:textId="405BC4F5" w:rsidR="006A5B50" w:rsidRDefault="00104ED3" w:rsidP="00E95944">
      <w:pPr>
        <w:pStyle w:val="Heading1"/>
        <w:spacing w:before="120" w:after="120"/>
      </w:pPr>
      <w:bookmarkStart w:id="1" w:name="_Toc49416078"/>
      <w:bookmarkStart w:id="2" w:name="_Toc180146277"/>
      <w:r>
        <w:t>Definition</w:t>
      </w:r>
      <w:r w:rsidR="00090381">
        <w:t>s</w:t>
      </w:r>
      <w:bookmarkEnd w:id="1"/>
      <w:bookmarkEnd w:id="2"/>
    </w:p>
    <w:p w14:paraId="68FE006F" w14:textId="7BCDFF69" w:rsidR="00C77A4E" w:rsidRDefault="0004348E" w:rsidP="00114EE4">
      <w:pPr>
        <w:pStyle w:val="fBullet1"/>
      </w:pPr>
      <w:r>
        <w:t xml:space="preserve">The </w:t>
      </w:r>
      <w:hyperlink r:id="rId14" w:history="1">
        <w:r w:rsidRPr="00950212">
          <w:rPr>
            <w:rStyle w:val="Hyperlink"/>
          </w:rPr>
          <w:t>UK Concordat on Open Research Data</w:t>
        </w:r>
      </w:hyperlink>
      <w:r>
        <w:t xml:space="preserve"> recognises that t</w:t>
      </w:r>
      <w:r w:rsidR="00104ED3">
        <w:t>he</w:t>
      </w:r>
      <w:r w:rsidR="003B37ED">
        <w:t xml:space="preserve"> </w:t>
      </w:r>
      <w:r w:rsidR="00104ED3">
        <w:t>definition of research data</w:t>
      </w:r>
      <w:r w:rsidR="003B37ED">
        <w:t xml:space="preserve"> varies between</w:t>
      </w:r>
      <w:r w:rsidR="00104ED3">
        <w:t xml:space="preserve"> disciplines</w:t>
      </w:r>
      <w:r w:rsidR="00F5132D">
        <w:t xml:space="preserve"> but</w:t>
      </w:r>
      <w:r w:rsidR="009E286E">
        <w:t xml:space="preserve">, broadly, it </w:t>
      </w:r>
      <w:r w:rsidR="00104ED3">
        <w:t>encompass</w:t>
      </w:r>
      <w:r w:rsidR="009E286E">
        <w:t>es</w:t>
      </w:r>
      <w:r w:rsidR="00104ED3">
        <w:t xml:space="preserve"> </w:t>
      </w:r>
      <w:r w:rsidR="00777E8B">
        <w:t>i</w:t>
      </w:r>
      <w:r w:rsidR="00777E8B" w:rsidRPr="00777E8B">
        <w:t>nformation that has been collected, observed, generated or created to validate original research findings.</w:t>
      </w:r>
      <w:r w:rsidR="00EB64EF">
        <w:t xml:space="preserve"> </w:t>
      </w:r>
    </w:p>
    <w:p w14:paraId="24245109" w14:textId="114FC69B" w:rsidR="00524289" w:rsidRDefault="006F1500" w:rsidP="00114EE4">
      <w:pPr>
        <w:pStyle w:val="fBullet1"/>
      </w:pPr>
      <w:r>
        <w:t xml:space="preserve">This </w:t>
      </w:r>
      <w:r w:rsidR="00950212">
        <w:t xml:space="preserve">includes </w:t>
      </w:r>
      <w:r w:rsidR="008D1FB4">
        <w:t xml:space="preserve">a wide range of content and formats generated across all disciplines and </w:t>
      </w:r>
      <w:r>
        <w:t>could include</w:t>
      </w:r>
      <w:r w:rsidR="00F36CF6">
        <w:t xml:space="preserve"> statistical data, </w:t>
      </w:r>
      <w:r w:rsidR="00B44E9F">
        <w:t xml:space="preserve">interview transcripts, </w:t>
      </w:r>
      <w:r w:rsidR="00CD0078">
        <w:t xml:space="preserve">software and code, </w:t>
      </w:r>
      <w:r w:rsidR="00C02B9B">
        <w:t xml:space="preserve">laboratory notebooks, </w:t>
      </w:r>
      <w:r w:rsidR="00C3791E">
        <w:t xml:space="preserve">material </w:t>
      </w:r>
      <w:r w:rsidR="006F337B">
        <w:t xml:space="preserve">held </w:t>
      </w:r>
      <w:r w:rsidR="00745FE8">
        <w:t xml:space="preserve">in </w:t>
      </w:r>
      <w:r w:rsidR="00735296">
        <w:t>libraries and archives</w:t>
      </w:r>
      <w:r w:rsidR="00C9508A">
        <w:t xml:space="preserve">, </w:t>
      </w:r>
      <w:r w:rsidR="00086B73">
        <w:t>and p</w:t>
      </w:r>
      <w:r w:rsidR="00C9508A">
        <w:t xml:space="preserve">ractice as </w:t>
      </w:r>
      <w:r w:rsidR="00086B73">
        <w:t>r</w:t>
      </w:r>
      <w:r w:rsidR="00C9508A">
        <w:t>esearch</w:t>
      </w:r>
      <w:r w:rsidR="002758FF">
        <w:t>, etc</w:t>
      </w:r>
      <w:r w:rsidR="00F36CF6">
        <w:t>.</w:t>
      </w:r>
    </w:p>
    <w:p w14:paraId="32A812FA" w14:textId="42C9CA01" w:rsidR="008D1FB4" w:rsidRDefault="008D1FB4" w:rsidP="00114EE4">
      <w:pPr>
        <w:pStyle w:val="fBullet1"/>
      </w:pPr>
      <w:r>
        <w:t xml:space="preserve">Research data management is a process covering the creation and stewardship of research materials to enable their use for as long as they retain value. </w:t>
      </w:r>
    </w:p>
    <w:p w14:paraId="7585B62D" w14:textId="2C6B0572" w:rsidR="00104ED3" w:rsidRDefault="00104ED3" w:rsidP="00DC1AED">
      <w:pPr>
        <w:pStyle w:val="Heading1"/>
        <w:spacing w:before="120" w:after="120"/>
      </w:pPr>
      <w:bookmarkStart w:id="3" w:name="_Toc49416079"/>
      <w:bookmarkStart w:id="4" w:name="_Toc180146278"/>
      <w:r>
        <w:lastRenderedPageBreak/>
        <w:t>Policy Statements</w:t>
      </w:r>
      <w:bookmarkEnd w:id="3"/>
      <w:bookmarkEnd w:id="4"/>
    </w:p>
    <w:p w14:paraId="3AE3A7F5" w14:textId="001E8F42" w:rsidR="00104ED3" w:rsidRDefault="00104ED3" w:rsidP="00114EE4">
      <w:pPr>
        <w:pStyle w:val="fBullet1"/>
      </w:pPr>
      <w:r>
        <w:t>Edge Hill University is committed to ensuring that the research conducted by its staff and students maintains the highest possible standards of integrity.</w:t>
      </w:r>
    </w:p>
    <w:p w14:paraId="08DF91A3" w14:textId="16E00974" w:rsidR="00104ED3" w:rsidRDefault="00104ED3" w:rsidP="00114EE4">
      <w:pPr>
        <w:pStyle w:val="fBullet1"/>
      </w:pPr>
      <w:r>
        <w:t xml:space="preserve">Research data </w:t>
      </w:r>
      <w:r w:rsidR="006A0E56">
        <w:t xml:space="preserve">are a research output and </w:t>
      </w:r>
      <w:r>
        <w:t xml:space="preserve">must be managed in accordance with the </w:t>
      </w:r>
      <w:r w:rsidR="003F5D7B" w:rsidRPr="003F5D7B">
        <w:t xml:space="preserve">University’s policies, </w:t>
      </w:r>
      <w:r w:rsidR="0009534A" w:rsidRPr="003F5D7B">
        <w:t>guidance,</w:t>
      </w:r>
      <w:r w:rsidR="003F5D7B" w:rsidRPr="003F5D7B">
        <w:t xml:space="preserve"> and standards</w:t>
      </w:r>
      <w:r w:rsidR="003F5D7B">
        <w:t xml:space="preserve"> (listed at the end of this document)</w:t>
      </w:r>
      <w:r>
        <w:t>, and funder, legislative and ethical requirements.</w:t>
      </w:r>
    </w:p>
    <w:p w14:paraId="03E2CA53" w14:textId="375DBFE9" w:rsidR="00104ED3" w:rsidRDefault="00C33D7D" w:rsidP="00114EE4">
      <w:pPr>
        <w:pStyle w:val="fBullet1"/>
      </w:pPr>
      <w:r>
        <w:t xml:space="preserve">Research data should be made as open as possible under an appropriate licence in accordance with this policy, unless there are legal, ethical, contractual or funder requirements that restrict this. </w:t>
      </w:r>
      <w:r w:rsidR="00104ED3">
        <w:t>Exclusive rights to host, re-use or publish research data should not be given to other bodies without retaining the rights to make the data openly available for re-use, unless this is a condition of funding.</w:t>
      </w:r>
    </w:p>
    <w:p w14:paraId="1B69FEBC" w14:textId="4D68BDC8" w:rsidR="00566807" w:rsidRDefault="00566807" w:rsidP="00566807">
      <w:pPr>
        <w:pStyle w:val="fBullet1"/>
      </w:pPr>
      <w:r>
        <w:t xml:space="preserve">Researchers should manage their data in accordance with the </w:t>
      </w:r>
      <w:hyperlink r:id="rId15" w:history="1">
        <w:r w:rsidRPr="0009534A">
          <w:rPr>
            <w:rStyle w:val="Hyperlink"/>
          </w:rPr>
          <w:t>FAIR data principles</w:t>
        </w:r>
      </w:hyperlink>
      <w:r>
        <w:t xml:space="preserve"> and in a manner that maximises the transparency, integrity, quality and reproducibility of research and ensures the long-term accessibility and reusability of research data. </w:t>
      </w:r>
    </w:p>
    <w:p w14:paraId="5E721CC4" w14:textId="0ADC1EC2" w:rsidR="00104ED3" w:rsidRDefault="009C5121" w:rsidP="00114EE4">
      <w:pPr>
        <w:pStyle w:val="fBullet1"/>
      </w:pPr>
      <w:r>
        <w:t>A research data management plan</w:t>
      </w:r>
      <w:r w:rsidR="004B40A1">
        <w:t xml:space="preserve"> (DMP)</w:t>
      </w:r>
      <w:r>
        <w:t xml:space="preserve"> should be created</w:t>
      </w:r>
      <w:r w:rsidR="00AA7BB2">
        <w:t>, maintained and adhered to</w:t>
      </w:r>
      <w:r>
        <w:t xml:space="preserve"> for every research project.</w:t>
      </w:r>
      <w:r w:rsidR="009427C6">
        <w:t xml:space="preserve"> </w:t>
      </w:r>
      <w:r w:rsidR="004B40A1">
        <w:t xml:space="preserve">The </w:t>
      </w:r>
      <w:r w:rsidR="009427C6">
        <w:t xml:space="preserve">DMP should </w:t>
      </w:r>
      <w:r w:rsidR="003E4DFD">
        <w:t>meet the requirements of Edge Hill University and any relevant external bodies</w:t>
      </w:r>
      <w:r w:rsidR="00104ED3">
        <w:t xml:space="preserve">. </w:t>
      </w:r>
    </w:p>
    <w:p w14:paraId="099A979A" w14:textId="65D9658D" w:rsidR="00104ED3" w:rsidRDefault="00F336EF" w:rsidP="00114EE4">
      <w:pPr>
        <w:pStyle w:val="fBullet1"/>
      </w:pPr>
      <w:r w:rsidRPr="00F336EF">
        <w:t xml:space="preserve">The University provides services enabling registration, deposit, storage, retention of and </w:t>
      </w:r>
      <w:r w:rsidR="00947644">
        <w:t xml:space="preserve">public </w:t>
      </w:r>
      <w:r w:rsidRPr="00F336EF">
        <w:t xml:space="preserve">access to research data. </w:t>
      </w:r>
      <w:hyperlink r:id="rId16" w:history="1">
        <w:r w:rsidR="006C0CD0" w:rsidRPr="00F336EF">
          <w:rPr>
            <w:rStyle w:val="Hyperlink"/>
          </w:rPr>
          <w:t>Edge Hill Figshare</w:t>
        </w:r>
      </w:hyperlink>
      <w:r w:rsidR="006C0CD0" w:rsidRPr="00F336EF">
        <w:t xml:space="preserve"> is the University's data repository</w:t>
      </w:r>
      <w:r w:rsidR="006C0CD0">
        <w:t xml:space="preserve">. </w:t>
      </w:r>
      <w:r w:rsidR="00C21A5F">
        <w:t>Researchers should deposit their research data in Figshare or an appropriate external data service, funder, disciplinary or publisher repository if required by their discipline or funder. In</w:t>
      </w:r>
      <w:r w:rsidR="00941E6A">
        <w:t xml:space="preserve"> that case, researchers should create a metadata record of their research data in Figshare, linking through to the original source. </w:t>
      </w:r>
    </w:p>
    <w:p w14:paraId="39D85F0A" w14:textId="055D9AC1" w:rsidR="00297E36" w:rsidRPr="009D5407" w:rsidRDefault="00297E36" w:rsidP="00114EE4">
      <w:pPr>
        <w:pStyle w:val="fBullet1"/>
      </w:pPr>
      <w:r>
        <w:t xml:space="preserve">Researchers </w:t>
      </w:r>
      <w:r w:rsidR="009D5407">
        <w:t>should</w:t>
      </w:r>
      <w:r>
        <w:t xml:space="preserve"> provide sufficient metadata and explanatory documentation about their data to ensure that they are discoverable, </w:t>
      </w:r>
      <w:r w:rsidR="00E12E67">
        <w:t>understandable,</w:t>
      </w:r>
      <w:r>
        <w:t xml:space="preserve"> and reus</w:t>
      </w:r>
      <w:r w:rsidR="00E12E67">
        <w:t>eable</w:t>
      </w:r>
      <w:r w:rsidR="009141DD">
        <w:t>,</w:t>
      </w:r>
      <w:r w:rsidR="009D5407">
        <w:t xml:space="preserve"> whether or not the data </w:t>
      </w:r>
      <w:r w:rsidR="00E12E67" w:rsidRPr="009D5407">
        <w:t xml:space="preserve">can be made open. </w:t>
      </w:r>
    </w:p>
    <w:p w14:paraId="395C48AB" w14:textId="08BF7635" w:rsidR="00820D54" w:rsidRPr="00BF7AF8" w:rsidRDefault="004B4606" w:rsidP="00D55B00">
      <w:pPr>
        <w:pStyle w:val="fBullet1"/>
        <w:rPr>
          <w:rFonts w:eastAsia="Arial" w:cs="Arial"/>
          <w:szCs w:val="24"/>
        </w:rPr>
      </w:pPr>
      <w:r>
        <w:t>D</w:t>
      </w:r>
      <w:r w:rsidR="00104ED3">
        <w:t>ata must be retained intact in an appropriate format and storage facility</w:t>
      </w:r>
      <w:r w:rsidR="00D55B00">
        <w:t>,</w:t>
      </w:r>
      <w:r w:rsidR="4A243008">
        <w:t xml:space="preserve"> such </w:t>
      </w:r>
      <w:r w:rsidR="00D55B00">
        <w:t xml:space="preserve">as </w:t>
      </w:r>
      <w:r w:rsidR="4A243008">
        <w:t>a repository</w:t>
      </w:r>
      <w:r w:rsidR="00104ED3">
        <w:t xml:space="preserve">, </w:t>
      </w:r>
      <w:r w:rsidR="00D55B00">
        <w:t>for as long as the data have value or as specified by</w:t>
      </w:r>
      <w:r w:rsidR="009C0F89">
        <w:t xml:space="preserve"> legislation, funders, regulatory requirements or disciplinary best practice.</w:t>
      </w:r>
      <w:r w:rsidR="44AA63C9" w:rsidRPr="00256302">
        <w:t xml:space="preserve"> </w:t>
      </w:r>
      <w:r w:rsidR="00EB04EA">
        <w:t>The University is committed to the long-term preservation of research content to maximise the public value of research. Research data deposited in Edge Hill Figshare</w:t>
      </w:r>
      <w:r w:rsidR="00820D54">
        <w:t xml:space="preserve"> will be retained for at least 10 years from the dat</w:t>
      </w:r>
      <w:r w:rsidR="002214E8">
        <w:t>e</w:t>
      </w:r>
      <w:r w:rsidR="00820D54">
        <w:t xml:space="preserve"> of deposit. </w:t>
      </w:r>
    </w:p>
    <w:p w14:paraId="44033F45" w14:textId="3EBEE9B8" w:rsidR="00397C48" w:rsidRPr="00BF7AF8" w:rsidRDefault="00397C48" w:rsidP="00D55B00">
      <w:pPr>
        <w:pStyle w:val="fBullet1"/>
        <w:rPr>
          <w:rFonts w:eastAsia="Arial" w:cs="Arial"/>
          <w:szCs w:val="24"/>
        </w:rPr>
      </w:pPr>
      <w:r w:rsidRPr="00BF7AF8">
        <w:rPr>
          <w:rFonts w:eastAsia="Arial" w:cs="Arial"/>
          <w:szCs w:val="24"/>
        </w:rPr>
        <w:t xml:space="preserve">Research-related administrative records for non-clinical or public health studies, for example completed participant consent forms, should be kept securely and separately from the research data for as long as the research data is retained, but for at least 10 years </w:t>
      </w:r>
      <w:r w:rsidR="00BF7AF8" w:rsidRPr="00BF7AF8">
        <w:rPr>
          <w:rFonts w:eastAsia="Arial" w:cs="Arial"/>
          <w:szCs w:val="24"/>
        </w:rPr>
        <w:t>after the completion of the project, unless otherwise stipulated by funder or regulatory requirements.</w:t>
      </w:r>
    </w:p>
    <w:p w14:paraId="6496A3E7" w14:textId="6C709B75" w:rsidR="004B4606" w:rsidRDefault="00F40290" w:rsidP="00C95792">
      <w:pPr>
        <w:pStyle w:val="fBullet1"/>
        <w:rPr>
          <w:rFonts w:eastAsia="Arial" w:cs="Arial"/>
          <w:sz w:val="28"/>
          <w:szCs w:val="28"/>
        </w:rPr>
      </w:pPr>
      <w:r>
        <w:lastRenderedPageBreak/>
        <w:t>R</w:t>
      </w:r>
      <w:r w:rsidR="44AA63C9" w:rsidRPr="00256302">
        <w:t>esearcher</w:t>
      </w:r>
      <w:r>
        <w:t>s</w:t>
      </w:r>
      <w:r w:rsidR="44AA63C9" w:rsidRPr="00256302">
        <w:t xml:space="preserve"> should use open data formats where possible to reduce data obsolescence and increase reuse potential.</w:t>
      </w:r>
    </w:p>
    <w:p w14:paraId="1A682795" w14:textId="0C0EB80E" w:rsidR="00104ED3" w:rsidRDefault="00104ED3" w:rsidP="00114EE4">
      <w:pPr>
        <w:pStyle w:val="fBullet1"/>
      </w:pPr>
      <w:r>
        <w:t xml:space="preserve">Where research data is not retained, it should be disposed of according to the </w:t>
      </w:r>
      <w:hyperlink r:id="rId17">
        <w:r w:rsidRPr="7AA86B27">
          <w:rPr>
            <w:rStyle w:val="Hyperlink"/>
          </w:rPr>
          <w:t>University Information Security Policy</w:t>
        </w:r>
      </w:hyperlink>
      <w:r>
        <w:t>.</w:t>
      </w:r>
    </w:p>
    <w:p w14:paraId="28C34663" w14:textId="48A31ACF" w:rsidR="00104ED3" w:rsidRDefault="00104ED3" w:rsidP="00114EE4">
      <w:pPr>
        <w:pStyle w:val="fBullet1"/>
      </w:pPr>
      <w:r>
        <w:t xml:space="preserve">Research data must be managed according to legal and statutory requirements, including but not limited to: Data Protection Act </w:t>
      </w:r>
      <w:r w:rsidR="006F1728">
        <w:t>2018</w:t>
      </w:r>
      <w:r>
        <w:t>, Freedom of Information Act 2000, and intellectual property rights.</w:t>
      </w:r>
    </w:p>
    <w:p w14:paraId="667013D6" w14:textId="0865FF37" w:rsidR="00104ED3" w:rsidRDefault="00104ED3" w:rsidP="00114EE4">
      <w:pPr>
        <w:pStyle w:val="fBullet1"/>
      </w:pPr>
      <w:r>
        <w:t>All research data management must adhere to Edge Hill</w:t>
      </w:r>
      <w:r w:rsidR="004C7B22">
        <w:t xml:space="preserve"> research</w:t>
      </w:r>
      <w:r>
        <w:t xml:space="preserve"> </w:t>
      </w:r>
      <w:hyperlink r:id="rId18">
        <w:r w:rsidRPr="7AA86B27">
          <w:rPr>
            <w:rStyle w:val="Hyperlink"/>
          </w:rPr>
          <w:t>ethics</w:t>
        </w:r>
      </w:hyperlink>
      <w:r>
        <w:t xml:space="preserve"> and </w:t>
      </w:r>
      <w:hyperlink r:id="rId19" w:history="1">
        <w:r w:rsidRPr="001066D4">
          <w:rPr>
            <w:rStyle w:val="Hyperlink"/>
          </w:rPr>
          <w:t>governance</w:t>
        </w:r>
      </w:hyperlink>
      <w:r>
        <w:t xml:space="preserve"> requirements.</w:t>
      </w:r>
    </w:p>
    <w:p w14:paraId="283B6006" w14:textId="1DEC9C36" w:rsidR="00104ED3" w:rsidRDefault="00104ED3" w:rsidP="00114EE4">
      <w:pPr>
        <w:pStyle w:val="fBullet1"/>
      </w:pPr>
      <w:r>
        <w:t>The University will provide advice, training and support regarding research data management.</w:t>
      </w:r>
    </w:p>
    <w:p w14:paraId="693B6480" w14:textId="30D57ED6" w:rsidR="00684D4B" w:rsidRDefault="00684D4B" w:rsidP="00DC1AED">
      <w:pPr>
        <w:pStyle w:val="Heading1"/>
        <w:spacing w:before="120" w:after="120"/>
      </w:pPr>
      <w:bookmarkStart w:id="5" w:name="_Toc180146279"/>
      <w:bookmarkStart w:id="6" w:name="_Toc49416080"/>
      <w:r>
        <w:t>Responsibilities</w:t>
      </w:r>
      <w:bookmarkEnd w:id="5"/>
      <w:r>
        <w:t xml:space="preserve"> </w:t>
      </w:r>
    </w:p>
    <w:p w14:paraId="679A05B0" w14:textId="591D3275" w:rsidR="00684D4B" w:rsidRDefault="00684D4B" w:rsidP="00684D4B">
      <w:pPr>
        <w:pStyle w:val="fBullet1"/>
      </w:pPr>
      <w:r>
        <w:t>All researchers are responsible for research data management requirements in their research. Principal Investigators are responsible for data management practices within their projects.</w:t>
      </w:r>
    </w:p>
    <w:p w14:paraId="4890DE30" w14:textId="77777777" w:rsidR="0099119C" w:rsidRDefault="0099119C" w:rsidP="0099119C">
      <w:pPr>
        <w:pStyle w:val="fBullet1"/>
        <w:ind w:left="360" w:hanging="360"/>
      </w:pPr>
      <w:r>
        <w:t xml:space="preserve">For research conducted with other institutions or independent researchers, an appropriate plan for research data </w:t>
      </w:r>
      <w:r w:rsidRPr="00C95792">
        <w:t>ownership and</w:t>
      </w:r>
      <w:r>
        <w:t xml:space="preserve"> management should be agreed. </w:t>
      </w:r>
    </w:p>
    <w:p w14:paraId="78A8A8BB" w14:textId="77777777" w:rsidR="0099119C" w:rsidRDefault="0099119C" w:rsidP="0099119C">
      <w:pPr>
        <w:pStyle w:val="fBullet1"/>
        <w:ind w:left="360" w:hanging="360"/>
      </w:pPr>
      <w:r>
        <w:t>If Edge Hill staff members or students take part in research led by another institution, the lead Edge Hill researcher is responsible for data management at Edge Hill and for ensuring data is appropriately deposited and shared in accordance with this policy, including creating a metadata record in Figshare.</w:t>
      </w:r>
    </w:p>
    <w:p w14:paraId="795E1134" w14:textId="77777777" w:rsidR="0099119C" w:rsidRDefault="0099119C" w:rsidP="0099119C">
      <w:pPr>
        <w:pStyle w:val="fBullet1"/>
        <w:ind w:left="360" w:hanging="360"/>
      </w:pPr>
      <w:r>
        <w:t xml:space="preserve">If a researcher leaves the University, </w:t>
      </w:r>
    </w:p>
    <w:p w14:paraId="28C70116" w14:textId="77777777" w:rsidR="0099119C" w:rsidRDefault="0099119C" w:rsidP="0099119C">
      <w:pPr>
        <w:pStyle w:val="gBullet2"/>
        <w:ind w:left="792" w:hanging="432"/>
      </w:pPr>
      <w:r>
        <w:t xml:space="preserve">They must ensure that data they have generated, collected or derived is shared with a supervisor or colleague before they leave the University to minimise the risk of data loss. </w:t>
      </w:r>
    </w:p>
    <w:p w14:paraId="758172F2" w14:textId="77777777" w:rsidR="0099119C" w:rsidRDefault="0099119C" w:rsidP="0099119C">
      <w:pPr>
        <w:pStyle w:val="gBullet2"/>
        <w:ind w:left="792" w:hanging="432"/>
      </w:pPr>
      <w:r>
        <w:t xml:space="preserve">If they wish to retain data or copies of live data for personal use, they must obtain permission from the Principal Investigator and/or Head of Department. Where personal data is involved, the request must be refused unless it is clear that future use will be consistent with the terms of the consent given for the research (e.g. anonymisation). Permission is not required for publicly accessible data held in a repository unless restrictions are in place for access and/or re-use. </w:t>
      </w:r>
    </w:p>
    <w:p w14:paraId="790369A4" w14:textId="6388F054" w:rsidR="004024A4" w:rsidRPr="00684D4B" w:rsidRDefault="007C28AE" w:rsidP="004024A4">
      <w:pPr>
        <w:pStyle w:val="fBullet1"/>
        <w:ind w:left="360" w:hanging="360"/>
      </w:pPr>
      <w:r>
        <w:rPr>
          <w:rStyle w:val="ui-provider"/>
        </w:rPr>
        <w:t>While i</w:t>
      </w:r>
      <w:r w:rsidR="004024A4">
        <w:rPr>
          <w:rStyle w:val="ui-provider"/>
        </w:rPr>
        <w:t xml:space="preserve">t is recognised that </w:t>
      </w:r>
      <w:r w:rsidR="00C56701">
        <w:rPr>
          <w:rStyle w:val="ui-provider"/>
        </w:rPr>
        <w:t xml:space="preserve">managing data </w:t>
      </w:r>
      <w:r w:rsidR="00895F5D">
        <w:rPr>
          <w:rStyle w:val="ui-provider"/>
        </w:rPr>
        <w:t>for</w:t>
      </w:r>
      <w:r w:rsidR="00C56701">
        <w:rPr>
          <w:rStyle w:val="ui-provider"/>
        </w:rPr>
        <w:t xml:space="preserve"> a specific project lies with the individual researcher, </w:t>
      </w:r>
      <w:r w:rsidR="004024A4">
        <w:rPr>
          <w:rStyle w:val="ui-provider"/>
        </w:rPr>
        <w:t xml:space="preserve">institutional responsibility for research data management falls within the remit of a range of stakeholders across the institution, including and not limited to Library and Learning Services, the Research Office, IT Services, the research ethics committees and the </w:t>
      </w:r>
      <w:r w:rsidR="004024A4">
        <w:t xml:space="preserve">Strategic Planning and Policy Unit. </w:t>
      </w:r>
    </w:p>
    <w:p w14:paraId="02239279" w14:textId="77777777" w:rsidR="0099119C" w:rsidRDefault="0099119C" w:rsidP="0099119C">
      <w:pPr>
        <w:pStyle w:val="fBullet1"/>
        <w:ind w:left="360" w:hanging="360"/>
      </w:pPr>
      <w:r>
        <w:lastRenderedPageBreak/>
        <w:t>Other roles with key responsibilities for data management include:</w:t>
      </w:r>
    </w:p>
    <w:p w14:paraId="29B6D671" w14:textId="77777777" w:rsidR="0099119C" w:rsidRDefault="0099119C" w:rsidP="0099119C">
      <w:pPr>
        <w:pStyle w:val="gBullet2"/>
        <w:ind w:left="792" w:hanging="432"/>
      </w:pPr>
      <w:r>
        <w:t xml:space="preserve">Heads of Department ensure that staff and students in their areas are aware of their responsibilities. </w:t>
      </w:r>
    </w:p>
    <w:p w14:paraId="664D8684" w14:textId="77777777" w:rsidR="0099119C" w:rsidRDefault="0099119C" w:rsidP="0099119C">
      <w:pPr>
        <w:pStyle w:val="gBullet2"/>
        <w:ind w:left="792" w:hanging="432"/>
      </w:pPr>
      <w:r>
        <w:t xml:space="preserve">Departmental Research Leads support staff in understanding the operational aspects of their responsibilities, particularly in signposting new staff to institutional resources. </w:t>
      </w:r>
    </w:p>
    <w:p w14:paraId="472E6226" w14:textId="77777777" w:rsidR="0099119C" w:rsidRDefault="0099119C" w:rsidP="0099119C">
      <w:pPr>
        <w:pStyle w:val="gBullet2"/>
        <w:ind w:left="792" w:hanging="432"/>
      </w:pPr>
      <w:r>
        <w:t xml:space="preserve">Associate Deans for Research (or equivalent) ensure that policy developments are disseminated among all research staff and students in their faculty.  </w:t>
      </w:r>
    </w:p>
    <w:p w14:paraId="597830BB" w14:textId="0F56D05D" w:rsidR="0099119C" w:rsidRDefault="0099119C" w:rsidP="0099119C">
      <w:pPr>
        <w:pStyle w:val="gBullet2"/>
        <w:ind w:left="792" w:hanging="432"/>
      </w:pPr>
      <w:r>
        <w:t>Supervisors of postgraduate research students set expectations for research data management and support students to manage their data in line with this policy.</w:t>
      </w:r>
      <w:r w:rsidRPr="000325AB">
        <w:t xml:space="preserve"> </w:t>
      </w:r>
    </w:p>
    <w:bookmarkEnd w:id="6"/>
    <w:p w14:paraId="42BE66E3" w14:textId="77777777" w:rsidR="002E38E2" w:rsidRDefault="002E38E2" w:rsidP="002E38E2">
      <w:pPr>
        <w:pStyle w:val="fBullet1"/>
      </w:pPr>
      <w:r>
        <w:t xml:space="preserve">This policy will be reviewed every three years unless there are changes to legislation or funder requirements. </w:t>
      </w:r>
    </w:p>
    <w:p w14:paraId="70B0F5AB" w14:textId="7912C304" w:rsidR="00645558" w:rsidRDefault="0099119C" w:rsidP="00DC1AED">
      <w:pPr>
        <w:pStyle w:val="Heading1"/>
        <w:spacing w:before="120" w:after="120"/>
      </w:pPr>
      <w:bookmarkStart w:id="7" w:name="_Toc180146280"/>
      <w:r>
        <w:t>Related policies</w:t>
      </w:r>
      <w:bookmarkEnd w:id="7"/>
    </w:p>
    <w:p w14:paraId="4FCD9D0D" w14:textId="497FD9CD" w:rsidR="00645558" w:rsidRDefault="00645558" w:rsidP="00114EE4">
      <w:pPr>
        <w:pStyle w:val="fBullet1"/>
      </w:pPr>
      <w:r>
        <w:t>This policy should be read in conjunction with other University policies and codes including:</w:t>
      </w:r>
    </w:p>
    <w:p w14:paraId="1E0EE659" w14:textId="312FA2B9" w:rsidR="00645558" w:rsidRDefault="00645558" w:rsidP="00F3460C">
      <w:pPr>
        <w:pStyle w:val="gBullet2"/>
        <w:spacing w:after="80"/>
      </w:pPr>
      <w:hyperlink r:id="rId20">
        <w:r w:rsidRPr="7AA86B27">
          <w:rPr>
            <w:rStyle w:val="Hyperlink"/>
          </w:rPr>
          <w:t>Code of Practice for Research</w:t>
        </w:r>
      </w:hyperlink>
    </w:p>
    <w:p w14:paraId="3CA7AA04" w14:textId="77777777" w:rsidR="00645558" w:rsidRPr="00E647AF" w:rsidRDefault="00645558" w:rsidP="00F3460C">
      <w:pPr>
        <w:pStyle w:val="gBullet2"/>
        <w:spacing w:after="80"/>
        <w:rPr>
          <w:rStyle w:val="Hyperlink"/>
          <w:color w:val="auto"/>
          <w:u w:val="none"/>
        </w:rPr>
      </w:pPr>
      <w:hyperlink r:id="rId21">
        <w:r w:rsidRPr="7AA86B27">
          <w:rPr>
            <w:rStyle w:val="Hyperlink"/>
          </w:rPr>
          <w:t>Research Ethics Policy</w:t>
        </w:r>
      </w:hyperlink>
    </w:p>
    <w:p w14:paraId="0299B6B7" w14:textId="3D6C945E" w:rsidR="0039438B" w:rsidRDefault="0039438B" w:rsidP="00F3460C">
      <w:pPr>
        <w:pStyle w:val="gBullet2"/>
        <w:spacing w:after="80"/>
      </w:pPr>
      <w:hyperlink r:id="rId22" w:history="1">
        <w:r w:rsidRPr="001325A4">
          <w:rPr>
            <w:rStyle w:val="Hyperlink"/>
          </w:rPr>
          <w:t>Open Research Statement</w:t>
        </w:r>
      </w:hyperlink>
    </w:p>
    <w:p w14:paraId="07323273" w14:textId="77777777" w:rsidR="00645558" w:rsidRDefault="00645558" w:rsidP="00F3460C">
      <w:pPr>
        <w:pStyle w:val="gBullet2"/>
        <w:spacing w:after="80"/>
      </w:pPr>
      <w:hyperlink r:id="rId23">
        <w:r w:rsidRPr="7AA86B27">
          <w:rPr>
            <w:rStyle w:val="Hyperlink"/>
          </w:rPr>
          <w:t>Open Access Policy</w:t>
        </w:r>
      </w:hyperlink>
    </w:p>
    <w:p w14:paraId="2BC614D5" w14:textId="77777777" w:rsidR="00645558" w:rsidRDefault="00645558" w:rsidP="00F3460C">
      <w:pPr>
        <w:pStyle w:val="gBullet2"/>
        <w:spacing w:after="80"/>
      </w:pPr>
      <w:hyperlink r:id="rId24">
        <w:r w:rsidRPr="7AA86B27">
          <w:rPr>
            <w:rStyle w:val="Hyperlink"/>
          </w:rPr>
          <w:t>Intellectual Property Policy</w:t>
        </w:r>
      </w:hyperlink>
    </w:p>
    <w:p w14:paraId="691A0BEA" w14:textId="77777777" w:rsidR="00645558" w:rsidRDefault="00645558" w:rsidP="00F3460C">
      <w:pPr>
        <w:pStyle w:val="gBullet2"/>
        <w:spacing w:after="80"/>
      </w:pPr>
      <w:hyperlink r:id="rId25">
        <w:r w:rsidRPr="7AA86B27">
          <w:rPr>
            <w:rStyle w:val="Hyperlink"/>
          </w:rPr>
          <w:t>IT Services Acceptable Use Policy</w:t>
        </w:r>
      </w:hyperlink>
    </w:p>
    <w:p w14:paraId="14A491E4" w14:textId="77777777" w:rsidR="00D83B13" w:rsidRPr="00AA0E30" w:rsidRDefault="00645558" w:rsidP="00F3460C">
      <w:pPr>
        <w:pStyle w:val="gBullet2"/>
        <w:spacing w:after="80"/>
        <w:rPr>
          <w:rStyle w:val="Hyperlink"/>
          <w:color w:val="auto"/>
          <w:u w:val="none"/>
        </w:rPr>
      </w:pPr>
      <w:hyperlink r:id="rId26">
        <w:r w:rsidRPr="7AA86B27">
          <w:rPr>
            <w:rStyle w:val="Hyperlink"/>
          </w:rPr>
          <w:t>Information Security Policy</w:t>
        </w:r>
      </w:hyperlink>
    </w:p>
    <w:p w14:paraId="5D17A907" w14:textId="22EE75C6" w:rsidR="0039438B" w:rsidRPr="00AA0E30" w:rsidRDefault="0039438B" w:rsidP="00F3460C">
      <w:pPr>
        <w:pStyle w:val="gBullet2"/>
        <w:spacing w:after="80"/>
        <w:rPr>
          <w:rStyle w:val="Hyperlink"/>
          <w:color w:val="auto"/>
          <w:u w:val="none"/>
        </w:rPr>
      </w:pPr>
      <w:hyperlink r:id="rId27" w:history="1">
        <w:r w:rsidRPr="005821DD">
          <w:rPr>
            <w:rStyle w:val="Hyperlink"/>
          </w:rPr>
          <w:t>Data Protection Policy</w:t>
        </w:r>
      </w:hyperlink>
    </w:p>
    <w:p w14:paraId="19671D66" w14:textId="0E0EE61E" w:rsidR="0039438B" w:rsidRPr="00AA0E30" w:rsidRDefault="0039438B" w:rsidP="00F3460C">
      <w:pPr>
        <w:pStyle w:val="gBullet2"/>
        <w:spacing w:after="80"/>
        <w:rPr>
          <w:rStyle w:val="Hyperlink"/>
          <w:color w:val="auto"/>
          <w:u w:val="none"/>
        </w:rPr>
      </w:pPr>
      <w:hyperlink r:id="rId28" w:history="1">
        <w:r w:rsidRPr="0076426F">
          <w:rPr>
            <w:rStyle w:val="Hyperlink"/>
          </w:rPr>
          <w:t>Policy on Researching and Handling Sensitive Material</w:t>
        </w:r>
      </w:hyperlink>
    </w:p>
    <w:p w14:paraId="2CB35EC8" w14:textId="4D14FA25" w:rsidR="00577857" w:rsidRDefault="007358C4" w:rsidP="00F3460C">
      <w:pPr>
        <w:pStyle w:val="gBullet2"/>
        <w:spacing w:after="80"/>
      </w:pPr>
      <w:hyperlink r:id="rId29" w:history="1">
        <w:r w:rsidR="00AA0E30" w:rsidRPr="007358C4">
          <w:rPr>
            <w:rStyle w:val="Hyperlink"/>
          </w:rPr>
          <w:t>Record</w:t>
        </w:r>
        <w:r w:rsidR="00E05288" w:rsidRPr="007358C4">
          <w:rPr>
            <w:rStyle w:val="Hyperlink"/>
          </w:rPr>
          <w:t>s Management Policy</w:t>
        </w:r>
      </w:hyperlink>
    </w:p>
    <w:p w14:paraId="19F79A71" w14:textId="0ED6B86E" w:rsidR="0039438B" w:rsidRPr="00AA0E30" w:rsidRDefault="00E65FA0" w:rsidP="00F3460C">
      <w:pPr>
        <w:pStyle w:val="gBullet2"/>
        <w:spacing w:after="80"/>
        <w:rPr>
          <w:rStyle w:val="Hyperlink"/>
          <w:color w:val="auto"/>
          <w:u w:val="none"/>
        </w:rPr>
      </w:pPr>
      <w:hyperlink r:id="rId30" w:history="1">
        <w:r w:rsidR="00577857" w:rsidRPr="00E65FA0">
          <w:rPr>
            <w:rStyle w:val="Hyperlink"/>
          </w:rPr>
          <w:t>Records</w:t>
        </w:r>
        <w:r w:rsidR="00AA0E30" w:rsidRPr="00E65FA0">
          <w:rPr>
            <w:rStyle w:val="Hyperlink"/>
          </w:rPr>
          <w:t xml:space="preserve"> Retention </w:t>
        </w:r>
        <w:r w:rsidR="00DD6948" w:rsidRPr="00E65FA0">
          <w:rPr>
            <w:rStyle w:val="Hyperlink"/>
          </w:rPr>
          <w:t>Schedule</w:t>
        </w:r>
      </w:hyperlink>
    </w:p>
    <w:p w14:paraId="32CC9FE1" w14:textId="77777777" w:rsidR="009E77A8" w:rsidRPr="009E77A8" w:rsidRDefault="009E77A8" w:rsidP="009E77A8">
      <w:pPr>
        <w:pStyle w:val="Heading1"/>
        <w:spacing w:before="0"/>
        <w:rPr>
          <w:sz w:val="22"/>
          <w:szCs w:val="22"/>
        </w:rPr>
      </w:pPr>
      <w:bookmarkStart w:id="8" w:name="_Toc49416082"/>
    </w:p>
    <w:p w14:paraId="3A2D91EB" w14:textId="2A9F0D43" w:rsidR="00C625B0" w:rsidRDefault="000D23AF" w:rsidP="009E77A8">
      <w:pPr>
        <w:pStyle w:val="Heading1"/>
        <w:spacing w:before="0" w:after="120"/>
      </w:pPr>
      <w:bookmarkStart w:id="9" w:name="_Toc180146281"/>
      <w:proofErr w:type="spellStart"/>
      <w:r w:rsidRPr="000D23AF">
        <w:t>Endmatter</w:t>
      </w:r>
      <w:bookmarkEnd w:id="8"/>
      <w:bookmarkEnd w:id="9"/>
      <w:proofErr w:type="spellEnd"/>
    </w:p>
    <w:tbl>
      <w:tblPr>
        <w:tblStyle w:val="TableGrid"/>
        <w:tblW w:w="0" w:type="auto"/>
        <w:tblLook w:val="04A0" w:firstRow="1" w:lastRow="0" w:firstColumn="1" w:lastColumn="0" w:noHBand="0" w:noVBand="1"/>
        <w:tblCaption w:val="Document Information"/>
      </w:tblPr>
      <w:tblGrid>
        <w:gridCol w:w="2753"/>
        <w:gridCol w:w="6263"/>
      </w:tblGrid>
      <w:tr w:rsidR="000D23AF" w14:paraId="75609C4F" w14:textId="77777777" w:rsidTr="00DC1AED">
        <w:trPr>
          <w:tblHeader/>
        </w:trPr>
        <w:tc>
          <w:tcPr>
            <w:tcW w:w="2753" w:type="dxa"/>
          </w:tcPr>
          <w:p w14:paraId="1DE7FAAC" w14:textId="77777777" w:rsidR="000D23AF" w:rsidRDefault="000D23AF" w:rsidP="00E7254B">
            <w:r>
              <w:t>Title</w:t>
            </w:r>
          </w:p>
        </w:tc>
        <w:tc>
          <w:tcPr>
            <w:tcW w:w="6263" w:type="dxa"/>
          </w:tcPr>
          <w:p w14:paraId="67885CE5" w14:textId="626B8510" w:rsidR="000D23AF" w:rsidRDefault="00104ED3" w:rsidP="00E7254B">
            <w:r>
              <w:t>Research Data Management Policy</w:t>
            </w:r>
            <w:r w:rsidR="006948CB">
              <w:t xml:space="preserve"> </w:t>
            </w:r>
          </w:p>
        </w:tc>
      </w:tr>
      <w:tr w:rsidR="000D23AF" w14:paraId="640D0FD8" w14:textId="77777777" w:rsidTr="00DC1AED">
        <w:tc>
          <w:tcPr>
            <w:tcW w:w="2753" w:type="dxa"/>
          </w:tcPr>
          <w:p w14:paraId="1659866D" w14:textId="77777777" w:rsidR="000D23AF" w:rsidRDefault="00683E10" w:rsidP="00E7254B">
            <w:r>
              <w:t xml:space="preserve">Policy </w:t>
            </w:r>
            <w:r w:rsidR="000D23AF">
              <w:t>Owner</w:t>
            </w:r>
          </w:p>
        </w:tc>
        <w:tc>
          <w:tcPr>
            <w:tcW w:w="6263" w:type="dxa"/>
          </w:tcPr>
          <w:p w14:paraId="0386C3AA" w14:textId="00D1E7CD" w:rsidR="000D23AF" w:rsidRDefault="00104ED3" w:rsidP="00E7254B">
            <w:r>
              <w:t>Director, Research Office</w:t>
            </w:r>
          </w:p>
        </w:tc>
      </w:tr>
      <w:tr w:rsidR="000D23AF" w14:paraId="4265C033" w14:textId="77777777" w:rsidTr="00DC1AED">
        <w:tc>
          <w:tcPr>
            <w:tcW w:w="2753" w:type="dxa"/>
          </w:tcPr>
          <w:p w14:paraId="6425CF6C" w14:textId="77777777" w:rsidR="000D23AF" w:rsidRDefault="000D23AF" w:rsidP="00E7254B">
            <w:r>
              <w:t>Approved by</w:t>
            </w:r>
          </w:p>
        </w:tc>
        <w:tc>
          <w:tcPr>
            <w:tcW w:w="6263" w:type="dxa"/>
          </w:tcPr>
          <w:p w14:paraId="1993490A" w14:textId="78079691" w:rsidR="000D23AF" w:rsidRDefault="00104ED3" w:rsidP="00E7254B">
            <w:r>
              <w:t>University Research</w:t>
            </w:r>
            <w:r w:rsidR="006948CB">
              <w:t xml:space="preserve"> &amp; Innovation</w:t>
            </w:r>
            <w:r>
              <w:t xml:space="preserve"> Committee</w:t>
            </w:r>
          </w:p>
        </w:tc>
      </w:tr>
      <w:tr w:rsidR="000D23AF" w14:paraId="0D458A0D" w14:textId="77777777" w:rsidTr="00DC1AED">
        <w:tc>
          <w:tcPr>
            <w:tcW w:w="2753" w:type="dxa"/>
          </w:tcPr>
          <w:p w14:paraId="548B4DE0" w14:textId="77777777" w:rsidR="000D23AF" w:rsidRDefault="000D23AF" w:rsidP="00683E10">
            <w:r>
              <w:t xml:space="preserve">Date of </w:t>
            </w:r>
            <w:r w:rsidR="00683E10">
              <w:t>Approval</w:t>
            </w:r>
          </w:p>
        </w:tc>
        <w:tc>
          <w:tcPr>
            <w:tcW w:w="6263" w:type="dxa"/>
          </w:tcPr>
          <w:p w14:paraId="7F37730C" w14:textId="1260D58E" w:rsidR="000D23AF" w:rsidRDefault="0062465B" w:rsidP="00E7254B">
            <w:r>
              <w:t>23/02/2022</w:t>
            </w:r>
          </w:p>
        </w:tc>
      </w:tr>
      <w:tr w:rsidR="00AA0E30" w14:paraId="39E93965" w14:textId="77777777" w:rsidTr="00DC1AED">
        <w:tc>
          <w:tcPr>
            <w:tcW w:w="2753" w:type="dxa"/>
          </w:tcPr>
          <w:p w14:paraId="0719BCF8" w14:textId="4039850A" w:rsidR="00AA0E30" w:rsidRDefault="00AA0E30" w:rsidP="00683E10">
            <w:r>
              <w:t>Revised</w:t>
            </w:r>
          </w:p>
        </w:tc>
        <w:tc>
          <w:tcPr>
            <w:tcW w:w="6263" w:type="dxa"/>
          </w:tcPr>
          <w:p w14:paraId="01732899" w14:textId="5753777B" w:rsidR="00AA0E30" w:rsidRDefault="00344494" w:rsidP="00E7254B">
            <w:r>
              <w:t>October 2024</w:t>
            </w:r>
          </w:p>
        </w:tc>
      </w:tr>
      <w:tr w:rsidR="000D23AF" w14:paraId="30A5D3AA" w14:textId="77777777" w:rsidTr="00DC1AED">
        <w:tc>
          <w:tcPr>
            <w:tcW w:w="2753" w:type="dxa"/>
          </w:tcPr>
          <w:p w14:paraId="3FCDBD69" w14:textId="6F3EBA12" w:rsidR="000D23AF" w:rsidRDefault="000D23AF" w:rsidP="00E7254B">
            <w:r>
              <w:t xml:space="preserve">Date </w:t>
            </w:r>
            <w:r w:rsidR="00AA0E30">
              <w:t>of Next</w:t>
            </w:r>
            <w:r>
              <w:t xml:space="preserve"> Review </w:t>
            </w:r>
          </w:p>
        </w:tc>
        <w:tc>
          <w:tcPr>
            <w:tcW w:w="6263" w:type="dxa"/>
          </w:tcPr>
          <w:p w14:paraId="52E830D2" w14:textId="281F07ED" w:rsidR="000D23AF" w:rsidRDefault="007242A4" w:rsidP="00E7254B">
            <w:r>
              <w:t xml:space="preserve">Summer </w:t>
            </w:r>
            <w:r w:rsidR="005D49C6">
              <w:t>202</w:t>
            </w:r>
            <w:r w:rsidR="001D2EAE">
              <w:t>7</w:t>
            </w:r>
          </w:p>
        </w:tc>
      </w:tr>
    </w:tbl>
    <w:p w14:paraId="64B5DF65" w14:textId="77777777" w:rsidR="00C625B0" w:rsidRDefault="00C625B0" w:rsidP="006A5B50"/>
    <w:sectPr w:rsidR="00C625B0" w:rsidSect="0011392D">
      <w:footerReference w:type="default" r:id="rId31"/>
      <w:footerReference w:type="first" r:id="rId32"/>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EBFA8" w14:textId="77777777" w:rsidR="00625F23" w:rsidRDefault="00625F23" w:rsidP="006A5B50">
      <w:pPr>
        <w:spacing w:after="0" w:line="240" w:lineRule="auto"/>
      </w:pPr>
      <w:r>
        <w:separator/>
      </w:r>
    </w:p>
  </w:endnote>
  <w:endnote w:type="continuationSeparator" w:id="0">
    <w:p w14:paraId="0820F3BD" w14:textId="77777777" w:rsidR="00625F23" w:rsidRDefault="00625F23" w:rsidP="006A5B50">
      <w:pPr>
        <w:spacing w:after="0" w:line="240" w:lineRule="auto"/>
      </w:pPr>
      <w:r>
        <w:continuationSeparator/>
      </w:r>
    </w:p>
  </w:endnote>
  <w:endnote w:type="continuationNotice" w:id="1">
    <w:p w14:paraId="11A76EF3" w14:textId="77777777" w:rsidR="00625F23" w:rsidRDefault="00625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592360"/>
      <w:docPartObj>
        <w:docPartGallery w:val="Page Numbers (Bottom of Page)"/>
        <w:docPartUnique/>
      </w:docPartObj>
    </w:sdtPr>
    <w:sdtEndPr>
      <w:rPr>
        <w:noProof/>
      </w:rPr>
    </w:sdtEndPr>
    <w:sdtContent>
      <w:p w14:paraId="125A5730" w14:textId="6565E89F" w:rsidR="00B341B9" w:rsidRDefault="00B341B9">
        <w:pPr>
          <w:pStyle w:val="Footer"/>
          <w:jc w:val="center"/>
        </w:pPr>
        <w:r w:rsidRPr="00B341B9">
          <w:rPr>
            <w:sz w:val="20"/>
            <w:szCs w:val="18"/>
          </w:rPr>
          <w:fldChar w:fldCharType="begin"/>
        </w:r>
        <w:r w:rsidRPr="00B341B9">
          <w:rPr>
            <w:sz w:val="20"/>
            <w:szCs w:val="18"/>
          </w:rPr>
          <w:instrText xml:space="preserve"> PAGE   \* MERGEFORMAT </w:instrText>
        </w:r>
        <w:r w:rsidRPr="00B341B9">
          <w:rPr>
            <w:sz w:val="20"/>
            <w:szCs w:val="18"/>
          </w:rPr>
          <w:fldChar w:fldCharType="separate"/>
        </w:r>
        <w:r w:rsidRPr="00B341B9">
          <w:rPr>
            <w:noProof/>
            <w:sz w:val="20"/>
            <w:szCs w:val="18"/>
          </w:rPr>
          <w:t>2</w:t>
        </w:r>
        <w:r w:rsidRPr="00B341B9">
          <w:rPr>
            <w:noProof/>
            <w:sz w:val="20"/>
            <w:szCs w:val="18"/>
          </w:rPr>
          <w:fldChar w:fldCharType="end"/>
        </w:r>
      </w:p>
    </w:sdtContent>
  </w:sdt>
  <w:p w14:paraId="5E6DAFB4" w14:textId="77777777" w:rsidR="006A5B50" w:rsidRDefault="006A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F875" w14:textId="77777777" w:rsidR="006A5B50" w:rsidRDefault="006A5B50" w:rsidP="007F06C7">
    <w:pPr>
      <w:pStyle w:val="Footer"/>
      <w:tabs>
        <w:tab w:val="clear" w:pos="4513"/>
        <w:tab w:val="clear" w:pos="9026"/>
        <w:tab w:val="left" w:pos="1155"/>
      </w:tabs>
      <w:jc w:val="right"/>
    </w:pPr>
    <w:r>
      <w:tab/>
    </w:r>
    <w:r>
      <w:rPr>
        <w:noProof/>
        <w:lang w:eastAsia="en-GB"/>
      </w:rPr>
      <w:drawing>
        <wp:inline distT="0" distB="0" distL="0" distR="0" wp14:anchorId="6BAAE451" wp14:editId="2AAB90E1">
          <wp:extent cx="1832968" cy="2382493"/>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7CC60" w14:textId="77777777" w:rsidR="00625F23" w:rsidRDefault="00625F23" w:rsidP="006A5B50">
      <w:pPr>
        <w:spacing w:after="0" w:line="240" w:lineRule="auto"/>
      </w:pPr>
      <w:r>
        <w:separator/>
      </w:r>
    </w:p>
  </w:footnote>
  <w:footnote w:type="continuationSeparator" w:id="0">
    <w:p w14:paraId="7AE5D4DC" w14:textId="77777777" w:rsidR="00625F23" w:rsidRDefault="00625F23" w:rsidP="006A5B50">
      <w:pPr>
        <w:spacing w:after="0" w:line="240" w:lineRule="auto"/>
      </w:pPr>
      <w:r>
        <w:continuationSeparator/>
      </w:r>
    </w:p>
  </w:footnote>
  <w:footnote w:type="continuationNotice" w:id="1">
    <w:p w14:paraId="226A2D62" w14:textId="77777777" w:rsidR="00625F23" w:rsidRDefault="00625F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71687"/>
    <w:multiLevelType w:val="hybridMultilevel"/>
    <w:tmpl w:val="FD507ABA"/>
    <w:lvl w:ilvl="0" w:tplc="CAAEE9B2">
      <w:start w:val="1"/>
      <w:numFmt w:val="bullet"/>
      <w:lvlText w:val=""/>
      <w:lvlJc w:val="left"/>
      <w:pPr>
        <w:ind w:left="720" w:hanging="360"/>
      </w:pPr>
      <w:rPr>
        <w:rFonts w:ascii="Symbol" w:hAnsi="Symbol"/>
      </w:rPr>
    </w:lvl>
    <w:lvl w:ilvl="1" w:tplc="07F21AA2">
      <w:start w:val="1"/>
      <w:numFmt w:val="bullet"/>
      <w:lvlText w:val=""/>
      <w:lvlJc w:val="left"/>
      <w:pPr>
        <w:ind w:left="720" w:hanging="360"/>
      </w:pPr>
      <w:rPr>
        <w:rFonts w:ascii="Symbol" w:hAnsi="Symbol"/>
      </w:rPr>
    </w:lvl>
    <w:lvl w:ilvl="2" w:tplc="13249308">
      <w:start w:val="1"/>
      <w:numFmt w:val="bullet"/>
      <w:lvlText w:val=""/>
      <w:lvlJc w:val="left"/>
      <w:pPr>
        <w:ind w:left="720" w:hanging="360"/>
      </w:pPr>
      <w:rPr>
        <w:rFonts w:ascii="Symbol" w:hAnsi="Symbol"/>
      </w:rPr>
    </w:lvl>
    <w:lvl w:ilvl="3" w:tplc="339E8932">
      <w:start w:val="1"/>
      <w:numFmt w:val="bullet"/>
      <w:lvlText w:val=""/>
      <w:lvlJc w:val="left"/>
      <w:pPr>
        <w:ind w:left="720" w:hanging="360"/>
      </w:pPr>
      <w:rPr>
        <w:rFonts w:ascii="Symbol" w:hAnsi="Symbol"/>
      </w:rPr>
    </w:lvl>
    <w:lvl w:ilvl="4" w:tplc="CE308B8C">
      <w:start w:val="1"/>
      <w:numFmt w:val="bullet"/>
      <w:lvlText w:val=""/>
      <w:lvlJc w:val="left"/>
      <w:pPr>
        <w:ind w:left="720" w:hanging="360"/>
      </w:pPr>
      <w:rPr>
        <w:rFonts w:ascii="Symbol" w:hAnsi="Symbol"/>
      </w:rPr>
    </w:lvl>
    <w:lvl w:ilvl="5" w:tplc="E2E4C044">
      <w:start w:val="1"/>
      <w:numFmt w:val="bullet"/>
      <w:lvlText w:val=""/>
      <w:lvlJc w:val="left"/>
      <w:pPr>
        <w:ind w:left="720" w:hanging="360"/>
      </w:pPr>
      <w:rPr>
        <w:rFonts w:ascii="Symbol" w:hAnsi="Symbol"/>
      </w:rPr>
    </w:lvl>
    <w:lvl w:ilvl="6" w:tplc="935243FC">
      <w:start w:val="1"/>
      <w:numFmt w:val="bullet"/>
      <w:lvlText w:val=""/>
      <w:lvlJc w:val="left"/>
      <w:pPr>
        <w:ind w:left="720" w:hanging="360"/>
      </w:pPr>
      <w:rPr>
        <w:rFonts w:ascii="Symbol" w:hAnsi="Symbol"/>
      </w:rPr>
    </w:lvl>
    <w:lvl w:ilvl="7" w:tplc="AC3860AE">
      <w:start w:val="1"/>
      <w:numFmt w:val="bullet"/>
      <w:lvlText w:val=""/>
      <w:lvlJc w:val="left"/>
      <w:pPr>
        <w:ind w:left="720" w:hanging="360"/>
      </w:pPr>
      <w:rPr>
        <w:rFonts w:ascii="Symbol" w:hAnsi="Symbol"/>
      </w:rPr>
    </w:lvl>
    <w:lvl w:ilvl="8" w:tplc="7A00AFA0">
      <w:start w:val="1"/>
      <w:numFmt w:val="bullet"/>
      <w:lvlText w:val=""/>
      <w:lvlJc w:val="left"/>
      <w:pPr>
        <w:ind w:left="720" w:hanging="360"/>
      </w:pPr>
      <w:rPr>
        <w:rFonts w:ascii="Symbol" w:hAnsi="Symbol"/>
      </w:rPr>
    </w:lvl>
  </w:abstractNum>
  <w:abstractNum w:abstractNumId="2" w15:restartNumberingAfterBreak="0">
    <w:nsid w:val="1B220F19"/>
    <w:multiLevelType w:val="hybridMultilevel"/>
    <w:tmpl w:val="DE10B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B31257"/>
    <w:multiLevelType w:val="hybridMultilevel"/>
    <w:tmpl w:val="818C6180"/>
    <w:lvl w:ilvl="0" w:tplc="E04C4728">
      <w:start w:val="1"/>
      <w:numFmt w:val="bullet"/>
      <w:lvlText w:val=""/>
      <w:lvlJc w:val="left"/>
      <w:pPr>
        <w:ind w:left="720" w:hanging="360"/>
      </w:pPr>
      <w:rPr>
        <w:rFonts w:ascii="Symbol" w:hAnsi="Symbol"/>
      </w:rPr>
    </w:lvl>
    <w:lvl w:ilvl="1" w:tplc="39CCD48A">
      <w:start w:val="1"/>
      <w:numFmt w:val="bullet"/>
      <w:lvlText w:val=""/>
      <w:lvlJc w:val="left"/>
      <w:pPr>
        <w:ind w:left="720" w:hanging="360"/>
      </w:pPr>
      <w:rPr>
        <w:rFonts w:ascii="Symbol" w:hAnsi="Symbol"/>
      </w:rPr>
    </w:lvl>
    <w:lvl w:ilvl="2" w:tplc="3DA2D722">
      <w:start w:val="1"/>
      <w:numFmt w:val="bullet"/>
      <w:lvlText w:val=""/>
      <w:lvlJc w:val="left"/>
      <w:pPr>
        <w:ind w:left="720" w:hanging="360"/>
      </w:pPr>
      <w:rPr>
        <w:rFonts w:ascii="Symbol" w:hAnsi="Symbol"/>
      </w:rPr>
    </w:lvl>
    <w:lvl w:ilvl="3" w:tplc="AEA0A2EC">
      <w:start w:val="1"/>
      <w:numFmt w:val="bullet"/>
      <w:lvlText w:val=""/>
      <w:lvlJc w:val="left"/>
      <w:pPr>
        <w:ind w:left="720" w:hanging="360"/>
      </w:pPr>
      <w:rPr>
        <w:rFonts w:ascii="Symbol" w:hAnsi="Symbol"/>
      </w:rPr>
    </w:lvl>
    <w:lvl w:ilvl="4" w:tplc="D06C72F4">
      <w:start w:val="1"/>
      <w:numFmt w:val="bullet"/>
      <w:lvlText w:val=""/>
      <w:lvlJc w:val="left"/>
      <w:pPr>
        <w:ind w:left="720" w:hanging="360"/>
      </w:pPr>
      <w:rPr>
        <w:rFonts w:ascii="Symbol" w:hAnsi="Symbol"/>
      </w:rPr>
    </w:lvl>
    <w:lvl w:ilvl="5" w:tplc="5D04C5AC">
      <w:start w:val="1"/>
      <w:numFmt w:val="bullet"/>
      <w:lvlText w:val=""/>
      <w:lvlJc w:val="left"/>
      <w:pPr>
        <w:ind w:left="720" w:hanging="360"/>
      </w:pPr>
      <w:rPr>
        <w:rFonts w:ascii="Symbol" w:hAnsi="Symbol"/>
      </w:rPr>
    </w:lvl>
    <w:lvl w:ilvl="6" w:tplc="EE0AB75C">
      <w:start w:val="1"/>
      <w:numFmt w:val="bullet"/>
      <w:lvlText w:val=""/>
      <w:lvlJc w:val="left"/>
      <w:pPr>
        <w:ind w:left="720" w:hanging="360"/>
      </w:pPr>
      <w:rPr>
        <w:rFonts w:ascii="Symbol" w:hAnsi="Symbol"/>
      </w:rPr>
    </w:lvl>
    <w:lvl w:ilvl="7" w:tplc="C41053E6">
      <w:start w:val="1"/>
      <w:numFmt w:val="bullet"/>
      <w:lvlText w:val=""/>
      <w:lvlJc w:val="left"/>
      <w:pPr>
        <w:ind w:left="720" w:hanging="360"/>
      </w:pPr>
      <w:rPr>
        <w:rFonts w:ascii="Symbol" w:hAnsi="Symbol"/>
      </w:rPr>
    </w:lvl>
    <w:lvl w:ilvl="8" w:tplc="29087DF2">
      <w:start w:val="1"/>
      <w:numFmt w:val="bullet"/>
      <w:lvlText w:val=""/>
      <w:lvlJc w:val="left"/>
      <w:pPr>
        <w:ind w:left="720" w:hanging="360"/>
      </w:pPr>
      <w:rPr>
        <w:rFonts w:ascii="Symbol" w:hAnsi="Symbol"/>
      </w:rPr>
    </w:lvl>
  </w:abstractNum>
  <w:abstractNum w:abstractNumId="4" w15:restartNumberingAfterBreak="0">
    <w:nsid w:val="30963458"/>
    <w:multiLevelType w:val="hybridMultilevel"/>
    <w:tmpl w:val="B69A9F54"/>
    <w:lvl w:ilvl="0" w:tplc="F80C7070">
      <w:start w:val="1"/>
      <w:numFmt w:val="bullet"/>
      <w:lvlText w:val=""/>
      <w:lvlJc w:val="left"/>
      <w:pPr>
        <w:ind w:left="720" w:hanging="360"/>
      </w:pPr>
      <w:rPr>
        <w:rFonts w:ascii="Symbol" w:hAnsi="Symbol"/>
      </w:rPr>
    </w:lvl>
    <w:lvl w:ilvl="1" w:tplc="F5B23F06">
      <w:start w:val="1"/>
      <w:numFmt w:val="bullet"/>
      <w:lvlText w:val=""/>
      <w:lvlJc w:val="left"/>
      <w:pPr>
        <w:ind w:left="720" w:hanging="360"/>
      </w:pPr>
      <w:rPr>
        <w:rFonts w:ascii="Symbol" w:hAnsi="Symbol"/>
      </w:rPr>
    </w:lvl>
    <w:lvl w:ilvl="2" w:tplc="332C9F70">
      <w:start w:val="1"/>
      <w:numFmt w:val="bullet"/>
      <w:lvlText w:val=""/>
      <w:lvlJc w:val="left"/>
      <w:pPr>
        <w:ind w:left="720" w:hanging="360"/>
      </w:pPr>
      <w:rPr>
        <w:rFonts w:ascii="Symbol" w:hAnsi="Symbol"/>
      </w:rPr>
    </w:lvl>
    <w:lvl w:ilvl="3" w:tplc="0540BEC8">
      <w:start w:val="1"/>
      <w:numFmt w:val="bullet"/>
      <w:lvlText w:val=""/>
      <w:lvlJc w:val="left"/>
      <w:pPr>
        <w:ind w:left="720" w:hanging="360"/>
      </w:pPr>
      <w:rPr>
        <w:rFonts w:ascii="Symbol" w:hAnsi="Symbol"/>
      </w:rPr>
    </w:lvl>
    <w:lvl w:ilvl="4" w:tplc="B462BD8E">
      <w:start w:val="1"/>
      <w:numFmt w:val="bullet"/>
      <w:lvlText w:val=""/>
      <w:lvlJc w:val="left"/>
      <w:pPr>
        <w:ind w:left="720" w:hanging="360"/>
      </w:pPr>
      <w:rPr>
        <w:rFonts w:ascii="Symbol" w:hAnsi="Symbol"/>
      </w:rPr>
    </w:lvl>
    <w:lvl w:ilvl="5" w:tplc="ABF0C58C">
      <w:start w:val="1"/>
      <w:numFmt w:val="bullet"/>
      <w:lvlText w:val=""/>
      <w:lvlJc w:val="left"/>
      <w:pPr>
        <w:ind w:left="720" w:hanging="360"/>
      </w:pPr>
      <w:rPr>
        <w:rFonts w:ascii="Symbol" w:hAnsi="Symbol"/>
      </w:rPr>
    </w:lvl>
    <w:lvl w:ilvl="6" w:tplc="43244178">
      <w:start w:val="1"/>
      <w:numFmt w:val="bullet"/>
      <w:lvlText w:val=""/>
      <w:lvlJc w:val="left"/>
      <w:pPr>
        <w:ind w:left="720" w:hanging="360"/>
      </w:pPr>
      <w:rPr>
        <w:rFonts w:ascii="Symbol" w:hAnsi="Symbol"/>
      </w:rPr>
    </w:lvl>
    <w:lvl w:ilvl="7" w:tplc="FE605E9C">
      <w:start w:val="1"/>
      <w:numFmt w:val="bullet"/>
      <w:lvlText w:val=""/>
      <w:lvlJc w:val="left"/>
      <w:pPr>
        <w:ind w:left="720" w:hanging="360"/>
      </w:pPr>
      <w:rPr>
        <w:rFonts w:ascii="Symbol" w:hAnsi="Symbol"/>
      </w:rPr>
    </w:lvl>
    <w:lvl w:ilvl="8" w:tplc="FF4CB22A">
      <w:start w:val="1"/>
      <w:numFmt w:val="bullet"/>
      <w:lvlText w:val=""/>
      <w:lvlJc w:val="left"/>
      <w:pPr>
        <w:ind w:left="720" w:hanging="360"/>
      </w:pPr>
      <w:rPr>
        <w:rFonts w:ascii="Symbol" w:hAnsi="Symbol"/>
      </w:rPr>
    </w:lvl>
  </w:abstractNum>
  <w:abstractNum w:abstractNumId="5" w15:restartNumberingAfterBreak="0">
    <w:nsid w:val="4C423E0F"/>
    <w:multiLevelType w:val="multilevel"/>
    <w:tmpl w:val="3704147C"/>
    <w:lvl w:ilvl="0">
      <w:start w:val="1"/>
      <w:numFmt w:val="decimal"/>
      <w:pStyle w:val="fBullet1"/>
      <w:lvlText w:val="%1."/>
      <w:lvlJc w:val="left"/>
      <w:pPr>
        <w:ind w:left="360" w:hanging="360"/>
      </w:pPr>
      <w:rPr>
        <w:rFonts w:hint="default"/>
        <w:sz w:val="24"/>
        <w:szCs w:val="24"/>
      </w:rPr>
    </w:lvl>
    <w:lvl w:ilvl="1">
      <w:start w:val="1"/>
      <w:numFmt w:val="lowerLetter"/>
      <w:pStyle w:val="gBullet2"/>
      <w:lvlText w:val="%2."/>
      <w:lvlJc w:val="left"/>
      <w:pPr>
        <w:ind w:left="792" w:hanging="432"/>
      </w:pPr>
      <w:rPr>
        <w:rFonts w:hint="default"/>
      </w:rPr>
    </w:lvl>
    <w:lvl w:ilvl="2">
      <w:start w:val="1"/>
      <w:numFmt w:val="bullet"/>
      <w:pStyle w:val="hBullet3"/>
      <w:lvlText w:val=""/>
      <w:lvlJc w:val="left"/>
      <w:pPr>
        <w:ind w:left="1224" w:hanging="504"/>
      </w:pPr>
      <w:rPr>
        <w:rFonts w:ascii="Symbol" w:hAnsi="Symbol" w:hint="default"/>
        <w:color w:val="auto"/>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6"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6A4032"/>
    <w:multiLevelType w:val="hybridMultilevel"/>
    <w:tmpl w:val="228A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2A0CBF"/>
    <w:multiLevelType w:val="hybridMultilevel"/>
    <w:tmpl w:val="696A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811806">
    <w:abstractNumId w:val="0"/>
  </w:num>
  <w:num w:numId="2" w16cid:durableId="731122931">
    <w:abstractNumId w:val="6"/>
  </w:num>
  <w:num w:numId="3" w16cid:durableId="961418714">
    <w:abstractNumId w:val="8"/>
  </w:num>
  <w:num w:numId="4" w16cid:durableId="512111611">
    <w:abstractNumId w:val="5"/>
  </w:num>
  <w:num w:numId="5" w16cid:durableId="1854421164">
    <w:abstractNumId w:val="9"/>
  </w:num>
  <w:num w:numId="6" w16cid:durableId="337081406">
    <w:abstractNumId w:val="2"/>
  </w:num>
  <w:num w:numId="7" w16cid:durableId="1299798801">
    <w:abstractNumId w:val="7"/>
  </w:num>
  <w:num w:numId="8" w16cid:durableId="1406535359">
    <w:abstractNumId w:val="4"/>
  </w:num>
  <w:num w:numId="9" w16cid:durableId="65610202">
    <w:abstractNumId w:val="1"/>
  </w:num>
  <w:num w:numId="10" w16cid:durableId="262105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00CD9"/>
    <w:rsid w:val="00003981"/>
    <w:rsid w:val="00015382"/>
    <w:rsid w:val="00021BEC"/>
    <w:rsid w:val="00023B25"/>
    <w:rsid w:val="00036C49"/>
    <w:rsid w:val="0004348E"/>
    <w:rsid w:val="00053360"/>
    <w:rsid w:val="0007176A"/>
    <w:rsid w:val="00080F00"/>
    <w:rsid w:val="00082E8B"/>
    <w:rsid w:val="000833E9"/>
    <w:rsid w:val="000859C8"/>
    <w:rsid w:val="00086B73"/>
    <w:rsid w:val="00090381"/>
    <w:rsid w:val="000923F9"/>
    <w:rsid w:val="0009534A"/>
    <w:rsid w:val="00097F27"/>
    <w:rsid w:val="000A6EB6"/>
    <w:rsid w:val="000B7953"/>
    <w:rsid w:val="000C3999"/>
    <w:rsid w:val="000D0FCF"/>
    <w:rsid w:val="000D23AF"/>
    <w:rsid w:val="000F3143"/>
    <w:rsid w:val="0010354E"/>
    <w:rsid w:val="001043F5"/>
    <w:rsid w:val="00104ED3"/>
    <w:rsid w:val="001066D4"/>
    <w:rsid w:val="0011392D"/>
    <w:rsid w:val="00114EE4"/>
    <w:rsid w:val="0012475F"/>
    <w:rsid w:val="00125B64"/>
    <w:rsid w:val="0012746D"/>
    <w:rsid w:val="001325A4"/>
    <w:rsid w:val="0013303B"/>
    <w:rsid w:val="001374C3"/>
    <w:rsid w:val="001562EC"/>
    <w:rsid w:val="00172B52"/>
    <w:rsid w:val="00176C4F"/>
    <w:rsid w:val="00182996"/>
    <w:rsid w:val="00182CFF"/>
    <w:rsid w:val="0019355C"/>
    <w:rsid w:val="001A3D86"/>
    <w:rsid w:val="001B56AD"/>
    <w:rsid w:val="001C5CDD"/>
    <w:rsid w:val="001C69EF"/>
    <w:rsid w:val="001C6CEA"/>
    <w:rsid w:val="001D0421"/>
    <w:rsid w:val="001D2EAE"/>
    <w:rsid w:val="001D469D"/>
    <w:rsid w:val="001D5547"/>
    <w:rsid w:val="001E042C"/>
    <w:rsid w:val="001E4D62"/>
    <w:rsid w:val="001E59D1"/>
    <w:rsid w:val="001E67DE"/>
    <w:rsid w:val="00201549"/>
    <w:rsid w:val="0021423E"/>
    <w:rsid w:val="002214E8"/>
    <w:rsid w:val="002352EF"/>
    <w:rsid w:val="0023789C"/>
    <w:rsid w:val="00240FC6"/>
    <w:rsid w:val="00241903"/>
    <w:rsid w:val="0024578B"/>
    <w:rsid w:val="00253B18"/>
    <w:rsid w:val="00256302"/>
    <w:rsid w:val="00257348"/>
    <w:rsid w:val="002717C2"/>
    <w:rsid w:val="002758FF"/>
    <w:rsid w:val="00281EDF"/>
    <w:rsid w:val="002941DC"/>
    <w:rsid w:val="00295507"/>
    <w:rsid w:val="00296EBF"/>
    <w:rsid w:val="00297E36"/>
    <w:rsid w:val="002A350D"/>
    <w:rsid w:val="002B0645"/>
    <w:rsid w:val="002C63E5"/>
    <w:rsid w:val="002D1C63"/>
    <w:rsid w:val="002E38E2"/>
    <w:rsid w:val="002E6407"/>
    <w:rsid w:val="002F4413"/>
    <w:rsid w:val="00305D7B"/>
    <w:rsid w:val="00326C6D"/>
    <w:rsid w:val="00332A2A"/>
    <w:rsid w:val="00340A57"/>
    <w:rsid w:val="00344494"/>
    <w:rsid w:val="00345D6B"/>
    <w:rsid w:val="00346FD8"/>
    <w:rsid w:val="00351BCA"/>
    <w:rsid w:val="00361817"/>
    <w:rsid w:val="003709F4"/>
    <w:rsid w:val="003712A2"/>
    <w:rsid w:val="00374936"/>
    <w:rsid w:val="0039438B"/>
    <w:rsid w:val="00397C48"/>
    <w:rsid w:val="003A0C7C"/>
    <w:rsid w:val="003B325F"/>
    <w:rsid w:val="003B37ED"/>
    <w:rsid w:val="003C16EF"/>
    <w:rsid w:val="003C2416"/>
    <w:rsid w:val="003C6703"/>
    <w:rsid w:val="003E36C4"/>
    <w:rsid w:val="003E4DFD"/>
    <w:rsid w:val="003E62A5"/>
    <w:rsid w:val="003F046C"/>
    <w:rsid w:val="003F32E2"/>
    <w:rsid w:val="003F3E20"/>
    <w:rsid w:val="003F5D7B"/>
    <w:rsid w:val="00400F91"/>
    <w:rsid w:val="004024A4"/>
    <w:rsid w:val="00402E16"/>
    <w:rsid w:val="00403CD7"/>
    <w:rsid w:val="004200BD"/>
    <w:rsid w:val="004215BA"/>
    <w:rsid w:val="00425299"/>
    <w:rsid w:val="00433157"/>
    <w:rsid w:val="004335AB"/>
    <w:rsid w:val="0043521E"/>
    <w:rsid w:val="00441C95"/>
    <w:rsid w:val="0045051D"/>
    <w:rsid w:val="00452873"/>
    <w:rsid w:val="004551F7"/>
    <w:rsid w:val="004734B5"/>
    <w:rsid w:val="004A060F"/>
    <w:rsid w:val="004A6336"/>
    <w:rsid w:val="004B1EEA"/>
    <w:rsid w:val="004B40A1"/>
    <w:rsid w:val="004B4606"/>
    <w:rsid w:val="004C1BB5"/>
    <w:rsid w:val="004C2BF2"/>
    <w:rsid w:val="004C35FE"/>
    <w:rsid w:val="004C6C6F"/>
    <w:rsid w:val="004C7B22"/>
    <w:rsid w:val="004D043F"/>
    <w:rsid w:val="004D5148"/>
    <w:rsid w:val="004E06E3"/>
    <w:rsid w:val="004F0D15"/>
    <w:rsid w:val="00502CCD"/>
    <w:rsid w:val="0051474E"/>
    <w:rsid w:val="00521BA1"/>
    <w:rsid w:val="00524289"/>
    <w:rsid w:val="00527F86"/>
    <w:rsid w:val="0053333B"/>
    <w:rsid w:val="0053504A"/>
    <w:rsid w:val="00541CD5"/>
    <w:rsid w:val="00543CE8"/>
    <w:rsid w:val="00544270"/>
    <w:rsid w:val="0054476D"/>
    <w:rsid w:val="00545012"/>
    <w:rsid w:val="005463F0"/>
    <w:rsid w:val="005500C9"/>
    <w:rsid w:val="00566807"/>
    <w:rsid w:val="00577857"/>
    <w:rsid w:val="00577FA1"/>
    <w:rsid w:val="005803EA"/>
    <w:rsid w:val="005821DD"/>
    <w:rsid w:val="00594282"/>
    <w:rsid w:val="00594362"/>
    <w:rsid w:val="00594CE2"/>
    <w:rsid w:val="00597C21"/>
    <w:rsid w:val="005B2A0E"/>
    <w:rsid w:val="005B3422"/>
    <w:rsid w:val="005B77E9"/>
    <w:rsid w:val="005B7F06"/>
    <w:rsid w:val="005C2AA1"/>
    <w:rsid w:val="005C4217"/>
    <w:rsid w:val="005D49C6"/>
    <w:rsid w:val="005D7FBB"/>
    <w:rsid w:val="005F40FA"/>
    <w:rsid w:val="00607E2E"/>
    <w:rsid w:val="0061314B"/>
    <w:rsid w:val="00620A3A"/>
    <w:rsid w:val="0062465B"/>
    <w:rsid w:val="00625F23"/>
    <w:rsid w:val="00640F2D"/>
    <w:rsid w:val="00645558"/>
    <w:rsid w:val="0065537D"/>
    <w:rsid w:val="00683E10"/>
    <w:rsid w:val="00684D4B"/>
    <w:rsid w:val="00685B07"/>
    <w:rsid w:val="006905C0"/>
    <w:rsid w:val="006948CB"/>
    <w:rsid w:val="00695115"/>
    <w:rsid w:val="0069788E"/>
    <w:rsid w:val="006A0E56"/>
    <w:rsid w:val="006A5B50"/>
    <w:rsid w:val="006B1097"/>
    <w:rsid w:val="006B12F7"/>
    <w:rsid w:val="006B6D9E"/>
    <w:rsid w:val="006C0CD0"/>
    <w:rsid w:val="006D2706"/>
    <w:rsid w:val="006D4CFA"/>
    <w:rsid w:val="006D6758"/>
    <w:rsid w:val="006E1432"/>
    <w:rsid w:val="006E242C"/>
    <w:rsid w:val="006E2837"/>
    <w:rsid w:val="006F0470"/>
    <w:rsid w:val="006F1500"/>
    <w:rsid w:val="006F1728"/>
    <w:rsid w:val="006F337B"/>
    <w:rsid w:val="007059F9"/>
    <w:rsid w:val="007124BF"/>
    <w:rsid w:val="00721315"/>
    <w:rsid w:val="00722685"/>
    <w:rsid w:val="007242A4"/>
    <w:rsid w:val="0072774A"/>
    <w:rsid w:val="00733951"/>
    <w:rsid w:val="00734704"/>
    <w:rsid w:val="00735296"/>
    <w:rsid w:val="007358C4"/>
    <w:rsid w:val="00736914"/>
    <w:rsid w:val="00740579"/>
    <w:rsid w:val="00742DD2"/>
    <w:rsid w:val="00745DC4"/>
    <w:rsid w:val="00745FE8"/>
    <w:rsid w:val="007521D3"/>
    <w:rsid w:val="0075377B"/>
    <w:rsid w:val="00756B3B"/>
    <w:rsid w:val="0076426F"/>
    <w:rsid w:val="00765C38"/>
    <w:rsid w:val="00770573"/>
    <w:rsid w:val="0077515E"/>
    <w:rsid w:val="00777E8B"/>
    <w:rsid w:val="00782807"/>
    <w:rsid w:val="007918E8"/>
    <w:rsid w:val="007B0F29"/>
    <w:rsid w:val="007C28AE"/>
    <w:rsid w:val="007C7AEF"/>
    <w:rsid w:val="007E2D2A"/>
    <w:rsid w:val="007F06C7"/>
    <w:rsid w:val="0081522A"/>
    <w:rsid w:val="00820D54"/>
    <w:rsid w:val="00822AFE"/>
    <w:rsid w:val="00831044"/>
    <w:rsid w:val="0083469B"/>
    <w:rsid w:val="00851799"/>
    <w:rsid w:val="00866E93"/>
    <w:rsid w:val="00867674"/>
    <w:rsid w:val="00867B0C"/>
    <w:rsid w:val="0087748F"/>
    <w:rsid w:val="00895F5D"/>
    <w:rsid w:val="008D1FB4"/>
    <w:rsid w:val="008D294B"/>
    <w:rsid w:val="008E1FF4"/>
    <w:rsid w:val="008E6AED"/>
    <w:rsid w:val="008F1B3B"/>
    <w:rsid w:val="008F4F27"/>
    <w:rsid w:val="008F6EE1"/>
    <w:rsid w:val="00901DE2"/>
    <w:rsid w:val="0090271D"/>
    <w:rsid w:val="0090526E"/>
    <w:rsid w:val="009141DD"/>
    <w:rsid w:val="00914B92"/>
    <w:rsid w:val="00923046"/>
    <w:rsid w:val="00926DE2"/>
    <w:rsid w:val="00941E6A"/>
    <w:rsid w:val="009427C6"/>
    <w:rsid w:val="009434C6"/>
    <w:rsid w:val="00947644"/>
    <w:rsid w:val="00950212"/>
    <w:rsid w:val="00953708"/>
    <w:rsid w:val="00957C9C"/>
    <w:rsid w:val="0096711D"/>
    <w:rsid w:val="00971F84"/>
    <w:rsid w:val="0097440D"/>
    <w:rsid w:val="00983816"/>
    <w:rsid w:val="009902A1"/>
    <w:rsid w:val="0099119C"/>
    <w:rsid w:val="009922F6"/>
    <w:rsid w:val="009A47EE"/>
    <w:rsid w:val="009C0F89"/>
    <w:rsid w:val="009C2987"/>
    <w:rsid w:val="009C5121"/>
    <w:rsid w:val="009C615B"/>
    <w:rsid w:val="009D3282"/>
    <w:rsid w:val="009D5407"/>
    <w:rsid w:val="009D6D17"/>
    <w:rsid w:val="009E0598"/>
    <w:rsid w:val="009E286E"/>
    <w:rsid w:val="009E77A8"/>
    <w:rsid w:val="00A11590"/>
    <w:rsid w:val="00A1444C"/>
    <w:rsid w:val="00A20C4C"/>
    <w:rsid w:val="00A2273B"/>
    <w:rsid w:val="00A4565C"/>
    <w:rsid w:val="00A47181"/>
    <w:rsid w:val="00A6529D"/>
    <w:rsid w:val="00A66C6E"/>
    <w:rsid w:val="00A73C4D"/>
    <w:rsid w:val="00A91352"/>
    <w:rsid w:val="00A941F4"/>
    <w:rsid w:val="00AA0E30"/>
    <w:rsid w:val="00AA7BB2"/>
    <w:rsid w:val="00AB6B90"/>
    <w:rsid w:val="00AB78B0"/>
    <w:rsid w:val="00AC08DD"/>
    <w:rsid w:val="00AD2840"/>
    <w:rsid w:val="00AE2A11"/>
    <w:rsid w:val="00AE6C39"/>
    <w:rsid w:val="00AF21C4"/>
    <w:rsid w:val="00B176B8"/>
    <w:rsid w:val="00B25F6B"/>
    <w:rsid w:val="00B30A73"/>
    <w:rsid w:val="00B341B9"/>
    <w:rsid w:val="00B354AE"/>
    <w:rsid w:val="00B44E9F"/>
    <w:rsid w:val="00B55BC6"/>
    <w:rsid w:val="00B57E7C"/>
    <w:rsid w:val="00B60875"/>
    <w:rsid w:val="00B672A7"/>
    <w:rsid w:val="00B76882"/>
    <w:rsid w:val="00B7770B"/>
    <w:rsid w:val="00B86B25"/>
    <w:rsid w:val="00B91426"/>
    <w:rsid w:val="00B92A58"/>
    <w:rsid w:val="00B97816"/>
    <w:rsid w:val="00BB7DA5"/>
    <w:rsid w:val="00BD1A66"/>
    <w:rsid w:val="00BE4968"/>
    <w:rsid w:val="00BF0ED1"/>
    <w:rsid w:val="00BF1EBE"/>
    <w:rsid w:val="00BF2742"/>
    <w:rsid w:val="00BF7AF8"/>
    <w:rsid w:val="00BF7F4E"/>
    <w:rsid w:val="00C02B9B"/>
    <w:rsid w:val="00C076CA"/>
    <w:rsid w:val="00C132C5"/>
    <w:rsid w:val="00C2190A"/>
    <w:rsid w:val="00C21A5F"/>
    <w:rsid w:val="00C2739B"/>
    <w:rsid w:val="00C31A07"/>
    <w:rsid w:val="00C33D7D"/>
    <w:rsid w:val="00C35355"/>
    <w:rsid w:val="00C3791E"/>
    <w:rsid w:val="00C40986"/>
    <w:rsid w:val="00C467D8"/>
    <w:rsid w:val="00C51822"/>
    <w:rsid w:val="00C5642C"/>
    <w:rsid w:val="00C56701"/>
    <w:rsid w:val="00C56E3B"/>
    <w:rsid w:val="00C610B3"/>
    <w:rsid w:val="00C625B0"/>
    <w:rsid w:val="00C636CE"/>
    <w:rsid w:val="00C75F0A"/>
    <w:rsid w:val="00C77A4E"/>
    <w:rsid w:val="00C93702"/>
    <w:rsid w:val="00C9508A"/>
    <w:rsid w:val="00C95792"/>
    <w:rsid w:val="00C95FEF"/>
    <w:rsid w:val="00CA38A7"/>
    <w:rsid w:val="00CA53E4"/>
    <w:rsid w:val="00CB1C22"/>
    <w:rsid w:val="00CC67F0"/>
    <w:rsid w:val="00CD0078"/>
    <w:rsid w:val="00CD0811"/>
    <w:rsid w:val="00CE3B0C"/>
    <w:rsid w:val="00CF2732"/>
    <w:rsid w:val="00CF2D77"/>
    <w:rsid w:val="00CF5819"/>
    <w:rsid w:val="00CF75EE"/>
    <w:rsid w:val="00D133F1"/>
    <w:rsid w:val="00D304AB"/>
    <w:rsid w:val="00D45E9B"/>
    <w:rsid w:val="00D46636"/>
    <w:rsid w:val="00D47514"/>
    <w:rsid w:val="00D55B00"/>
    <w:rsid w:val="00D61DD4"/>
    <w:rsid w:val="00D707EC"/>
    <w:rsid w:val="00D717E2"/>
    <w:rsid w:val="00D71C38"/>
    <w:rsid w:val="00D7411B"/>
    <w:rsid w:val="00D77325"/>
    <w:rsid w:val="00D81E40"/>
    <w:rsid w:val="00D8251B"/>
    <w:rsid w:val="00D83B13"/>
    <w:rsid w:val="00D84C7A"/>
    <w:rsid w:val="00D872A1"/>
    <w:rsid w:val="00D97705"/>
    <w:rsid w:val="00DA0B76"/>
    <w:rsid w:val="00DA2AF7"/>
    <w:rsid w:val="00DA739D"/>
    <w:rsid w:val="00DB4286"/>
    <w:rsid w:val="00DC1AED"/>
    <w:rsid w:val="00DC788B"/>
    <w:rsid w:val="00DD1163"/>
    <w:rsid w:val="00DD6948"/>
    <w:rsid w:val="00DE3B53"/>
    <w:rsid w:val="00E05288"/>
    <w:rsid w:val="00E12E67"/>
    <w:rsid w:val="00E15837"/>
    <w:rsid w:val="00E169E2"/>
    <w:rsid w:val="00E16FCE"/>
    <w:rsid w:val="00E21F75"/>
    <w:rsid w:val="00E354B2"/>
    <w:rsid w:val="00E35FB2"/>
    <w:rsid w:val="00E44979"/>
    <w:rsid w:val="00E57C9D"/>
    <w:rsid w:val="00E6005E"/>
    <w:rsid w:val="00E619F3"/>
    <w:rsid w:val="00E647AF"/>
    <w:rsid w:val="00E65FA0"/>
    <w:rsid w:val="00E7254B"/>
    <w:rsid w:val="00E7743D"/>
    <w:rsid w:val="00E81B1C"/>
    <w:rsid w:val="00E9100D"/>
    <w:rsid w:val="00E95944"/>
    <w:rsid w:val="00EB04EA"/>
    <w:rsid w:val="00EB64EF"/>
    <w:rsid w:val="00EE5444"/>
    <w:rsid w:val="00F04399"/>
    <w:rsid w:val="00F11E7B"/>
    <w:rsid w:val="00F23B18"/>
    <w:rsid w:val="00F336EF"/>
    <w:rsid w:val="00F3460C"/>
    <w:rsid w:val="00F36CF6"/>
    <w:rsid w:val="00F40030"/>
    <w:rsid w:val="00F40290"/>
    <w:rsid w:val="00F5132D"/>
    <w:rsid w:val="00F65C92"/>
    <w:rsid w:val="00F667AB"/>
    <w:rsid w:val="00F9213A"/>
    <w:rsid w:val="00F947EF"/>
    <w:rsid w:val="00FA1243"/>
    <w:rsid w:val="00FA5DBB"/>
    <w:rsid w:val="00FB5DAD"/>
    <w:rsid w:val="00FC169B"/>
    <w:rsid w:val="00FD028D"/>
    <w:rsid w:val="00FE5252"/>
    <w:rsid w:val="00FE72D2"/>
    <w:rsid w:val="00FF2EEA"/>
    <w:rsid w:val="028BFF38"/>
    <w:rsid w:val="056DEC59"/>
    <w:rsid w:val="083D64F0"/>
    <w:rsid w:val="13EA06B1"/>
    <w:rsid w:val="16F4C2BD"/>
    <w:rsid w:val="188A46F8"/>
    <w:rsid w:val="26E91207"/>
    <w:rsid w:val="411930C7"/>
    <w:rsid w:val="44AA63C9"/>
    <w:rsid w:val="457F0E2F"/>
    <w:rsid w:val="47F2AC07"/>
    <w:rsid w:val="48885FA7"/>
    <w:rsid w:val="4A243008"/>
    <w:rsid w:val="4C6FFB5D"/>
    <w:rsid w:val="4F3F2288"/>
    <w:rsid w:val="563B0A8C"/>
    <w:rsid w:val="58D8FA8B"/>
    <w:rsid w:val="606887BA"/>
    <w:rsid w:val="640CC2DB"/>
    <w:rsid w:val="64BBD0AE"/>
    <w:rsid w:val="66A5AF2C"/>
    <w:rsid w:val="777BCF20"/>
    <w:rsid w:val="7AA86B27"/>
    <w:rsid w:val="7B492382"/>
    <w:rsid w:val="7C7D9D96"/>
    <w:rsid w:val="7CFD08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BBE5"/>
  <w15:chartTrackingRefBased/>
  <w15:docId w15:val="{4BBACCFC-5157-46CE-B315-B4256755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97440D"/>
    <w:pPr>
      <w:tabs>
        <w:tab w:val="right" w:leader="dot" w:pos="9016"/>
      </w:tabs>
      <w:spacing w:before="120" w:after="24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paragraph" w:customStyle="1" w:styleId="fBullet1">
    <w:name w:val="f. Bullet 1"/>
    <w:basedOn w:val="ListParagraph"/>
    <w:qFormat/>
    <w:rsid w:val="00104ED3"/>
    <w:pPr>
      <w:numPr>
        <w:numId w:val="4"/>
      </w:numPr>
      <w:spacing w:after="120"/>
      <w:ind w:left="357" w:hanging="357"/>
      <w:contextualSpacing w:val="0"/>
    </w:pPr>
  </w:style>
  <w:style w:type="paragraph" w:customStyle="1" w:styleId="gBullet2">
    <w:name w:val="g. Bullet 2"/>
    <w:basedOn w:val="ListParagraph"/>
    <w:qFormat/>
    <w:rsid w:val="00104ED3"/>
    <w:pPr>
      <w:numPr>
        <w:ilvl w:val="1"/>
        <w:numId w:val="4"/>
      </w:numPr>
      <w:spacing w:after="120"/>
      <w:ind w:left="788" w:hanging="431"/>
      <w:contextualSpacing w:val="0"/>
    </w:pPr>
  </w:style>
  <w:style w:type="paragraph" w:customStyle="1" w:styleId="hBullet3">
    <w:name w:val="h. Bullet 3"/>
    <w:basedOn w:val="ListParagraph"/>
    <w:qFormat/>
    <w:rsid w:val="00104ED3"/>
    <w:pPr>
      <w:numPr>
        <w:ilvl w:val="2"/>
        <w:numId w:val="4"/>
      </w:numPr>
      <w:spacing w:after="120"/>
      <w:ind w:left="1225" w:hanging="505"/>
      <w:contextualSpacing w:val="0"/>
    </w:pPr>
  </w:style>
  <w:style w:type="paragraph" w:styleId="FootnoteText">
    <w:name w:val="footnote text"/>
    <w:basedOn w:val="Normal"/>
    <w:link w:val="FootnoteTextChar"/>
    <w:uiPriority w:val="99"/>
    <w:semiHidden/>
    <w:unhideWhenUsed/>
    <w:rsid w:val="00104E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ED3"/>
    <w:rPr>
      <w:rFonts w:ascii="Arial" w:hAnsi="Arial"/>
      <w:sz w:val="20"/>
      <w:szCs w:val="20"/>
    </w:rPr>
  </w:style>
  <w:style w:type="character" w:styleId="FootnoteReference">
    <w:name w:val="footnote reference"/>
    <w:basedOn w:val="DefaultParagraphFont"/>
    <w:uiPriority w:val="99"/>
    <w:semiHidden/>
    <w:unhideWhenUsed/>
    <w:rsid w:val="00104ED3"/>
    <w:rPr>
      <w:vertAlign w:val="superscript"/>
    </w:rPr>
  </w:style>
  <w:style w:type="paragraph" w:styleId="BalloonText">
    <w:name w:val="Balloon Text"/>
    <w:basedOn w:val="Normal"/>
    <w:link w:val="BalloonTextChar"/>
    <w:uiPriority w:val="99"/>
    <w:semiHidden/>
    <w:unhideWhenUsed/>
    <w:rsid w:val="00F65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C92"/>
    <w:rPr>
      <w:rFonts w:ascii="Segoe UI" w:hAnsi="Segoe UI" w:cs="Segoe UI"/>
      <w:sz w:val="18"/>
      <w:szCs w:val="18"/>
    </w:rPr>
  </w:style>
  <w:style w:type="character" w:styleId="CommentReference">
    <w:name w:val="annotation reference"/>
    <w:basedOn w:val="DefaultParagraphFont"/>
    <w:uiPriority w:val="99"/>
    <w:semiHidden/>
    <w:unhideWhenUsed/>
    <w:rsid w:val="00736914"/>
    <w:rPr>
      <w:sz w:val="16"/>
      <w:szCs w:val="16"/>
    </w:rPr>
  </w:style>
  <w:style w:type="paragraph" w:styleId="CommentText">
    <w:name w:val="annotation text"/>
    <w:basedOn w:val="Normal"/>
    <w:link w:val="CommentTextChar"/>
    <w:uiPriority w:val="99"/>
    <w:unhideWhenUsed/>
    <w:rsid w:val="00736914"/>
    <w:pPr>
      <w:spacing w:line="240" w:lineRule="auto"/>
    </w:pPr>
    <w:rPr>
      <w:sz w:val="20"/>
      <w:szCs w:val="20"/>
    </w:rPr>
  </w:style>
  <w:style w:type="character" w:customStyle="1" w:styleId="CommentTextChar">
    <w:name w:val="Comment Text Char"/>
    <w:basedOn w:val="DefaultParagraphFont"/>
    <w:link w:val="CommentText"/>
    <w:uiPriority w:val="99"/>
    <w:rsid w:val="0073691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36914"/>
    <w:rPr>
      <w:b/>
      <w:bCs/>
    </w:rPr>
  </w:style>
  <w:style w:type="character" w:customStyle="1" w:styleId="CommentSubjectChar">
    <w:name w:val="Comment Subject Char"/>
    <w:basedOn w:val="CommentTextChar"/>
    <w:link w:val="CommentSubject"/>
    <w:uiPriority w:val="99"/>
    <w:semiHidden/>
    <w:rsid w:val="00736914"/>
    <w:rPr>
      <w:rFonts w:ascii="Arial" w:hAnsi="Arial"/>
      <w:b/>
      <w:bCs/>
      <w:sz w:val="20"/>
      <w:szCs w:val="20"/>
    </w:rPr>
  </w:style>
  <w:style w:type="paragraph" w:styleId="Revision">
    <w:name w:val="Revision"/>
    <w:hidden/>
    <w:uiPriority w:val="99"/>
    <w:semiHidden/>
    <w:rsid w:val="0090271D"/>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F336EF"/>
    <w:rPr>
      <w:color w:val="605E5C"/>
      <w:shd w:val="clear" w:color="auto" w:fill="E1DFDD"/>
    </w:rPr>
  </w:style>
  <w:style w:type="character" w:customStyle="1" w:styleId="ui-provider">
    <w:name w:val="ui-provider"/>
    <w:basedOn w:val="DefaultParagraphFont"/>
    <w:rsid w:val="0099119C"/>
  </w:style>
  <w:style w:type="character" w:styleId="FollowedHyperlink">
    <w:name w:val="FollowedHyperlink"/>
    <w:basedOn w:val="DefaultParagraphFont"/>
    <w:uiPriority w:val="99"/>
    <w:semiHidden/>
    <w:unhideWhenUsed/>
    <w:rsid w:val="00DD11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973268">
      <w:bodyDiv w:val="1"/>
      <w:marLeft w:val="0"/>
      <w:marRight w:val="0"/>
      <w:marTop w:val="0"/>
      <w:marBottom w:val="0"/>
      <w:divBdr>
        <w:top w:val="none" w:sz="0" w:space="0" w:color="auto"/>
        <w:left w:val="none" w:sz="0" w:space="0" w:color="auto"/>
        <w:bottom w:val="none" w:sz="0" w:space="0" w:color="auto"/>
        <w:right w:val="none" w:sz="0" w:space="0" w:color="auto"/>
      </w:divBdr>
    </w:div>
    <w:div w:id="1714188881">
      <w:bodyDiv w:val="1"/>
      <w:marLeft w:val="0"/>
      <w:marRight w:val="0"/>
      <w:marTop w:val="0"/>
      <w:marBottom w:val="0"/>
      <w:divBdr>
        <w:top w:val="none" w:sz="0" w:space="0" w:color="auto"/>
        <w:left w:val="none" w:sz="0" w:space="0" w:color="auto"/>
        <w:bottom w:val="none" w:sz="0" w:space="0" w:color="auto"/>
        <w:right w:val="none" w:sz="0" w:space="0" w:color="auto"/>
      </w:divBdr>
    </w:div>
    <w:div w:id="182893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gehill.ac.uk/document/code-of-practice-for-research/" TargetMode="External"/><Relationship Id="rId18" Type="http://schemas.openxmlformats.org/officeDocument/2006/relationships/hyperlink" Target="https://www.edgehill.ac.uk/documents/research-ethics-policy/" TargetMode="External"/><Relationship Id="rId26" Type="http://schemas.openxmlformats.org/officeDocument/2006/relationships/hyperlink" Target="https://www.edgehill.ac.uk/documents/information-security-policy/" TargetMode="External"/><Relationship Id="rId3" Type="http://schemas.openxmlformats.org/officeDocument/2006/relationships/customXml" Target="../customXml/item3.xml"/><Relationship Id="rId21" Type="http://schemas.openxmlformats.org/officeDocument/2006/relationships/hyperlink" Target="https://www.edgehill.ac.uk/documents/research-ethics-polic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fair.org/fair-principles/" TargetMode="External"/><Relationship Id="rId17" Type="http://schemas.openxmlformats.org/officeDocument/2006/relationships/hyperlink" Target="https://www.edgehill.ac.uk/documents/information-security-policy/" TargetMode="External"/><Relationship Id="rId25" Type="http://schemas.openxmlformats.org/officeDocument/2006/relationships/hyperlink" Target="https://www.edgehill.ac.uk/documents/acceptable-use-poli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igshare.edgehill.ac.uk" TargetMode="External"/><Relationship Id="rId20" Type="http://schemas.openxmlformats.org/officeDocument/2006/relationships/hyperlink" Target="https://www.edgehill.ac.uk/document/code-of-practice-for-research/" TargetMode="External"/><Relationship Id="rId29" Type="http://schemas.openxmlformats.org/officeDocument/2006/relationships/hyperlink" Target="https://edgehill.sharepoint.com/sites/InformationGovernance/SiteAssets/SitePages/Forms,-Policies-%26-Guidance(1)/Records-Management-Policy-2022.pdf?web=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hare.edgehill.ac.uk/15836/1/EHU%20-%20Open%20Research%20statement.pdf" TargetMode="External"/><Relationship Id="rId24" Type="http://schemas.openxmlformats.org/officeDocument/2006/relationships/hyperlink" Target="https://www.edgehill.ac.uk/documents/intellectual-property-policy/"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fair.org/fair-principles/" TargetMode="External"/><Relationship Id="rId23" Type="http://schemas.openxmlformats.org/officeDocument/2006/relationships/hyperlink" Target="https://www.edgehill.ac.uk/documents/open-access-policy/" TargetMode="External"/><Relationship Id="rId28" Type="http://schemas.openxmlformats.org/officeDocument/2006/relationships/hyperlink" Target="https://www.edgehill.ac.uk/document/policy-on-researching-and-handling-sensitive-material/" TargetMode="External"/><Relationship Id="rId10" Type="http://schemas.openxmlformats.org/officeDocument/2006/relationships/endnotes" Target="endnotes.xml"/><Relationship Id="rId19" Type="http://schemas.openxmlformats.org/officeDocument/2006/relationships/hyperlink" Target="https://www.edgehill.ac.uk/collection/research/research-governan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wp-content/uploads/2020/10/UKRI-020920-ConcordatonOpenResearchData.pdf" TargetMode="External"/><Relationship Id="rId22" Type="http://schemas.openxmlformats.org/officeDocument/2006/relationships/hyperlink" Target="https://eshare.edgehill.ac.uk/15836/1/EHU%20-%20Open%20Research%20statement.pdf" TargetMode="External"/><Relationship Id="rId27" Type="http://schemas.openxmlformats.org/officeDocument/2006/relationships/hyperlink" Target="https://www.edgehill.ac.uk/document/data-protection-policy/" TargetMode="External"/><Relationship Id="rId30" Type="http://schemas.openxmlformats.org/officeDocument/2006/relationships/hyperlink" Target="https://edgehill.sharepoint.com/sites/InformationGovernance/SiteAssets/SitePages/Forms,-Policies-%26-Guidance(1)/Records-Retention-Schedule_July-2023.pdf?web=1"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2A596939060E4283D6EFBA293E5B49" ma:contentTypeVersion="12" ma:contentTypeDescription="Create a new document." ma:contentTypeScope="" ma:versionID="cd7441aa58c6a332a9864df439f41c6a">
  <xsd:schema xmlns:xsd="http://www.w3.org/2001/XMLSchema" xmlns:xs="http://www.w3.org/2001/XMLSchema" xmlns:p="http://schemas.microsoft.com/office/2006/metadata/properties" xmlns:ns3="19bcc0f9-e341-4ac3-94d4-7446755b84c7" xmlns:ns4="e09fa375-cd85-4caa-96e2-136f3a11b72b" targetNamespace="http://schemas.microsoft.com/office/2006/metadata/properties" ma:root="true" ma:fieldsID="f36bcf9d0c5ddbdd9a55176ae80b364b" ns3:_="" ns4:_="">
    <xsd:import namespace="19bcc0f9-e341-4ac3-94d4-7446755b84c7"/>
    <xsd:import namespace="e09fa375-cd85-4caa-96e2-136f3a11b7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cc0f9-e341-4ac3-94d4-7446755b84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fa375-cd85-4caa-96e2-136f3a11b72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5FB4F-E7CF-40AE-BC24-4BF0E355F1DD}">
  <ds:schemaRefs>
    <ds:schemaRef ds:uri="http://schemas.microsoft.com/sharepoint/v3/contenttype/forms"/>
  </ds:schemaRefs>
</ds:datastoreItem>
</file>

<file path=customXml/itemProps2.xml><?xml version="1.0" encoding="utf-8"?>
<ds:datastoreItem xmlns:ds="http://schemas.openxmlformats.org/officeDocument/2006/customXml" ds:itemID="{A4D06351-E5E5-430D-B049-BC2997D8E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cc0f9-e341-4ac3-94d4-7446755b84c7"/>
    <ds:schemaRef ds:uri="e09fa375-cd85-4caa-96e2-136f3a11b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8400B-96AC-48B2-9EF5-BF58F9057A10}">
  <ds:schemaRefs>
    <ds:schemaRef ds:uri="http://schemas.openxmlformats.org/officeDocument/2006/bibliography"/>
  </ds:schemaRefs>
</ds:datastoreItem>
</file>

<file path=customXml/itemProps4.xml><?xml version="1.0" encoding="utf-8"?>
<ds:datastoreItem xmlns:ds="http://schemas.openxmlformats.org/officeDocument/2006/customXml" ds:itemID="{68A45E17-0CCB-41AE-A282-FA93E9C738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RDM Policy</vt:lpstr>
    </vt:vector>
  </TitlesOfParts>
  <Company>Edge Hill University</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RDM Policy</dc:title>
  <dc:subject/>
  <dc:creator>Research Office</dc:creator>
  <cp:keywords/>
  <dc:description/>
  <cp:lastModifiedBy>Esther Byrom</cp:lastModifiedBy>
  <cp:revision>13</cp:revision>
  <cp:lastPrinted>2020-08-27T01:21:00Z</cp:lastPrinted>
  <dcterms:created xsi:type="dcterms:W3CDTF">2024-10-18T11:17:00Z</dcterms:created>
  <dcterms:modified xsi:type="dcterms:W3CDTF">2025-08-19T10:34:00Z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0x010100E92A596939060E4283D6EFBA293E5B49</vt:lpwstr>
  </property>
</Properties>
</file>