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24" w:space="0" w:color="00B050"/>
          <w:left w:val="single" w:sz="24" w:space="0" w:color="00B050"/>
          <w:bottom w:val="single" w:sz="24" w:space="0" w:color="00B050"/>
          <w:right w:val="single" w:sz="24" w:space="0" w:color="00B050"/>
          <w:insideH w:val="single" w:sz="24" w:space="0" w:color="00B050"/>
          <w:insideV w:val="single" w:sz="24" w:space="0" w:color="00B050"/>
        </w:tblBorders>
        <w:tblLook w:val="04A0" w:firstRow="1" w:lastRow="0" w:firstColumn="1" w:lastColumn="0" w:noHBand="0" w:noVBand="1"/>
      </w:tblPr>
      <w:tblGrid>
        <w:gridCol w:w="8966"/>
      </w:tblGrid>
      <w:tr w:rsidR="000D23AF" w14:paraId="2B8AAEDB" w14:textId="77777777" w:rsidTr="55978C6F">
        <w:tc>
          <w:tcPr>
            <w:tcW w:w="8966" w:type="dxa"/>
          </w:tcPr>
          <w:p w14:paraId="11F62B82" w14:textId="5E95A889" w:rsidR="000D23AF" w:rsidRPr="007F06C7" w:rsidRDefault="007B0C68" w:rsidP="2ABF8115">
            <w:pPr>
              <w:pStyle w:val="NoSpacing"/>
              <w:rPr>
                <w:rFonts w:ascii="Georgia" w:hAnsi="Georgia"/>
                <w:sz w:val="96"/>
                <w:szCs w:val="96"/>
              </w:rPr>
            </w:pPr>
            <w:r w:rsidRPr="55978C6F">
              <w:rPr>
                <w:rFonts w:ascii="Georgia" w:hAnsi="Georgia"/>
                <w:sz w:val="96"/>
                <w:szCs w:val="96"/>
              </w:rPr>
              <w:t>Reasonable Adjustments for</w:t>
            </w:r>
            <w:r w:rsidR="658E78B6" w:rsidRPr="55978C6F">
              <w:rPr>
                <w:rFonts w:ascii="Georgia" w:hAnsi="Georgia"/>
                <w:sz w:val="96"/>
                <w:szCs w:val="96"/>
              </w:rPr>
              <w:t xml:space="preserve"> </w:t>
            </w:r>
            <w:r w:rsidRPr="55978C6F">
              <w:rPr>
                <w:rFonts w:ascii="Georgia" w:hAnsi="Georgia"/>
                <w:sz w:val="96"/>
                <w:szCs w:val="96"/>
              </w:rPr>
              <w:t xml:space="preserve">End Point </w:t>
            </w:r>
            <w:r w:rsidR="6B9A9353" w:rsidRPr="55978C6F">
              <w:rPr>
                <w:rFonts w:ascii="Georgia" w:hAnsi="Georgia"/>
                <w:sz w:val="96"/>
                <w:szCs w:val="96"/>
              </w:rPr>
              <w:t>Assessment Guidance</w:t>
            </w:r>
          </w:p>
          <w:p w14:paraId="2BEFD9FE" w14:textId="77777777" w:rsidR="000D23AF" w:rsidRPr="00C625B0" w:rsidRDefault="000D23AF" w:rsidP="0002664D">
            <w:pPr>
              <w:pStyle w:val="NoSpacing"/>
              <w:rPr>
                <w:rFonts w:ascii="Georgia" w:hAnsi="Georgia"/>
              </w:rPr>
            </w:pPr>
          </w:p>
        </w:tc>
      </w:tr>
      <w:tr w:rsidR="000D23AF" w14:paraId="0B48884F" w14:textId="77777777" w:rsidTr="55978C6F">
        <w:tc>
          <w:tcPr>
            <w:tcW w:w="8966" w:type="dxa"/>
            <w:shd w:val="clear" w:color="auto" w:fill="00B050"/>
          </w:tcPr>
          <w:p w14:paraId="0262C946" w14:textId="77777777" w:rsidR="000D23AF" w:rsidRDefault="000D23AF" w:rsidP="0002664D">
            <w:pPr>
              <w:pStyle w:val="NoSpacing"/>
            </w:pPr>
          </w:p>
          <w:p w14:paraId="22D0415F" w14:textId="6F5BEDF9" w:rsidR="000D23AF" w:rsidRPr="00C625B0" w:rsidRDefault="007B0C68" w:rsidP="1A24DA76">
            <w:pPr>
              <w:pStyle w:val="NoSpacing"/>
              <w:rPr>
                <w:b/>
                <w:bCs/>
                <w:color w:val="FFFFFF" w:themeColor="background1"/>
              </w:rPr>
            </w:pPr>
            <w:r w:rsidRPr="2ABF8115">
              <w:rPr>
                <w:b/>
                <w:bCs/>
                <w:color w:val="FFFFFF" w:themeColor="background1"/>
              </w:rPr>
              <w:t>202</w:t>
            </w:r>
            <w:r w:rsidR="00C3452F">
              <w:rPr>
                <w:b/>
                <w:bCs/>
                <w:color w:val="FFFFFF" w:themeColor="background1"/>
              </w:rPr>
              <w:t>4</w:t>
            </w:r>
            <w:r w:rsidR="785EDA12" w:rsidRPr="2ABF8115">
              <w:rPr>
                <w:b/>
                <w:bCs/>
                <w:color w:val="FFFFFF" w:themeColor="background1"/>
              </w:rPr>
              <w:t>- 202</w:t>
            </w:r>
            <w:r w:rsidR="00C3452F">
              <w:rPr>
                <w:b/>
                <w:bCs/>
                <w:color w:val="FFFFFF" w:themeColor="background1"/>
              </w:rPr>
              <w:t>5</w:t>
            </w:r>
          </w:p>
          <w:p w14:paraId="2A68A32C" w14:textId="77777777" w:rsidR="000D23AF" w:rsidRDefault="000D23AF" w:rsidP="0002664D">
            <w:pPr>
              <w:pStyle w:val="NoSpacing"/>
            </w:pPr>
          </w:p>
        </w:tc>
      </w:tr>
    </w:tbl>
    <w:p w14:paraId="78A1F073" w14:textId="77777777" w:rsidR="00C625B0" w:rsidRDefault="00C625B0" w:rsidP="00722685">
      <w:pPr>
        <w:pStyle w:val="NoSpacing"/>
      </w:pPr>
    </w:p>
    <w:p w14:paraId="77925CFE" w14:textId="77777777" w:rsidR="00C625B0" w:rsidRDefault="00C625B0" w:rsidP="00722685">
      <w:pPr>
        <w:pStyle w:val="NoSpacing"/>
      </w:pPr>
    </w:p>
    <w:p w14:paraId="450667CC" w14:textId="77777777" w:rsidR="00C625B0" w:rsidRDefault="00C625B0" w:rsidP="00722685">
      <w:pPr>
        <w:pStyle w:val="NoSpacing"/>
      </w:pPr>
    </w:p>
    <w:p w14:paraId="21C8C9C3" w14:textId="77777777" w:rsidR="00C625B0" w:rsidRDefault="00C625B0" w:rsidP="00722685">
      <w:pPr>
        <w:pStyle w:val="NoSpacing"/>
      </w:pPr>
    </w:p>
    <w:p w14:paraId="2EF110B6" w14:textId="77777777" w:rsidR="00C625B0" w:rsidRDefault="00C625B0" w:rsidP="00722685">
      <w:pPr>
        <w:pStyle w:val="NoSpacing"/>
      </w:pPr>
    </w:p>
    <w:p w14:paraId="711AEBE8" w14:textId="77777777" w:rsidR="00C625B0" w:rsidRDefault="00C625B0" w:rsidP="00722685">
      <w:pPr>
        <w:pStyle w:val="NoSpacing"/>
      </w:pPr>
    </w:p>
    <w:p w14:paraId="30D922A9" w14:textId="77777777" w:rsidR="00C625B0" w:rsidRDefault="00C625B0" w:rsidP="00722685">
      <w:pPr>
        <w:pStyle w:val="NoSpacing"/>
      </w:pPr>
    </w:p>
    <w:p w14:paraId="15137F25" w14:textId="77777777" w:rsidR="00C625B0" w:rsidRDefault="00C625B0" w:rsidP="00722685">
      <w:pPr>
        <w:pStyle w:val="NoSpacing"/>
      </w:pPr>
    </w:p>
    <w:p w14:paraId="28016870" w14:textId="77777777" w:rsidR="00C625B0" w:rsidRDefault="00C625B0" w:rsidP="00722685">
      <w:pPr>
        <w:pStyle w:val="NoSpacing"/>
      </w:pPr>
    </w:p>
    <w:p w14:paraId="59105ACA" w14:textId="77777777" w:rsidR="00C625B0" w:rsidRDefault="00C625B0" w:rsidP="00722685">
      <w:pPr>
        <w:pStyle w:val="NoSpacing"/>
      </w:pPr>
    </w:p>
    <w:p w14:paraId="6377E9DF" w14:textId="77777777" w:rsidR="000D23AF" w:rsidRDefault="000D23AF" w:rsidP="00722685">
      <w:pPr>
        <w:pStyle w:val="NoSpacing"/>
      </w:pPr>
    </w:p>
    <w:p w14:paraId="0A53FED6" w14:textId="77777777" w:rsidR="00C625B0" w:rsidRDefault="00C625B0" w:rsidP="00722685">
      <w:pPr>
        <w:pStyle w:val="NoSpacing"/>
      </w:pPr>
    </w:p>
    <w:p w14:paraId="5363FDA8" w14:textId="77777777" w:rsidR="00C625B0" w:rsidRDefault="00C625B0" w:rsidP="00C625B0">
      <w:pPr>
        <w:pStyle w:val="NoSpacing"/>
        <w:jc w:val="right"/>
      </w:pPr>
    </w:p>
    <w:p w14:paraId="3E06EC6D" w14:textId="77777777" w:rsidR="006A5B50" w:rsidRDefault="006A5B50">
      <w:pPr>
        <w:rPr>
          <w:b/>
          <w:sz w:val="36"/>
        </w:rPr>
      </w:pPr>
      <w:r>
        <w:rPr>
          <w:b/>
          <w:sz w:val="36"/>
        </w:rPr>
        <w:br w:type="page"/>
      </w:r>
    </w:p>
    <w:p w14:paraId="2AA8D5A2" w14:textId="32E93BD2" w:rsidR="00C625B0" w:rsidRPr="00C625B0" w:rsidRDefault="007B0C68">
      <w:pPr>
        <w:rPr>
          <w:b/>
          <w:sz w:val="36"/>
        </w:rPr>
      </w:pPr>
      <w:r w:rsidRPr="2ABF8115">
        <w:rPr>
          <w:b/>
          <w:bCs/>
          <w:sz w:val="36"/>
          <w:szCs w:val="36"/>
        </w:rPr>
        <w:lastRenderedPageBreak/>
        <w:t>Reasonable Adjustments for End Point Assessment Guidance</w:t>
      </w:r>
      <w:r w:rsidR="00B86B25" w:rsidRPr="2ABF8115">
        <w:rPr>
          <w:b/>
          <w:bCs/>
          <w:sz w:val="36"/>
          <w:szCs w:val="36"/>
        </w:rPr>
        <w:t xml:space="preserve"> </w:t>
      </w:r>
      <w:r w:rsidR="000D23AF" w:rsidRPr="2ABF8115">
        <w:rPr>
          <w:b/>
          <w:bCs/>
          <w:sz w:val="36"/>
          <w:szCs w:val="36"/>
        </w:rPr>
        <w:t xml:space="preserve"> </w:t>
      </w:r>
      <w:r w:rsidR="00C625B0" w:rsidRPr="2ABF8115">
        <w:rPr>
          <w:b/>
          <w:bCs/>
          <w:sz w:val="36"/>
          <w:szCs w:val="36"/>
        </w:rPr>
        <w:t xml:space="preserve"> </w:t>
      </w:r>
    </w:p>
    <w:sdt>
      <w:sdtPr>
        <w:rPr>
          <w:rFonts w:ascii="Arial" w:eastAsiaTheme="minorEastAsia" w:hAnsi="Arial" w:cstheme="minorBidi"/>
          <w:color w:val="auto"/>
          <w:sz w:val="24"/>
          <w:szCs w:val="24"/>
          <w:lang w:val="en-GB"/>
        </w:rPr>
        <w:id w:val="1645570560"/>
        <w:docPartObj>
          <w:docPartGallery w:val="Table of Contents"/>
          <w:docPartUnique/>
        </w:docPartObj>
      </w:sdtPr>
      <w:sdtEndPr/>
      <w:sdtContent>
        <w:p w14:paraId="08CCB9A2" w14:textId="77777777" w:rsidR="00351BCA" w:rsidRDefault="00351BCA">
          <w:pPr>
            <w:pStyle w:val="TOCHeading"/>
          </w:pPr>
          <w:r>
            <w:t>Contents</w:t>
          </w:r>
        </w:p>
        <w:p w14:paraId="6BC2887F" w14:textId="376D3CE7" w:rsidR="005553B2" w:rsidRDefault="2ABF8115">
          <w:pPr>
            <w:pStyle w:val="TOC1"/>
            <w:tabs>
              <w:tab w:val="right" w:leader="dot" w:pos="9016"/>
            </w:tabs>
            <w:rPr>
              <w:rFonts w:asciiTheme="minorHAnsi" w:eastAsiaTheme="minorEastAsia" w:hAnsiTheme="minorHAnsi"/>
              <w:noProof/>
              <w:kern w:val="2"/>
              <w:sz w:val="22"/>
              <w:lang w:eastAsia="en-GB"/>
              <w14:ligatures w14:val="standardContextual"/>
            </w:rPr>
          </w:pPr>
          <w:r>
            <w:fldChar w:fldCharType="begin"/>
          </w:r>
          <w:r w:rsidR="00351BCA">
            <w:instrText>TOC \o "1-3" \h \z \u</w:instrText>
          </w:r>
          <w:r>
            <w:fldChar w:fldCharType="separate"/>
          </w:r>
          <w:hyperlink w:anchor="_Toc150428868" w:history="1">
            <w:r w:rsidR="005553B2" w:rsidRPr="003C2626">
              <w:rPr>
                <w:rStyle w:val="Hyperlink"/>
                <w:noProof/>
              </w:rPr>
              <w:t>Summary</w:t>
            </w:r>
            <w:r w:rsidR="005553B2">
              <w:rPr>
                <w:noProof/>
                <w:webHidden/>
              </w:rPr>
              <w:tab/>
            </w:r>
            <w:r w:rsidR="005553B2">
              <w:rPr>
                <w:noProof/>
                <w:webHidden/>
              </w:rPr>
              <w:fldChar w:fldCharType="begin"/>
            </w:r>
            <w:r w:rsidR="005553B2">
              <w:rPr>
                <w:noProof/>
                <w:webHidden/>
              </w:rPr>
              <w:instrText xml:space="preserve"> PAGEREF _Toc150428868 \h </w:instrText>
            </w:r>
            <w:r w:rsidR="005553B2">
              <w:rPr>
                <w:noProof/>
                <w:webHidden/>
              </w:rPr>
            </w:r>
            <w:r w:rsidR="005553B2">
              <w:rPr>
                <w:noProof/>
                <w:webHidden/>
              </w:rPr>
              <w:fldChar w:fldCharType="separate"/>
            </w:r>
            <w:r w:rsidR="005553B2">
              <w:rPr>
                <w:noProof/>
                <w:webHidden/>
              </w:rPr>
              <w:t>3</w:t>
            </w:r>
            <w:r w:rsidR="005553B2">
              <w:rPr>
                <w:noProof/>
                <w:webHidden/>
              </w:rPr>
              <w:fldChar w:fldCharType="end"/>
            </w:r>
          </w:hyperlink>
        </w:p>
        <w:p w14:paraId="20FB4FAC" w14:textId="106D76D7" w:rsidR="005553B2" w:rsidRDefault="005553B2">
          <w:pPr>
            <w:pStyle w:val="TOC1"/>
            <w:tabs>
              <w:tab w:val="right" w:leader="dot" w:pos="9016"/>
            </w:tabs>
            <w:rPr>
              <w:rFonts w:asciiTheme="minorHAnsi" w:eastAsiaTheme="minorEastAsia" w:hAnsiTheme="minorHAnsi"/>
              <w:noProof/>
              <w:kern w:val="2"/>
              <w:sz w:val="22"/>
              <w:lang w:eastAsia="en-GB"/>
              <w14:ligatures w14:val="standardContextual"/>
            </w:rPr>
          </w:pPr>
          <w:hyperlink w:anchor="_Toc150428869" w:history="1">
            <w:r w:rsidRPr="003C2626">
              <w:rPr>
                <w:rStyle w:val="Hyperlink"/>
                <w:noProof/>
              </w:rPr>
              <w:t>Glossary of Terms</w:t>
            </w:r>
            <w:r>
              <w:rPr>
                <w:noProof/>
                <w:webHidden/>
              </w:rPr>
              <w:tab/>
            </w:r>
            <w:r>
              <w:rPr>
                <w:noProof/>
                <w:webHidden/>
              </w:rPr>
              <w:fldChar w:fldCharType="begin"/>
            </w:r>
            <w:r>
              <w:rPr>
                <w:noProof/>
                <w:webHidden/>
              </w:rPr>
              <w:instrText xml:space="preserve"> PAGEREF _Toc150428869 \h </w:instrText>
            </w:r>
            <w:r>
              <w:rPr>
                <w:noProof/>
                <w:webHidden/>
              </w:rPr>
            </w:r>
            <w:r>
              <w:rPr>
                <w:noProof/>
                <w:webHidden/>
              </w:rPr>
              <w:fldChar w:fldCharType="separate"/>
            </w:r>
            <w:r>
              <w:rPr>
                <w:noProof/>
                <w:webHidden/>
              </w:rPr>
              <w:t>3</w:t>
            </w:r>
            <w:r>
              <w:rPr>
                <w:noProof/>
                <w:webHidden/>
              </w:rPr>
              <w:fldChar w:fldCharType="end"/>
            </w:r>
          </w:hyperlink>
        </w:p>
        <w:p w14:paraId="642C43BD" w14:textId="1B085F70" w:rsidR="005553B2" w:rsidRDefault="005553B2">
          <w:pPr>
            <w:pStyle w:val="TOC1"/>
            <w:tabs>
              <w:tab w:val="right" w:leader="dot" w:pos="9016"/>
            </w:tabs>
            <w:rPr>
              <w:rFonts w:asciiTheme="minorHAnsi" w:eastAsiaTheme="minorEastAsia" w:hAnsiTheme="minorHAnsi"/>
              <w:noProof/>
              <w:kern w:val="2"/>
              <w:sz w:val="22"/>
              <w:lang w:eastAsia="en-GB"/>
              <w14:ligatures w14:val="standardContextual"/>
            </w:rPr>
          </w:pPr>
          <w:hyperlink w:anchor="_Toc150428870" w:history="1">
            <w:r w:rsidRPr="003C2626">
              <w:rPr>
                <w:rStyle w:val="Hyperlink"/>
                <w:noProof/>
              </w:rPr>
              <w:t>Purpose</w:t>
            </w:r>
            <w:r>
              <w:rPr>
                <w:noProof/>
                <w:webHidden/>
              </w:rPr>
              <w:tab/>
            </w:r>
            <w:r>
              <w:rPr>
                <w:noProof/>
                <w:webHidden/>
              </w:rPr>
              <w:fldChar w:fldCharType="begin"/>
            </w:r>
            <w:r>
              <w:rPr>
                <w:noProof/>
                <w:webHidden/>
              </w:rPr>
              <w:instrText xml:space="preserve"> PAGEREF _Toc150428870 \h </w:instrText>
            </w:r>
            <w:r>
              <w:rPr>
                <w:noProof/>
                <w:webHidden/>
              </w:rPr>
            </w:r>
            <w:r>
              <w:rPr>
                <w:noProof/>
                <w:webHidden/>
              </w:rPr>
              <w:fldChar w:fldCharType="separate"/>
            </w:r>
            <w:r>
              <w:rPr>
                <w:noProof/>
                <w:webHidden/>
              </w:rPr>
              <w:t>3</w:t>
            </w:r>
            <w:r>
              <w:rPr>
                <w:noProof/>
                <w:webHidden/>
              </w:rPr>
              <w:fldChar w:fldCharType="end"/>
            </w:r>
          </w:hyperlink>
        </w:p>
        <w:p w14:paraId="112F83BA" w14:textId="57A5F39F" w:rsidR="005553B2" w:rsidRDefault="005553B2">
          <w:pPr>
            <w:pStyle w:val="TOC1"/>
            <w:tabs>
              <w:tab w:val="right" w:leader="dot" w:pos="9016"/>
            </w:tabs>
            <w:rPr>
              <w:rFonts w:asciiTheme="minorHAnsi" w:eastAsiaTheme="minorEastAsia" w:hAnsiTheme="minorHAnsi"/>
              <w:noProof/>
              <w:kern w:val="2"/>
              <w:sz w:val="22"/>
              <w:lang w:eastAsia="en-GB"/>
              <w14:ligatures w14:val="standardContextual"/>
            </w:rPr>
          </w:pPr>
          <w:hyperlink w:anchor="_Toc150428871" w:history="1">
            <w:r w:rsidRPr="003C2626">
              <w:rPr>
                <w:rStyle w:val="Hyperlink"/>
                <w:noProof/>
              </w:rPr>
              <w:t>Guidance</w:t>
            </w:r>
            <w:r>
              <w:rPr>
                <w:noProof/>
                <w:webHidden/>
              </w:rPr>
              <w:tab/>
            </w:r>
            <w:r>
              <w:rPr>
                <w:noProof/>
                <w:webHidden/>
              </w:rPr>
              <w:fldChar w:fldCharType="begin"/>
            </w:r>
            <w:r>
              <w:rPr>
                <w:noProof/>
                <w:webHidden/>
              </w:rPr>
              <w:instrText xml:space="preserve"> PAGEREF _Toc150428871 \h </w:instrText>
            </w:r>
            <w:r>
              <w:rPr>
                <w:noProof/>
                <w:webHidden/>
              </w:rPr>
            </w:r>
            <w:r>
              <w:rPr>
                <w:noProof/>
                <w:webHidden/>
              </w:rPr>
              <w:fldChar w:fldCharType="separate"/>
            </w:r>
            <w:r>
              <w:rPr>
                <w:noProof/>
                <w:webHidden/>
              </w:rPr>
              <w:t>3</w:t>
            </w:r>
            <w:r>
              <w:rPr>
                <w:noProof/>
                <w:webHidden/>
              </w:rPr>
              <w:fldChar w:fldCharType="end"/>
            </w:r>
          </w:hyperlink>
        </w:p>
        <w:p w14:paraId="66DD36C8" w14:textId="31B9A691" w:rsidR="005553B2" w:rsidRDefault="005553B2">
          <w:pPr>
            <w:pStyle w:val="TOC2"/>
            <w:tabs>
              <w:tab w:val="right" w:leader="dot" w:pos="9016"/>
            </w:tabs>
            <w:rPr>
              <w:rFonts w:asciiTheme="minorHAnsi" w:eastAsiaTheme="minorEastAsia" w:hAnsiTheme="minorHAnsi"/>
              <w:noProof/>
              <w:kern w:val="2"/>
              <w:sz w:val="22"/>
              <w:lang w:eastAsia="en-GB"/>
              <w14:ligatures w14:val="standardContextual"/>
            </w:rPr>
          </w:pPr>
          <w:hyperlink w:anchor="_Toc150428872" w:history="1">
            <w:r w:rsidRPr="003C2626">
              <w:rPr>
                <w:rStyle w:val="Hyperlink"/>
                <w:noProof/>
              </w:rPr>
              <w:t>1. Reasonable Adjustments</w:t>
            </w:r>
            <w:r>
              <w:rPr>
                <w:noProof/>
                <w:webHidden/>
              </w:rPr>
              <w:tab/>
            </w:r>
            <w:r>
              <w:rPr>
                <w:noProof/>
                <w:webHidden/>
              </w:rPr>
              <w:fldChar w:fldCharType="begin"/>
            </w:r>
            <w:r>
              <w:rPr>
                <w:noProof/>
                <w:webHidden/>
              </w:rPr>
              <w:instrText xml:space="preserve"> PAGEREF _Toc150428872 \h </w:instrText>
            </w:r>
            <w:r>
              <w:rPr>
                <w:noProof/>
                <w:webHidden/>
              </w:rPr>
            </w:r>
            <w:r>
              <w:rPr>
                <w:noProof/>
                <w:webHidden/>
              </w:rPr>
              <w:fldChar w:fldCharType="separate"/>
            </w:r>
            <w:r>
              <w:rPr>
                <w:noProof/>
                <w:webHidden/>
              </w:rPr>
              <w:t>3</w:t>
            </w:r>
            <w:r>
              <w:rPr>
                <w:noProof/>
                <w:webHidden/>
              </w:rPr>
              <w:fldChar w:fldCharType="end"/>
            </w:r>
          </w:hyperlink>
        </w:p>
        <w:p w14:paraId="4F8B8A0C" w14:textId="215A4B61" w:rsidR="005553B2" w:rsidRDefault="005553B2">
          <w:pPr>
            <w:pStyle w:val="TOC2"/>
            <w:tabs>
              <w:tab w:val="right" w:leader="dot" w:pos="9016"/>
            </w:tabs>
            <w:rPr>
              <w:rFonts w:asciiTheme="minorHAnsi" w:eastAsiaTheme="minorEastAsia" w:hAnsiTheme="minorHAnsi"/>
              <w:noProof/>
              <w:kern w:val="2"/>
              <w:sz w:val="22"/>
              <w:lang w:eastAsia="en-GB"/>
              <w14:ligatures w14:val="standardContextual"/>
            </w:rPr>
          </w:pPr>
          <w:hyperlink w:anchor="_Toc150428873" w:history="1">
            <w:r w:rsidRPr="003C2626">
              <w:rPr>
                <w:rStyle w:val="Hyperlink"/>
                <w:noProof/>
              </w:rPr>
              <w:t>2. Support for Reasonable Adjustments</w:t>
            </w:r>
            <w:r>
              <w:rPr>
                <w:noProof/>
                <w:webHidden/>
              </w:rPr>
              <w:tab/>
            </w:r>
            <w:r>
              <w:rPr>
                <w:noProof/>
                <w:webHidden/>
              </w:rPr>
              <w:fldChar w:fldCharType="begin"/>
            </w:r>
            <w:r>
              <w:rPr>
                <w:noProof/>
                <w:webHidden/>
              </w:rPr>
              <w:instrText xml:space="preserve"> PAGEREF _Toc150428873 \h </w:instrText>
            </w:r>
            <w:r>
              <w:rPr>
                <w:noProof/>
                <w:webHidden/>
              </w:rPr>
            </w:r>
            <w:r>
              <w:rPr>
                <w:noProof/>
                <w:webHidden/>
              </w:rPr>
              <w:fldChar w:fldCharType="separate"/>
            </w:r>
            <w:r>
              <w:rPr>
                <w:noProof/>
                <w:webHidden/>
              </w:rPr>
              <w:t>4</w:t>
            </w:r>
            <w:r>
              <w:rPr>
                <w:noProof/>
                <w:webHidden/>
              </w:rPr>
              <w:fldChar w:fldCharType="end"/>
            </w:r>
          </w:hyperlink>
        </w:p>
        <w:p w14:paraId="373BBDB6" w14:textId="11EFE1D0" w:rsidR="005553B2" w:rsidRDefault="005553B2">
          <w:pPr>
            <w:pStyle w:val="TOC2"/>
            <w:tabs>
              <w:tab w:val="right" w:leader="dot" w:pos="9016"/>
            </w:tabs>
            <w:rPr>
              <w:rFonts w:asciiTheme="minorHAnsi" w:eastAsiaTheme="minorEastAsia" w:hAnsiTheme="minorHAnsi"/>
              <w:noProof/>
              <w:kern w:val="2"/>
              <w:sz w:val="22"/>
              <w:lang w:eastAsia="en-GB"/>
              <w14:ligatures w14:val="standardContextual"/>
            </w:rPr>
          </w:pPr>
          <w:hyperlink w:anchor="_Toc150428874" w:history="1">
            <w:r w:rsidRPr="003C2626">
              <w:rPr>
                <w:rStyle w:val="Hyperlink"/>
                <w:noProof/>
              </w:rPr>
              <w:t>3. Putting Reasonable Adjustments for the EPA in place</w:t>
            </w:r>
            <w:r>
              <w:rPr>
                <w:noProof/>
                <w:webHidden/>
              </w:rPr>
              <w:tab/>
            </w:r>
            <w:r>
              <w:rPr>
                <w:noProof/>
                <w:webHidden/>
              </w:rPr>
              <w:fldChar w:fldCharType="begin"/>
            </w:r>
            <w:r>
              <w:rPr>
                <w:noProof/>
                <w:webHidden/>
              </w:rPr>
              <w:instrText xml:space="preserve"> PAGEREF _Toc150428874 \h </w:instrText>
            </w:r>
            <w:r>
              <w:rPr>
                <w:noProof/>
                <w:webHidden/>
              </w:rPr>
            </w:r>
            <w:r>
              <w:rPr>
                <w:noProof/>
                <w:webHidden/>
              </w:rPr>
              <w:fldChar w:fldCharType="separate"/>
            </w:r>
            <w:r>
              <w:rPr>
                <w:noProof/>
                <w:webHidden/>
              </w:rPr>
              <w:t>5</w:t>
            </w:r>
            <w:r>
              <w:rPr>
                <w:noProof/>
                <w:webHidden/>
              </w:rPr>
              <w:fldChar w:fldCharType="end"/>
            </w:r>
          </w:hyperlink>
        </w:p>
        <w:p w14:paraId="09E9B04F" w14:textId="6741C9F0" w:rsidR="005553B2" w:rsidRDefault="005553B2">
          <w:pPr>
            <w:pStyle w:val="TOC2"/>
            <w:tabs>
              <w:tab w:val="right" w:leader="dot" w:pos="9016"/>
            </w:tabs>
            <w:rPr>
              <w:rFonts w:asciiTheme="minorHAnsi" w:eastAsiaTheme="minorEastAsia" w:hAnsiTheme="minorHAnsi"/>
              <w:noProof/>
              <w:kern w:val="2"/>
              <w:sz w:val="22"/>
              <w:lang w:eastAsia="en-GB"/>
              <w14:ligatures w14:val="standardContextual"/>
            </w:rPr>
          </w:pPr>
          <w:hyperlink w:anchor="_Toc150428875" w:history="1">
            <w:r w:rsidRPr="003C2626">
              <w:rPr>
                <w:rStyle w:val="Hyperlink"/>
                <w:noProof/>
              </w:rPr>
              <w:t>4. Reasonable Adjustment application</w:t>
            </w:r>
            <w:r>
              <w:rPr>
                <w:noProof/>
                <w:webHidden/>
              </w:rPr>
              <w:tab/>
            </w:r>
            <w:r>
              <w:rPr>
                <w:noProof/>
                <w:webHidden/>
              </w:rPr>
              <w:fldChar w:fldCharType="begin"/>
            </w:r>
            <w:r>
              <w:rPr>
                <w:noProof/>
                <w:webHidden/>
              </w:rPr>
              <w:instrText xml:space="preserve"> PAGEREF _Toc150428875 \h </w:instrText>
            </w:r>
            <w:r>
              <w:rPr>
                <w:noProof/>
                <w:webHidden/>
              </w:rPr>
            </w:r>
            <w:r>
              <w:rPr>
                <w:noProof/>
                <w:webHidden/>
              </w:rPr>
              <w:fldChar w:fldCharType="separate"/>
            </w:r>
            <w:r>
              <w:rPr>
                <w:noProof/>
                <w:webHidden/>
              </w:rPr>
              <w:t>5</w:t>
            </w:r>
            <w:r>
              <w:rPr>
                <w:noProof/>
                <w:webHidden/>
              </w:rPr>
              <w:fldChar w:fldCharType="end"/>
            </w:r>
          </w:hyperlink>
        </w:p>
        <w:p w14:paraId="651D7B39" w14:textId="35ABCA57" w:rsidR="005553B2" w:rsidRDefault="005553B2">
          <w:pPr>
            <w:pStyle w:val="TOC1"/>
            <w:tabs>
              <w:tab w:val="right" w:leader="dot" w:pos="9016"/>
            </w:tabs>
            <w:rPr>
              <w:rFonts w:asciiTheme="minorHAnsi" w:eastAsiaTheme="minorEastAsia" w:hAnsiTheme="minorHAnsi"/>
              <w:noProof/>
              <w:kern w:val="2"/>
              <w:sz w:val="22"/>
              <w:lang w:eastAsia="en-GB"/>
              <w14:ligatures w14:val="standardContextual"/>
            </w:rPr>
          </w:pPr>
          <w:hyperlink w:anchor="_Toc150428876" w:history="1">
            <w:r w:rsidRPr="003C2626">
              <w:rPr>
                <w:rStyle w:val="Hyperlink"/>
                <w:noProof/>
              </w:rPr>
              <w:t>Key to Relevant Documents</w:t>
            </w:r>
            <w:r>
              <w:rPr>
                <w:noProof/>
                <w:webHidden/>
              </w:rPr>
              <w:tab/>
            </w:r>
            <w:r>
              <w:rPr>
                <w:noProof/>
                <w:webHidden/>
              </w:rPr>
              <w:fldChar w:fldCharType="begin"/>
            </w:r>
            <w:r>
              <w:rPr>
                <w:noProof/>
                <w:webHidden/>
              </w:rPr>
              <w:instrText xml:space="preserve"> PAGEREF _Toc150428876 \h </w:instrText>
            </w:r>
            <w:r>
              <w:rPr>
                <w:noProof/>
                <w:webHidden/>
              </w:rPr>
            </w:r>
            <w:r>
              <w:rPr>
                <w:noProof/>
                <w:webHidden/>
              </w:rPr>
              <w:fldChar w:fldCharType="separate"/>
            </w:r>
            <w:r>
              <w:rPr>
                <w:noProof/>
                <w:webHidden/>
              </w:rPr>
              <w:t>5</w:t>
            </w:r>
            <w:r>
              <w:rPr>
                <w:noProof/>
                <w:webHidden/>
              </w:rPr>
              <w:fldChar w:fldCharType="end"/>
            </w:r>
          </w:hyperlink>
        </w:p>
        <w:p w14:paraId="370D2036" w14:textId="34ED432F" w:rsidR="005553B2" w:rsidRDefault="005553B2">
          <w:pPr>
            <w:pStyle w:val="TOC1"/>
            <w:tabs>
              <w:tab w:val="right" w:leader="dot" w:pos="9016"/>
            </w:tabs>
            <w:rPr>
              <w:rFonts w:asciiTheme="minorHAnsi" w:eastAsiaTheme="minorEastAsia" w:hAnsiTheme="minorHAnsi"/>
              <w:noProof/>
              <w:kern w:val="2"/>
              <w:sz w:val="22"/>
              <w:lang w:eastAsia="en-GB"/>
              <w14:ligatures w14:val="standardContextual"/>
            </w:rPr>
          </w:pPr>
          <w:hyperlink w:anchor="_Toc150428877" w:history="1">
            <w:r w:rsidRPr="003C2626">
              <w:rPr>
                <w:rStyle w:val="Hyperlink"/>
                <w:noProof/>
              </w:rPr>
              <w:t>Annexes Appendix 1</w:t>
            </w:r>
            <w:r>
              <w:rPr>
                <w:noProof/>
                <w:webHidden/>
              </w:rPr>
              <w:tab/>
            </w:r>
            <w:r>
              <w:rPr>
                <w:noProof/>
                <w:webHidden/>
              </w:rPr>
              <w:fldChar w:fldCharType="begin"/>
            </w:r>
            <w:r>
              <w:rPr>
                <w:noProof/>
                <w:webHidden/>
              </w:rPr>
              <w:instrText xml:space="preserve"> PAGEREF _Toc150428877 \h </w:instrText>
            </w:r>
            <w:r>
              <w:rPr>
                <w:noProof/>
                <w:webHidden/>
              </w:rPr>
            </w:r>
            <w:r>
              <w:rPr>
                <w:noProof/>
                <w:webHidden/>
              </w:rPr>
              <w:fldChar w:fldCharType="separate"/>
            </w:r>
            <w:r>
              <w:rPr>
                <w:noProof/>
                <w:webHidden/>
              </w:rPr>
              <w:t>6</w:t>
            </w:r>
            <w:r>
              <w:rPr>
                <w:noProof/>
                <w:webHidden/>
              </w:rPr>
              <w:fldChar w:fldCharType="end"/>
            </w:r>
          </w:hyperlink>
        </w:p>
        <w:p w14:paraId="0D997DAE" w14:textId="7AB39186" w:rsidR="005553B2" w:rsidRDefault="005553B2">
          <w:pPr>
            <w:pStyle w:val="TOC1"/>
            <w:tabs>
              <w:tab w:val="right" w:leader="dot" w:pos="9016"/>
            </w:tabs>
            <w:rPr>
              <w:rFonts w:asciiTheme="minorHAnsi" w:eastAsiaTheme="minorEastAsia" w:hAnsiTheme="minorHAnsi"/>
              <w:noProof/>
              <w:kern w:val="2"/>
              <w:sz w:val="22"/>
              <w:lang w:eastAsia="en-GB"/>
              <w14:ligatures w14:val="standardContextual"/>
            </w:rPr>
          </w:pPr>
          <w:hyperlink w:anchor="_Toc150428878" w:history="1">
            <w:r w:rsidRPr="003C2626">
              <w:rPr>
                <w:rStyle w:val="Hyperlink"/>
                <w:noProof/>
              </w:rPr>
              <w:t>Endmatter</w:t>
            </w:r>
            <w:r>
              <w:rPr>
                <w:noProof/>
                <w:webHidden/>
              </w:rPr>
              <w:tab/>
            </w:r>
            <w:r>
              <w:rPr>
                <w:noProof/>
                <w:webHidden/>
              </w:rPr>
              <w:fldChar w:fldCharType="begin"/>
            </w:r>
            <w:r>
              <w:rPr>
                <w:noProof/>
                <w:webHidden/>
              </w:rPr>
              <w:instrText xml:space="preserve"> PAGEREF _Toc150428878 \h </w:instrText>
            </w:r>
            <w:r>
              <w:rPr>
                <w:noProof/>
                <w:webHidden/>
              </w:rPr>
            </w:r>
            <w:r>
              <w:rPr>
                <w:noProof/>
                <w:webHidden/>
              </w:rPr>
              <w:fldChar w:fldCharType="separate"/>
            </w:r>
            <w:r>
              <w:rPr>
                <w:noProof/>
                <w:webHidden/>
              </w:rPr>
              <w:t>10</w:t>
            </w:r>
            <w:r>
              <w:rPr>
                <w:noProof/>
                <w:webHidden/>
              </w:rPr>
              <w:fldChar w:fldCharType="end"/>
            </w:r>
          </w:hyperlink>
        </w:p>
        <w:p w14:paraId="004D1C17" w14:textId="54772951" w:rsidR="2ABF8115" w:rsidRDefault="2ABF8115" w:rsidP="2ABF8115">
          <w:pPr>
            <w:pStyle w:val="TOC1"/>
            <w:tabs>
              <w:tab w:val="right" w:leader="dot" w:pos="9015"/>
            </w:tabs>
            <w:rPr>
              <w:rStyle w:val="Hyperlink"/>
            </w:rPr>
          </w:pPr>
          <w:r>
            <w:fldChar w:fldCharType="end"/>
          </w:r>
        </w:p>
      </w:sdtContent>
    </w:sdt>
    <w:p w14:paraId="042D71C7" w14:textId="77777777" w:rsidR="00351BCA" w:rsidRDefault="00351BCA"/>
    <w:p w14:paraId="5E7283DB" w14:textId="77777777" w:rsidR="00C625B0" w:rsidRDefault="00C625B0">
      <w:r>
        <w:br w:type="page"/>
      </w:r>
    </w:p>
    <w:p w14:paraId="6A395AF9" w14:textId="77777777" w:rsidR="000D23AF" w:rsidRPr="00D84C7A" w:rsidRDefault="000D23AF" w:rsidP="00D84C7A">
      <w:pPr>
        <w:pStyle w:val="Heading1"/>
      </w:pPr>
      <w:bookmarkStart w:id="0" w:name="_Toc150428868"/>
      <w:r>
        <w:lastRenderedPageBreak/>
        <w:t>Summary</w:t>
      </w:r>
      <w:bookmarkEnd w:id="0"/>
      <w:r>
        <w:t xml:space="preserve"> </w:t>
      </w:r>
    </w:p>
    <w:p w14:paraId="0873B760" w14:textId="77777777" w:rsidR="00CE445B" w:rsidRDefault="74AD423C" w:rsidP="2ABF8115">
      <w:r>
        <w:t>This guidance is to support the EPAO to make reasonable adjustm</w:t>
      </w:r>
      <w:r w:rsidR="1AC03222">
        <w:t>en</w:t>
      </w:r>
      <w:r>
        <w:t xml:space="preserve">ts within the end point assessment process for apprentices </w:t>
      </w:r>
      <w:r w:rsidR="4331E84B">
        <w:t>with additional support needs.</w:t>
      </w:r>
      <w:r w:rsidR="74304078">
        <w:t xml:space="preserve">  This guidance should be considered in line with</w:t>
      </w:r>
      <w:r w:rsidR="00CE445B">
        <w:t>:</w:t>
      </w:r>
    </w:p>
    <w:p w14:paraId="283AD04D" w14:textId="77777777" w:rsidR="00DE4558" w:rsidRPr="00DE4558" w:rsidRDefault="00CE445B" w:rsidP="005553B2">
      <w:pPr>
        <w:pStyle w:val="ListParagraph"/>
        <w:rPr>
          <w:rFonts w:eastAsia="Arial" w:cs="Arial"/>
          <w:szCs w:val="24"/>
        </w:rPr>
      </w:pPr>
      <w:hyperlink r:id="rId11" w:history="1">
        <w:r w:rsidRPr="00CE445B">
          <w:rPr>
            <w:rStyle w:val="Hyperlink"/>
          </w:rPr>
          <w:t>T</w:t>
        </w:r>
        <w:r w:rsidR="00CD0847" w:rsidRPr="00CE445B">
          <w:rPr>
            <w:rStyle w:val="Hyperlink"/>
          </w:rPr>
          <w:t>he Institute for Apprenticeships and Technical Education (</w:t>
        </w:r>
        <w:r w:rsidR="74304078" w:rsidRPr="00CE445B">
          <w:rPr>
            <w:rStyle w:val="Hyperlink"/>
          </w:rPr>
          <w:t>I</w:t>
        </w:r>
        <w:r w:rsidR="7A96D6DC" w:rsidRPr="00CE445B">
          <w:rPr>
            <w:rStyle w:val="Hyperlink"/>
          </w:rPr>
          <w:t>FATE</w:t>
        </w:r>
        <w:r w:rsidR="00CD0847" w:rsidRPr="00CE445B">
          <w:rPr>
            <w:rStyle w:val="Hyperlink"/>
          </w:rPr>
          <w:t>)</w:t>
        </w:r>
        <w:r w:rsidR="7A96D6DC" w:rsidRPr="00CE445B">
          <w:rPr>
            <w:rStyle w:val="Hyperlink"/>
          </w:rPr>
          <w:t xml:space="preserve"> End Point Assessment Reasonable Adjustment Guidance</w:t>
        </w:r>
      </w:hyperlink>
    </w:p>
    <w:p w14:paraId="3FF0C3D9" w14:textId="427614E4" w:rsidR="00DE4558" w:rsidRPr="00DE4558" w:rsidRDefault="00DE4558" w:rsidP="005553B2">
      <w:pPr>
        <w:pStyle w:val="ListParagraph"/>
        <w:rPr>
          <w:rFonts w:eastAsia="Arial" w:cs="Arial"/>
          <w:szCs w:val="24"/>
        </w:rPr>
      </w:pPr>
      <w:hyperlink r:id="rId12" w:history="1">
        <w:r w:rsidRPr="00DE4558">
          <w:rPr>
            <w:rStyle w:val="Hyperlink"/>
            <w:rFonts w:eastAsia="Arial" w:cs="Arial"/>
            <w:szCs w:val="24"/>
          </w:rPr>
          <w:t>Edge Hill University’s Regulations Appendix 6: Guidelines on Reasonable Adjustments and the Assessment of Disabled Students 2023-2024</w:t>
        </w:r>
      </w:hyperlink>
    </w:p>
    <w:p w14:paraId="49F36153" w14:textId="13A50ABE" w:rsidR="2ABF8115" w:rsidRDefault="00D84C7A" w:rsidP="004A6E27">
      <w:pPr>
        <w:pStyle w:val="Heading1"/>
      </w:pPr>
      <w:bookmarkStart w:id="1" w:name="_Toc150428869"/>
      <w:r>
        <w:t>Glossary of Terms</w:t>
      </w:r>
      <w:bookmarkEnd w:id="1"/>
      <w:r>
        <w:t xml:space="preserve"> </w:t>
      </w:r>
    </w:p>
    <w:tbl>
      <w:tblPr>
        <w:tblStyle w:val="TableGrid"/>
        <w:tblW w:w="0" w:type="auto"/>
        <w:tblLayout w:type="fixed"/>
        <w:tblLook w:val="06A0" w:firstRow="1" w:lastRow="0" w:firstColumn="1" w:lastColumn="0" w:noHBand="1" w:noVBand="1"/>
      </w:tblPr>
      <w:tblGrid>
        <w:gridCol w:w="3005"/>
        <w:gridCol w:w="3005"/>
        <w:gridCol w:w="3005"/>
      </w:tblGrid>
      <w:tr w:rsidR="2ABF8115" w14:paraId="7E5B14E6" w14:textId="77777777" w:rsidTr="00D62CAC">
        <w:trPr>
          <w:tblHeader/>
        </w:trPr>
        <w:tc>
          <w:tcPr>
            <w:tcW w:w="3005" w:type="dxa"/>
          </w:tcPr>
          <w:p w14:paraId="4F5F1671" w14:textId="5B771CE6" w:rsidR="6F74AFE7" w:rsidRDefault="6F74AFE7" w:rsidP="2ABF8115">
            <w:pPr>
              <w:rPr>
                <w:b/>
                <w:bCs/>
              </w:rPr>
            </w:pPr>
            <w:r w:rsidRPr="2ABF8115">
              <w:rPr>
                <w:b/>
                <w:bCs/>
              </w:rPr>
              <w:t>EPAO</w:t>
            </w:r>
          </w:p>
        </w:tc>
        <w:tc>
          <w:tcPr>
            <w:tcW w:w="3005" w:type="dxa"/>
          </w:tcPr>
          <w:p w14:paraId="48398EC9" w14:textId="7A7A76C6" w:rsidR="6F74AFE7" w:rsidRDefault="6F74AFE7" w:rsidP="2ABF8115">
            <w:r>
              <w:t>End Point Assessment Organisation</w:t>
            </w:r>
          </w:p>
        </w:tc>
        <w:tc>
          <w:tcPr>
            <w:tcW w:w="3005" w:type="dxa"/>
          </w:tcPr>
          <w:p w14:paraId="51098012" w14:textId="1699FF08" w:rsidR="6F74AFE7" w:rsidRDefault="6F74AFE7" w:rsidP="2ABF8115">
            <w:r>
              <w:t>Responsible for EPA at EHU</w:t>
            </w:r>
          </w:p>
        </w:tc>
      </w:tr>
      <w:tr w:rsidR="2ABF8115" w14:paraId="5ED20039" w14:textId="77777777" w:rsidTr="2ABF8115">
        <w:tc>
          <w:tcPr>
            <w:tcW w:w="3005" w:type="dxa"/>
          </w:tcPr>
          <w:p w14:paraId="417DCB61" w14:textId="101C7BD6" w:rsidR="6F74AFE7" w:rsidRDefault="6F74AFE7" w:rsidP="2ABF8115">
            <w:pPr>
              <w:rPr>
                <w:b/>
                <w:bCs/>
              </w:rPr>
            </w:pPr>
            <w:r w:rsidRPr="2ABF8115">
              <w:rPr>
                <w:b/>
                <w:bCs/>
              </w:rPr>
              <w:t>EPA</w:t>
            </w:r>
          </w:p>
        </w:tc>
        <w:tc>
          <w:tcPr>
            <w:tcW w:w="3005" w:type="dxa"/>
          </w:tcPr>
          <w:p w14:paraId="7CEF4CD9" w14:textId="5671596F" w:rsidR="6F74AFE7" w:rsidRDefault="6F74AFE7" w:rsidP="2ABF8115">
            <w:r>
              <w:t>End Point Assessment</w:t>
            </w:r>
          </w:p>
        </w:tc>
        <w:tc>
          <w:tcPr>
            <w:tcW w:w="3005" w:type="dxa"/>
          </w:tcPr>
          <w:p w14:paraId="1305045E" w14:textId="27B603E9" w:rsidR="6F74AFE7" w:rsidRDefault="6F74AFE7" w:rsidP="2ABF8115">
            <w:r>
              <w:t>Final assessment of occupational competence for apprenticeships</w:t>
            </w:r>
          </w:p>
        </w:tc>
      </w:tr>
      <w:tr w:rsidR="2ABF8115" w14:paraId="6AFFD495" w14:textId="77777777" w:rsidTr="2ABF8115">
        <w:tc>
          <w:tcPr>
            <w:tcW w:w="3005" w:type="dxa"/>
          </w:tcPr>
          <w:p w14:paraId="758E7034" w14:textId="744E9091" w:rsidR="6F74AFE7" w:rsidRDefault="6F74AFE7" w:rsidP="2ABF8115">
            <w:pPr>
              <w:rPr>
                <w:b/>
                <w:bCs/>
              </w:rPr>
            </w:pPr>
            <w:r w:rsidRPr="2ABF8115">
              <w:rPr>
                <w:b/>
                <w:bCs/>
              </w:rPr>
              <w:t>Inclusion Plan</w:t>
            </w:r>
          </w:p>
        </w:tc>
        <w:tc>
          <w:tcPr>
            <w:tcW w:w="3005" w:type="dxa"/>
            <w:shd w:val="clear" w:color="auto" w:fill="D9D9D9" w:themeFill="background1" w:themeFillShade="D9"/>
          </w:tcPr>
          <w:p w14:paraId="6071970E" w14:textId="78315F34" w:rsidR="2ABF8115" w:rsidRDefault="2ABF8115" w:rsidP="2ABF8115"/>
        </w:tc>
        <w:tc>
          <w:tcPr>
            <w:tcW w:w="3005" w:type="dxa"/>
          </w:tcPr>
          <w:p w14:paraId="6E5317F7" w14:textId="2BB9ACD9" w:rsidR="1561C3E7" w:rsidRDefault="1561C3E7" w:rsidP="2ABF8115">
            <w:r>
              <w:t>Plan for students with inclusion needs</w:t>
            </w:r>
          </w:p>
        </w:tc>
      </w:tr>
      <w:tr w:rsidR="2ABF8115" w14:paraId="20B6E129" w14:textId="77777777" w:rsidTr="2ABF8115">
        <w:tc>
          <w:tcPr>
            <w:tcW w:w="3005" w:type="dxa"/>
          </w:tcPr>
          <w:p w14:paraId="0CA9B305" w14:textId="38E9128B" w:rsidR="6F74AFE7" w:rsidRDefault="6F74AFE7" w:rsidP="2ABF8115">
            <w:pPr>
              <w:rPr>
                <w:b/>
                <w:bCs/>
              </w:rPr>
            </w:pPr>
            <w:r w:rsidRPr="2ABF8115">
              <w:rPr>
                <w:b/>
                <w:bCs/>
              </w:rPr>
              <w:t>Inclusion Team</w:t>
            </w:r>
          </w:p>
        </w:tc>
        <w:tc>
          <w:tcPr>
            <w:tcW w:w="3005" w:type="dxa"/>
            <w:shd w:val="clear" w:color="auto" w:fill="D9D9D9" w:themeFill="background1" w:themeFillShade="D9"/>
          </w:tcPr>
          <w:p w14:paraId="7F2B6E3B" w14:textId="78315F34" w:rsidR="2ABF8115" w:rsidRDefault="2ABF8115" w:rsidP="2ABF8115"/>
        </w:tc>
        <w:tc>
          <w:tcPr>
            <w:tcW w:w="3005" w:type="dxa"/>
          </w:tcPr>
          <w:p w14:paraId="40E81E67" w14:textId="57DA0BEA" w:rsidR="307F85C6" w:rsidRDefault="307F85C6" w:rsidP="2ABF8115">
            <w:r>
              <w:t>Support staff and students with disability and inclusion</w:t>
            </w:r>
          </w:p>
        </w:tc>
      </w:tr>
      <w:tr w:rsidR="2ABF8115" w14:paraId="779FF77B" w14:textId="77777777" w:rsidTr="2ABF8115">
        <w:tc>
          <w:tcPr>
            <w:tcW w:w="3005" w:type="dxa"/>
          </w:tcPr>
          <w:p w14:paraId="0803A670" w14:textId="2EE4D523" w:rsidR="6F74AFE7" w:rsidRDefault="6F74AFE7" w:rsidP="2ABF8115">
            <w:pPr>
              <w:rPr>
                <w:b/>
                <w:bCs/>
              </w:rPr>
            </w:pPr>
            <w:r w:rsidRPr="2ABF8115">
              <w:rPr>
                <w:b/>
                <w:bCs/>
              </w:rPr>
              <w:t>IFATE</w:t>
            </w:r>
          </w:p>
        </w:tc>
        <w:tc>
          <w:tcPr>
            <w:tcW w:w="3005" w:type="dxa"/>
          </w:tcPr>
          <w:p w14:paraId="60D98450" w14:textId="2FCCCD19" w:rsidR="6C1B9CA0" w:rsidRDefault="6C1B9CA0" w:rsidP="2ABF8115">
            <w:r>
              <w:t>Institute</w:t>
            </w:r>
            <w:r w:rsidR="686B3BD9">
              <w:t xml:space="preserve"> for Apprenticeships and Technical Education</w:t>
            </w:r>
          </w:p>
        </w:tc>
        <w:tc>
          <w:tcPr>
            <w:tcW w:w="3005" w:type="dxa"/>
          </w:tcPr>
          <w:p w14:paraId="256EA59C" w14:textId="3922CE5B" w:rsidR="686B3BD9" w:rsidRDefault="686B3BD9" w:rsidP="2ABF8115">
            <w:r>
              <w:t>Develop the apprenticeship standards and assessment plans for EPS</w:t>
            </w:r>
          </w:p>
        </w:tc>
      </w:tr>
      <w:tr w:rsidR="2ABF8115" w14:paraId="000E3DAF" w14:textId="77777777" w:rsidTr="2ABF8115">
        <w:tc>
          <w:tcPr>
            <w:tcW w:w="3005" w:type="dxa"/>
          </w:tcPr>
          <w:p w14:paraId="55A3FA20" w14:textId="003C4119" w:rsidR="6F74AFE7" w:rsidRDefault="6F74AFE7" w:rsidP="2ABF8115">
            <w:pPr>
              <w:rPr>
                <w:b/>
                <w:bCs/>
              </w:rPr>
            </w:pPr>
            <w:r w:rsidRPr="2ABF8115">
              <w:rPr>
                <w:b/>
                <w:bCs/>
              </w:rPr>
              <w:t>SpLD</w:t>
            </w:r>
          </w:p>
        </w:tc>
        <w:tc>
          <w:tcPr>
            <w:tcW w:w="3005" w:type="dxa"/>
          </w:tcPr>
          <w:p w14:paraId="51D44042" w14:textId="283DB2C7" w:rsidR="30B11F2E" w:rsidRDefault="30B11F2E" w:rsidP="2ABF8115">
            <w:r>
              <w:t>Specific Learning Difficulty</w:t>
            </w:r>
          </w:p>
        </w:tc>
        <w:tc>
          <w:tcPr>
            <w:tcW w:w="3005" w:type="dxa"/>
            <w:shd w:val="clear" w:color="auto" w:fill="BFBFBF" w:themeFill="background1" w:themeFillShade="BF"/>
          </w:tcPr>
          <w:p w14:paraId="49771D9A" w14:textId="78315F34" w:rsidR="2ABF8115" w:rsidRDefault="2ABF8115" w:rsidP="2ABF8115"/>
        </w:tc>
      </w:tr>
    </w:tbl>
    <w:p w14:paraId="709E7F00" w14:textId="77777777" w:rsidR="00B86B25" w:rsidRPr="00D84C7A" w:rsidRDefault="00B86B25" w:rsidP="00DE4558">
      <w:pPr>
        <w:pStyle w:val="Heading1"/>
      </w:pPr>
      <w:bookmarkStart w:id="2" w:name="_Toc150428870"/>
      <w:r w:rsidRPr="00DE4558">
        <w:t>Purpose</w:t>
      </w:r>
      <w:bookmarkEnd w:id="2"/>
      <w:r>
        <w:t xml:space="preserve"> </w:t>
      </w:r>
    </w:p>
    <w:p w14:paraId="0B7B0EC0" w14:textId="117C6D2B" w:rsidR="00B86B25" w:rsidRDefault="009087D4">
      <w:r>
        <w:t>The purpose of this document is to ensure reasonable, timely and consistent application of modifications to examinatio</w:t>
      </w:r>
      <w:r w:rsidR="5A00962A">
        <w:t>ns for disabled students in accordance with both the University A</w:t>
      </w:r>
      <w:r w:rsidR="51E4FE0F">
        <w:t xml:space="preserve">cademic </w:t>
      </w:r>
      <w:r w:rsidR="29A43468">
        <w:t>Regulations</w:t>
      </w:r>
      <w:r w:rsidR="51E4FE0F">
        <w:t xml:space="preserve"> and requirements of IFATE for the assessment standard.</w:t>
      </w:r>
    </w:p>
    <w:p w14:paraId="1E2544BB" w14:textId="0DBB5912" w:rsidR="00D84C7A" w:rsidRDefault="00946FA4" w:rsidP="00DE4558">
      <w:pPr>
        <w:pStyle w:val="Heading1"/>
      </w:pPr>
      <w:bookmarkStart w:id="3" w:name="_Toc150428871"/>
      <w:r>
        <w:t>Guidance</w:t>
      </w:r>
      <w:bookmarkEnd w:id="3"/>
      <w:r w:rsidR="00B86B25">
        <w:t xml:space="preserve"> </w:t>
      </w:r>
    </w:p>
    <w:p w14:paraId="7FE35492" w14:textId="33EFC15F" w:rsidR="00D84C7A" w:rsidRDefault="1FF376D8" w:rsidP="2ABF8115">
      <w:r>
        <w:t xml:space="preserve">Students with a disability can request reasonable adjustments to assessments in line with processes and procedures outlined in the Edge Hill University Academic Regulations. </w:t>
      </w:r>
    </w:p>
    <w:p w14:paraId="6098ECE5" w14:textId="0D840493" w:rsidR="00D84C7A" w:rsidRDefault="00D84C7A" w:rsidP="2ABF8115">
      <w:pPr>
        <w:pStyle w:val="Heading2"/>
      </w:pPr>
      <w:bookmarkStart w:id="4" w:name="_Toc150428872"/>
      <w:r>
        <w:t xml:space="preserve">1. </w:t>
      </w:r>
      <w:r w:rsidR="270A63D7">
        <w:t>Reasonable Adjustments</w:t>
      </w:r>
      <w:bookmarkEnd w:id="4"/>
    </w:p>
    <w:p w14:paraId="5BAF1117" w14:textId="6144C7F6" w:rsidR="00D84C7A" w:rsidRDefault="65AF4908" w:rsidP="00D84C7A">
      <w:r>
        <w:t>A reasonable adjustment relates to an adjustment that helps to reduce the effect of a disability or a physical or mental health condition, which may place the apprentice at a disadvantage compared to others.</w:t>
      </w:r>
    </w:p>
    <w:p w14:paraId="5A608F20" w14:textId="26FECC4B" w:rsidR="00D84C7A" w:rsidRDefault="65AF4908" w:rsidP="2ABF8115">
      <w:r>
        <w:lastRenderedPageBreak/>
        <w:t xml:space="preserve">Employers, training providers and EPAOs must make reasonable adjustments to ensure apprentices with disabilities or physical or mental health conditions aren’t substantially disadvantaged during training, assessment or when doing their jobs. This is a required duty as part of the Equality Act </w:t>
      </w:r>
      <w:r w:rsidR="007C269D">
        <w:t>(</w:t>
      </w:r>
      <w:r>
        <w:t>2010</w:t>
      </w:r>
      <w:r w:rsidR="007C269D">
        <w:t>)</w:t>
      </w:r>
      <w:r>
        <w:t>.</w:t>
      </w:r>
    </w:p>
    <w:p w14:paraId="6B0145E5" w14:textId="20952F2C" w:rsidR="00D84C7A" w:rsidRDefault="65AF4908" w:rsidP="2ABF8115">
      <w:r>
        <w:t xml:space="preserve">During the </w:t>
      </w:r>
      <w:r w:rsidR="007C269D">
        <w:t>E</w:t>
      </w:r>
      <w:r>
        <w:t>nd</w:t>
      </w:r>
      <w:r w:rsidR="007C269D">
        <w:t xml:space="preserve"> P</w:t>
      </w:r>
      <w:r>
        <w:t xml:space="preserve">oint </w:t>
      </w:r>
      <w:proofErr w:type="gramStart"/>
      <w:r w:rsidR="007C269D">
        <w:t>A</w:t>
      </w:r>
      <w:r>
        <w:t>ssessment</w:t>
      </w:r>
      <w:proofErr w:type="gramEnd"/>
      <w:r>
        <w:t xml:space="preserve"> the types of adjustments offered may include, but are</w:t>
      </w:r>
      <w:r w:rsidR="007C269D">
        <w:t xml:space="preserve"> not</w:t>
      </w:r>
      <w:r>
        <w:t xml:space="preserve"> limited to, changes to elements such as:</w:t>
      </w:r>
    </w:p>
    <w:p w14:paraId="2EF14056" w14:textId="05CA9AC7" w:rsidR="00D84C7A" w:rsidRDefault="65AF4908" w:rsidP="005553B2">
      <w:pPr>
        <w:pStyle w:val="ListParagraph"/>
        <w:numPr>
          <w:ilvl w:val="0"/>
          <w:numId w:val="6"/>
        </w:numPr>
      </w:pPr>
      <w:r>
        <w:t>the location and timing of the assessment</w:t>
      </w:r>
    </w:p>
    <w:p w14:paraId="7295CE6F" w14:textId="7F959ABD" w:rsidR="00D84C7A" w:rsidRDefault="65AF4908" w:rsidP="005553B2">
      <w:pPr>
        <w:pStyle w:val="ListParagraph"/>
        <w:numPr>
          <w:ilvl w:val="0"/>
          <w:numId w:val="6"/>
        </w:numPr>
      </w:pPr>
      <w:r>
        <w:t xml:space="preserve">the format, </w:t>
      </w:r>
      <w:r w:rsidR="00055588">
        <w:t>wording,</w:t>
      </w:r>
      <w:r>
        <w:t xml:space="preserve"> or type of assessment activity</w:t>
      </w:r>
    </w:p>
    <w:p w14:paraId="6A5CE8F0" w14:textId="22F7B891" w:rsidR="00D84C7A" w:rsidRDefault="65AF4908" w:rsidP="005553B2">
      <w:pPr>
        <w:pStyle w:val="ListParagraph"/>
        <w:numPr>
          <w:ilvl w:val="0"/>
          <w:numId w:val="6"/>
        </w:numPr>
      </w:pPr>
      <w:r>
        <w:t>the availability of support personnel for additional needs</w:t>
      </w:r>
    </w:p>
    <w:p w14:paraId="6C2579AA" w14:textId="6850AA15" w:rsidR="00D84C7A" w:rsidRDefault="65AF4908" w:rsidP="001B1CB4">
      <w:pPr>
        <w:pStyle w:val="ListParagraph"/>
        <w:numPr>
          <w:ilvl w:val="0"/>
          <w:numId w:val="6"/>
        </w:numPr>
        <w:spacing w:after="240"/>
        <w:ind w:left="714" w:hanging="357"/>
      </w:pPr>
      <w:r>
        <w:t>the availability of adaptive software or hardware, or specialist equipment</w:t>
      </w:r>
    </w:p>
    <w:p w14:paraId="2F2716C6" w14:textId="50B1891C" w:rsidR="00D84C7A" w:rsidRDefault="65AF4908" w:rsidP="2ABF8115">
      <w:r>
        <w:t xml:space="preserve">These adjustments should mirror the types of reasonable adjustments and additional support that the apprentice has received from their employer and/or training provider during their apprenticeship programme. </w:t>
      </w:r>
    </w:p>
    <w:p w14:paraId="65C4F14B" w14:textId="2133CE36" w:rsidR="00D84C7A" w:rsidRDefault="65AF4908" w:rsidP="2ABF8115">
      <w:r>
        <w:t xml:space="preserve">It is important that reasonable adjustments do not affect the reliability or validity of assessment and they should not give the apprentice an advantage over other apprentices undertaking the same assessment. </w:t>
      </w:r>
    </w:p>
    <w:p w14:paraId="5EF269BA" w14:textId="6754C5E1" w:rsidR="2ABF8115" w:rsidRDefault="00D84C7A" w:rsidP="00DE4558">
      <w:pPr>
        <w:pStyle w:val="Heading2"/>
      </w:pPr>
      <w:bookmarkStart w:id="5" w:name="_Toc150428873"/>
      <w:r>
        <w:t xml:space="preserve">2. </w:t>
      </w:r>
      <w:r w:rsidR="00055588">
        <w:t>S</w:t>
      </w:r>
      <w:r w:rsidR="165631DD">
        <w:t>upport for Reasonable Adjustments</w:t>
      </w:r>
      <w:bookmarkEnd w:id="5"/>
    </w:p>
    <w:p w14:paraId="19924B17" w14:textId="595E6FC1" w:rsidR="6042DDCE" w:rsidRDefault="6042DDCE" w:rsidP="2ABF8115">
      <w:r>
        <w:t xml:space="preserve">All </w:t>
      </w:r>
      <w:r w:rsidR="165631DD">
        <w:t xml:space="preserve">apprentices who </w:t>
      </w:r>
      <w:r w:rsidR="219DF89D">
        <w:t>require reasonable adjustments will be supported by</w:t>
      </w:r>
      <w:r w:rsidR="2C5A6A05">
        <w:t xml:space="preserve"> ensuring</w:t>
      </w:r>
      <w:r w:rsidR="6AFF4F36">
        <w:t xml:space="preserve"> that</w:t>
      </w:r>
      <w:r w:rsidR="005553B2">
        <w:t>:</w:t>
      </w:r>
    </w:p>
    <w:p w14:paraId="7D586289" w14:textId="576294C9" w:rsidR="4BDE4B0D" w:rsidRDefault="005553B2" w:rsidP="005553B2">
      <w:pPr>
        <w:pStyle w:val="ListParagraph"/>
      </w:pPr>
      <w:r>
        <w:t>T</w:t>
      </w:r>
      <w:r w:rsidR="4BDE4B0D">
        <w:t xml:space="preserve">he programme team notify the EPAO of any apprentice that requires </w:t>
      </w:r>
      <w:r w:rsidR="7E3A3598">
        <w:t>reasonable adjustments</w:t>
      </w:r>
      <w:r w:rsidR="36D67173">
        <w:t xml:space="preserve"> </w:t>
      </w:r>
      <w:r w:rsidR="6715B93F">
        <w:t>has an S</w:t>
      </w:r>
      <w:r w:rsidR="714F3E40">
        <w:t>pLD/</w:t>
      </w:r>
      <w:r w:rsidR="6715B93F">
        <w:t>inclusion plan</w:t>
      </w:r>
    </w:p>
    <w:p w14:paraId="19106CE6" w14:textId="22963CD9" w:rsidR="7E3A3598" w:rsidRDefault="005553B2" w:rsidP="005553B2">
      <w:pPr>
        <w:pStyle w:val="ListParagraph"/>
      </w:pPr>
      <w:r>
        <w:t>A</w:t>
      </w:r>
      <w:r w:rsidR="7E3A3598">
        <w:t xml:space="preserve">pprentices are </w:t>
      </w:r>
      <w:r w:rsidR="3FEBFABE">
        <w:t>referred to SpLD</w:t>
      </w:r>
      <w:r w:rsidR="22A9CCDE">
        <w:t>/inclusion</w:t>
      </w:r>
      <w:r w:rsidR="3FEBFABE">
        <w:t xml:space="preserve"> team for </w:t>
      </w:r>
      <w:r w:rsidR="620FF750">
        <w:t xml:space="preserve">an </w:t>
      </w:r>
      <w:r w:rsidR="3FEBFABE">
        <w:t xml:space="preserve">inclusion plan </w:t>
      </w:r>
      <w:bookmarkStart w:id="6" w:name="_Int_kDkeEsN6"/>
      <w:r w:rsidR="3FEBFABE">
        <w:t>where</w:t>
      </w:r>
      <w:bookmarkEnd w:id="6"/>
      <w:r w:rsidR="3FEBFABE">
        <w:t xml:space="preserve"> </w:t>
      </w:r>
      <w:r>
        <w:t xml:space="preserve">they </w:t>
      </w:r>
      <w:r w:rsidR="3FEBFABE">
        <w:t>identified</w:t>
      </w:r>
      <w:r w:rsidR="61E28335">
        <w:t xml:space="preserve"> prior to the EPA</w:t>
      </w:r>
    </w:p>
    <w:p w14:paraId="68CBCBF3" w14:textId="7173F4A8" w:rsidR="005553B2" w:rsidRDefault="005553B2" w:rsidP="00732CC8">
      <w:pPr>
        <w:pStyle w:val="ListParagraph"/>
        <w:numPr>
          <w:ilvl w:val="0"/>
          <w:numId w:val="0"/>
        </w:numPr>
        <w:ind w:left="284"/>
      </w:pPr>
      <w:r>
        <w:t>Where appropriate, r</w:t>
      </w:r>
      <w:r w:rsidR="44682D2F" w:rsidRPr="005553B2">
        <w:t xml:space="preserve">easonable adjustments adhere </w:t>
      </w:r>
      <w:r w:rsidR="087274DF" w:rsidRPr="005553B2">
        <w:t>to</w:t>
      </w:r>
      <w:r w:rsidRPr="005553B2">
        <w:t>:</w:t>
      </w:r>
    </w:p>
    <w:p w14:paraId="78B94773" w14:textId="672FDC2D" w:rsidR="005553B2" w:rsidRPr="00721001" w:rsidRDefault="005553B2" w:rsidP="005553B2">
      <w:pPr>
        <w:pStyle w:val="ListParagraph"/>
        <w:numPr>
          <w:ilvl w:val="0"/>
          <w:numId w:val="8"/>
        </w:numPr>
        <w:rPr>
          <w:u w:val="single"/>
        </w:rPr>
      </w:pPr>
      <w:hyperlink r:id="rId13" w:history="1">
        <w:r w:rsidRPr="00721001">
          <w:rPr>
            <w:rStyle w:val="Hyperlink"/>
            <w:color w:val="auto"/>
          </w:rPr>
          <w:t>The Institute for Apprenticeships and Technical Education (IFATE) End Point Assessment Reasonable Adjustment Guidance</w:t>
        </w:r>
      </w:hyperlink>
    </w:p>
    <w:p w14:paraId="5A856B04" w14:textId="0A02DC33" w:rsidR="005553B2" w:rsidRPr="00721001" w:rsidRDefault="005553B2" w:rsidP="005553B2">
      <w:pPr>
        <w:pStyle w:val="ListParagraph"/>
        <w:numPr>
          <w:ilvl w:val="0"/>
          <w:numId w:val="8"/>
        </w:numPr>
        <w:rPr>
          <w:u w:val="single"/>
        </w:rPr>
      </w:pPr>
      <w:hyperlink r:id="rId14" w:history="1">
        <w:r w:rsidRPr="00721001">
          <w:rPr>
            <w:rStyle w:val="Hyperlink"/>
            <w:color w:val="auto"/>
          </w:rPr>
          <w:t>Edge Hill University’s Regulations Appendix 6: Guidelines on Reasonable Adjustments and the Assessment of Disabled Students</w:t>
        </w:r>
      </w:hyperlink>
    </w:p>
    <w:p w14:paraId="2ECCBC11" w14:textId="06DD16A7" w:rsidR="7126F120" w:rsidRDefault="7126F120" w:rsidP="005553B2">
      <w:pPr>
        <w:pStyle w:val="ListParagraph"/>
      </w:pPr>
      <w:r>
        <w:t>The r</w:t>
      </w:r>
      <w:r w:rsidR="194FA450">
        <w:t>easonable adjustments provide apprentices with the opportunity to demonstrate attainment against occupational competence</w:t>
      </w:r>
    </w:p>
    <w:p w14:paraId="477E7F57" w14:textId="6ABAB897" w:rsidR="194FA450" w:rsidRDefault="194FA450" w:rsidP="005553B2">
      <w:pPr>
        <w:pStyle w:val="ListParagraph"/>
      </w:pPr>
      <w:r>
        <w:t>The assessment is reliable, and any person using the apprenticeship certificate to identify an individual’s competence can have confidence in their skills and abilities</w:t>
      </w:r>
    </w:p>
    <w:p w14:paraId="78253942" w14:textId="61F89D8A" w:rsidR="194FA450" w:rsidRDefault="194FA450" w:rsidP="005553B2">
      <w:pPr>
        <w:pStyle w:val="ListParagraph"/>
      </w:pPr>
      <w:r>
        <w:t>The assessment process is rigorous and fair, and the assessment activity is valid</w:t>
      </w:r>
    </w:p>
    <w:p w14:paraId="6AAB64A1" w14:textId="18487457" w:rsidR="194FA450" w:rsidRDefault="194FA450" w:rsidP="005553B2">
      <w:pPr>
        <w:pStyle w:val="ListParagraph"/>
      </w:pPr>
      <w:r>
        <w:t>The assessment is practically able to operate within available resources, following the application of any reasonable adjustments</w:t>
      </w:r>
    </w:p>
    <w:p w14:paraId="7E93C14D" w14:textId="2EA3EE45" w:rsidR="194FA450" w:rsidRDefault="194FA450" w:rsidP="005553B2">
      <w:pPr>
        <w:pStyle w:val="ListParagraph"/>
      </w:pPr>
      <w:r>
        <w:t xml:space="preserve">Facilities and time allow apprentices to use any commercially available mechanical, electronic or other aids in order to demonstrate achievement so long </w:t>
      </w:r>
      <w:r>
        <w:lastRenderedPageBreak/>
        <w:t>as they reflect the apprentice’s normal ways of working and do not give the apprentice an unfair advantage</w:t>
      </w:r>
    </w:p>
    <w:p w14:paraId="7C798597" w14:textId="6858C42B" w:rsidR="006A5B50" w:rsidRDefault="47630F6B" w:rsidP="2ABF8115">
      <w:pPr>
        <w:pStyle w:val="Heading2"/>
      </w:pPr>
      <w:bookmarkStart w:id="7" w:name="_Toc150428874"/>
      <w:r>
        <w:t xml:space="preserve">3. </w:t>
      </w:r>
      <w:r w:rsidR="35D687B4">
        <w:t>Putting Reasonable Adjustments for the EPA</w:t>
      </w:r>
      <w:r w:rsidR="747B6CE5">
        <w:t xml:space="preserve"> in place</w:t>
      </w:r>
      <w:bookmarkEnd w:id="7"/>
    </w:p>
    <w:p w14:paraId="17477985" w14:textId="45B5A4BC" w:rsidR="747B6CE5" w:rsidRDefault="747B6CE5" w:rsidP="2ABF8115">
      <w:r>
        <w:t>The IFATE Reasonable Adjustments matrix and the University’s Academic Regulations Guidance for Reasonable Adjustm</w:t>
      </w:r>
      <w:r w:rsidR="2B04B9FC">
        <w:t>ents support the EPAO in application of appropriate and consistent judgements.</w:t>
      </w:r>
    </w:p>
    <w:p w14:paraId="688BC99D" w14:textId="15039275" w:rsidR="782BCDAC" w:rsidRDefault="782BCDAC" w:rsidP="2ABF8115">
      <w:r>
        <w:t xml:space="preserve">Appropriate adjustments are likely </w:t>
      </w:r>
      <w:r w:rsidR="608CD32C">
        <w:t xml:space="preserve">to be a continuation of the additional support that an apprentice has received throughout their apprenticeship, </w:t>
      </w:r>
      <w:r w:rsidR="487F1002">
        <w:t xml:space="preserve">the EPAO will work </w:t>
      </w:r>
      <w:r w:rsidR="23B3ECA5">
        <w:t>closely</w:t>
      </w:r>
      <w:r w:rsidR="487F1002">
        <w:t xml:space="preserve"> with the </w:t>
      </w:r>
      <w:r w:rsidR="6530FB30">
        <w:t>programme</w:t>
      </w:r>
      <w:r w:rsidR="487F1002">
        <w:t xml:space="preserve"> and inclusion team to ensure that all apprentices that require reasonable adjustments are identified prior to the EPA.  </w:t>
      </w:r>
    </w:p>
    <w:p w14:paraId="67B02E10" w14:textId="56592CD0" w:rsidR="782BCDAC" w:rsidRDefault="782BCDAC" w:rsidP="2ABF8115">
      <w:r>
        <w:t xml:space="preserve">All applications for reasonable adjustments to the EPAO will be considered on a </w:t>
      </w:r>
      <w:bookmarkStart w:id="8" w:name="_Int_8f7gxivy"/>
      <w:r>
        <w:t>case by case</w:t>
      </w:r>
      <w:bookmarkEnd w:id="8"/>
      <w:r>
        <w:t xml:space="preserve"> basis</w:t>
      </w:r>
      <w:r w:rsidR="0D065976">
        <w:t>, however the outcome for the apprentice must at all times</w:t>
      </w:r>
      <w:r w:rsidR="398FD557">
        <w:t xml:space="preserve"> to</w:t>
      </w:r>
      <w:r w:rsidR="0D065976">
        <w:t>;</w:t>
      </w:r>
    </w:p>
    <w:p w14:paraId="6A6A7DB7" w14:textId="78A91DEE" w:rsidR="0D065976" w:rsidRDefault="0D065976" w:rsidP="005553B2">
      <w:pPr>
        <w:pStyle w:val="ListParagraph"/>
        <w:numPr>
          <w:ilvl w:val="0"/>
          <w:numId w:val="2"/>
        </w:numPr>
      </w:pPr>
      <w:r w:rsidRPr="2ABF8115">
        <w:t>meet the requirements of the occupational standard regardless of the process or methods used</w:t>
      </w:r>
    </w:p>
    <w:p w14:paraId="0EA028BF" w14:textId="0AEE3025" w:rsidR="0D065976" w:rsidRDefault="0D065976" w:rsidP="005553B2">
      <w:pPr>
        <w:pStyle w:val="ListParagraph"/>
        <w:numPr>
          <w:ilvl w:val="0"/>
          <w:numId w:val="2"/>
        </w:numPr>
      </w:pPr>
      <w:r w:rsidRPr="2ABF8115">
        <w:t>be as rigorously assessed as outcomes generated by other apprentices</w:t>
      </w:r>
    </w:p>
    <w:p w14:paraId="09C752F7" w14:textId="6EB9B881" w:rsidR="0D065976" w:rsidRDefault="0D065976" w:rsidP="005553B2">
      <w:pPr>
        <w:pStyle w:val="ListParagraph"/>
        <w:numPr>
          <w:ilvl w:val="0"/>
          <w:numId w:val="2"/>
        </w:numPr>
      </w:pPr>
      <w:r w:rsidRPr="2ABF8115">
        <w:t>be assessable</w:t>
      </w:r>
    </w:p>
    <w:p w14:paraId="5A545324" w14:textId="3E848503" w:rsidR="0D065976" w:rsidRDefault="0D065976" w:rsidP="005553B2">
      <w:pPr>
        <w:pStyle w:val="ListParagraph"/>
        <w:numPr>
          <w:ilvl w:val="0"/>
          <w:numId w:val="2"/>
        </w:numPr>
      </w:pPr>
      <w:r w:rsidRPr="2ABF8115">
        <w:t>be a valid measure of occupational competence; and</w:t>
      </w:r>
    </w:p>
    <w:p w14:paraId="6760439E" w14:textId="65E82E7D" w:rsidR="0D065976" w:rsidRDefault="0D065976" w:rsidP="005553B2">
      <w:pPr>
        <w:pStyle w:val="ListParagraph"/>
        <w:numPr>
          <w:ilvl w:val="0"/>
          <w:numId w:val="2"/>
        </w:numPr>
      </w:pPr>
      <w:r w:rsidRPr="2ABF8115">
        <w:t>be able to be moderated or verified</w:t>
      </w:r>
    </w:p>
    <w:p w14:paraId="1186AC0A" w14:textId="782AD979" w:rsidR="6D714CA9" w:rsidRDefault="6D714CA9" w:rsidP="2ABF8115">
      <w:pPr>
        <w:pStyle w:val="Heading2"/>
      </w:pPr>
      <w:bookmarkStart w:id="9" w:name="_Toc150428875"/>
      <w:r w:rsidRPr="2ABF8115">
        <w:t>4. Reasonable Adjustment application</w:t>
      </w:r>
      <w:bookmarkEnd w:id="9"/>
    </w:p>
    <w:p w14:paraId="2ACE0F37" w14:textId="50C57B89" w:rsidR="6D714CA9" w:rsidRDefault="6D714CA9" w:rsidP="2ABF8115">
      <w:r w:rsidRPr="55978C6F">
        <w:t>In all cases, the employer, with input from</w:t>
      </w:r>
      <w:r w:rsidR="385F2C81" w:rsidRPr="55978C6F">
        <w:t xml:space="preserve"> the programme/</w:t>
      </w:r>
      <w:r w:rsidR="2FC692A2" w:rsidRPr="55978C6F">
        <w:t>inclusion</w:t>
      </w:r>
      <w:r w:rsidR="385F2C81" w:rsidRPr="55978C6F">
        <w:t xml:space="preserve"> team and apprentice must submit an application for reasonable adjustments</w:t>
      </w:r>
      <w:r w:rsidR="11CF3AD8" w:rsidRPr="55978C6F">
        <w:t xml:space="preserve"> </w:t>
      </w:r>
      <w:r w:rsidR="6804E16F" w:rsidRPr="55978C6F">
        <w:t>prior to</w:t>
      </w:r>
      <w:r w:rsidR="11CF3AD8" w:rsidRPr="55978C6F">
        <w:t xml:space="preserve"> the EPA</w:t>
      </w:r>
      <w:r w:rsidR="385F2C81" w:rsidRPr="55978C6F">
        <w:t xml:space="preserve"> (Appendix </w:t>
      </w:r>
      <w:r w:rsidR="2192EB3C" w:rsidRPr="55978C6F">
        <w:t>1</w:t>
      </w:r>
      <w:r w:rsidR="385F2C81" w:rsidRPr="55978C6F">
        <w:t>)</w:t>
      </w:r>
      <w:r w:rsidR="007C269D">
        <w:t xml:space="preserve"> or an Edge Hill University SpLD/inclusion plan</w:t>
      </w:r>
      <w:r w:rsidR="1F88AA3C" w:rsidRPr="55978C6F">
        <w:t xml:space="preserve">. It </w:t>
      </w:r>
      <w:r w:rsidR="3FF3BCEE" w:rsidRPr="55978C6F">
        <w:t>should include</w:t>
      </w:r>
      <w:r w:rsidR="7E694B5F" w:rsidRPr="55978C6F">
        <w:t xml:space="preserve"> </w:t>
      </w:r>
      <w:r w:rsidR="58000755" w:rsidRPr="55978C6F">
        <w:t>evidence from the employer/</w:t>
      </w:r>
      <w:r w:rsidR="3B0E5962" w:rsidRPr="55978C6F">
        <w:t xml:space="preserve">University </w:t>
      </w:r>
      <w:r w:rsidR="7D71E553" w:rsidRPr="55978C6F">
        <w:t>inclusion</w:t>
      </w:r>
      <w:r w:rsidR="58000755" w:rsidRPr="55978C6F">
        <w:t xml:space="preserve"> team as well as any existing adjustments or additional </w:t>
      </w:r>
      <w:r w:rsidR="442B2563" w:rsidRPr="55978C6F">
        <w:t>support provided by the University and/or employer.</w:t>
      </w:r>
      <w:r w:rsidR="79928F34" w:rsidRPr="55978C6F">
        <w:t xml:space="preserve"> The EPAO must confirm a decision within 21 days of receipt.</w:t>
      </w:r>
    </w:p>
    <w:p w14:paraId="0843CCF0" w14:textId="38985452" w:rsidR="667FD86F" w:rsidRDefault="667FD86F" w:rsidP="2ABF8115">
      <w:r w:rsidRPr="2ABF8115">
        <w:t xml:space="preserve">The EPAO is required to keep a copy of all reasonable adjustment applications, the key decisions made regarding the applications </w:t>
      </w:r>
      <w:r w:rsidR="5EE8156E" w:rsidRPr="2ABF8115">
        <w:t xml:space="preserve">and evidence behind the decision.  The applications are retained in line with the </w:t>
      </w:r>
      <w:r w:rsidR="2AC081D2" w:rsidRPr="2ABF8115">
        <w:t>University's</w:t>
      </w:r>
      <w:r w:rsidR="5EE8156E" w:rsidRPr="2ABF8115">
        <w:t xml:space="preserve"> </w:t>
      </w:r>
      <w:r w:rsidR="5BF23B72" w:rsidRPr="2ABF8115">
        <w:t>Data protection policy</w:t>
      </w:r>
      <w:r w:rsidR="5EE8156E" w:rsidRPr="2ABF8115">
        <w:t xml:space="preserve"> and are made </w:t>
      </w:r>
      <w:r w:rsidR="5779F1D6" w:rsidRPr="2ABF8115">
        <w:t>available</w:t>
      </w:r>
      <w:r w:rsidR="5EE8156E" w:rsidRPr="2ABF8115">
        <w:t xml:space="preserve"> to EQA when req</w:t>
      </w:r>
      <w:r w:rsidR="3E3A8807" w:rsidRPr="2ABF8115">
        <w:t>uested.</w:t>
      </w:r>
    </w:p>
    <w:p w14:paraId="53463195" w14:textId="18745E77" w:rsidR="7D20769D" w:rsidRDefault="3E3A8807" w:rsidP="2ABF8115">
      <w:r w:rsidRPr="55978C6F">
        <w:t xml:space="preserve">The EPAO may only reject </w:t>
      </w:r>
      <w:r w:rsidR="5427BC2D" w:rsidRPr="55978C6F">
        <w:t>applications for</w:t>
      </w:r>
      <w:r w:rsidRPr="55978C6F">
        <w:t xml:space="preserve"> reasonable adjustment where</w:t>
      </w:r>
      <w:r w:rsidR="5998F038" w:rsidRPr="55978C6F">
        <w:t xml:space="preserve"> the adjustment would create a serious loss of validity or </w:t>
      </w:r>
      <w:r w:rsidR="3C49D94A" w:rsidRPr="55978C6F">
        <w:t>independence</w:t>
      </w:r>
      <w:r w:rsidR="5998F038" w:rsidRPr="55978C6F">
        <w:t xml:space="preserve"> within the </w:t>
      </w:r>
      <w:r w:rsidR="0AF2DABA" w:rsidRPr="55978C6F">
        <w:t>assessment</w:t>
      </w:r>
      <w:r w:rsidR="5998F038" w:rsidRPr="55978C6F">
        <w:t xml:space="preserve"> process and/or it constitutes a serious safety hazard that ca</w:t>
      </w:r>
      <w:r w:rsidR="50FB5358" w:rsidRPr="55978C6F">
        <w:t>nnot be mitigated.</w:t>
      </w:r>
    </w:p>
    <w:p w14:paraId="4908F25C" w14:textId="63168AE8" w:rsidR="2ABF8115" w:rsidRDefault="51539C50" w:rsidP="2ABF8115">
      <w:r w:rsidRPr="55978C6F">
        <w:t>The apprentice may appeal the decision in line with the University complaints procedure.</w:t>
      </w:r>
    </w:p>
    <w:p w14:paraId="5D06ED30" w14:textId="77777777" w:rsidR="00E21F75" w:rsidRDefault="00E21F75" w:rsidP="00C26DA0">
      <w:pPr>
        <w:pStyle w:val="Heading1"/>
      </w:pPr>
      <w:bookmarkStart w:id="10" w:name="_Toc150428876"/>
      <w:r>
        <w:lastRenderedPageBreak/>
        <w:t>Key to Relevant Documents</w:t>
      </w:r>
      <w:bookmarkEnd w:id="10"/>
      <w:r>
        <w:t xml:space="preserve"> </w:t>
      </w:r>
    </w:p>
    <w:p w14:paraId="38C66D40" w14:textId="2EACCAE7" w:rsidR="000D23AF" w:rsidRDefault="33591BB1" w:rsidP="2ABF8115">
      <w:r>
        <w:t xml:space="preserve">This guidance </w:t>
      </w:r>
      <w:r w:rsidR="56516BF4">
        <w:t xml:space="preserve">should be considered with </w:t>
      </w:r>
      <w:r>
        <w:t>following policies and documents;</w:t>
      </w:r>
    </w:p>
    <w:p w14:paraId="3FCD9CF4" w14:textId="194418E8" w:rsidR="004A6E27" w:rsidRDefault="005553B2" w:rsidP="005553B2">
      <w:pPr>
        <w:pStyle w:val="ListParagraph"/>
        <w:rPr>
          <w:rFonts w:eastAsia="Arial" w:cs="Arial"/>
          <w:szCs w:val="24"/>
        </w:rPr>
      </w:pPr>
      <w:hyperlink r:id="rId15" w:history="1">
        <w:r>
          <w:rPr>
            <w:rStyle w:val="Hyperlink"/>
            <w:rFonts w:eastAsia="Arial" w:cs="Arial"/>
            <w:szCs w:val="24"/>
          </w:rPr>
          <w:t>Edge Hill University’s Regulations Appendix 6: Guidelines on Reasonable Adjustments and the Assessment of Disabled Students</w:t>
        </w:r>
      </w:hyperlink>
    </w:p>
    <w:p w14:paraId="6D64E84E" w14:textId="71BE70C1" w:rsidR="004A6E27" w:rsidRDefault="004A6E27" w:rsidP="005553B2">
      <w:pPr>
        <w:pStyle w:val="ListParagraph"/>
        <w:rPr>
          <w:rFonts w:eastAsia="Arial" w:cs="Arial"/>
          <w:szCs w:val="24"/>
        </w:rPr>
      </w:pPr>
      <w:hyperlink r:id="rId16" w:history="1">
        <w:r w:rsidRPr="004A6E27">
          <w:rPr>
            <w:rStyle w:val="Hyperlink"/>
            <w:rFonts w:eastAsia="Arial" w:cs="Arial"/>
            <w:szCs w:val="24"/>
          </w:rPr>
          <w:t>Institute for Apprenticeships &amp; Technical Education’s End Point Assessment Reasonable Adjustments Guidance</w:t>
        </w:r>
      </w:hyperlink>
      <w:r w:rsidR="00D175DB">
        <w:rPr>
          <w:rFonts w:eastAsia="Arial" w:cs="Arial"/>
          <w:szCs w:val="24"/>
        </w:rPr>
        <w:t xml:space="preserve"> &amp; </w:t>
      </w:r>
      <w:hyperlink r:id="rId17" w:history="1">
        <w:r w:rsidR="00D175DB" w:rsidRPr="00D175DB">
          <w:rPr>
            <w:rStyle w:val="Hyperlink"/>
            <w:rFonts w:eastAsia="Arial" w:cs="Arial"/>
            <w:szCs w:val="24"/>
          </w:rPr>
          <w:t>Reasonable Adjustment Matrix</w:t>
        </w:r>
      </w:hyperlink>
    </w:p>
    <w:p w14:paraId="0A3E6AD1" w14:textId="51195631" w:rsidR="00D175DB" w:rsidRDefault="00D175DB" w:rsidP="005553B2">
      <w:pPr>
        <w:pStyle w:val="ListParagraph"/>
        <w:rPr>
          <w:rFonts w:eastAsia="Arial" w:cs="Arial"/>
          <w:szCs w:val="24"/>
        </w:rPr>
      </w:pPr>
      <w:hyperlink r:id="rId18" w:history="1">
        <w:r>
          <w:rPr>
            <w:rStyle w:val="Hyperlink"/>
            <w:rFonts w:eastAsia="Arial" w:cs="Arial"/>
            <w:szCs w:val="24"/>
          </w:rPr>
          <w:t>Edge Hill University's Equality, Diversity and Inclusion (EDI) Strategy</w:t>
        </w:r>
      </w:hyperlink>
    </w:p>
    <w:p w14:paraId="1238BE49" w14:textId="77777777" w:rsidR="00D175DB" w:rsidRDefault="00D175DB" w:rsidP="005553B2">
      <w:pPr>
        <w:pStyle w:val="ListParagraph"/>
        <w:rPr>
          <w:rFonts w:eastAsia="Arial" w:cs="Arial"/>
          <w:szCs w:val="24"/>
        </w:rPr>
      </w:pPr>
      <w:hyperlink r:id="rId19" w:history="1">
        <w:r w:rsidRPr="00D175DB">
          <w:rPr>
            <w:rStyle w:val="Hyperlink"/>
            <w:rFonts w:eastAsia="Arial" w:cs="Arial"/>
            <w:szCs w:val="24"/>
          </w:rPr>
          <w:t>Edge Hill University’s Data Protection Policy</w:t>
        </w:r>
      </w:hyperlink>
    </w:p>
    <w:p w14:paraId="676BE3C4" w14:textId="53708312" w:rsidR="000D23AF" w:rsidRDefault="00D175DB" w:rsidP="005553B2">
      <w:pPr>
        <w:pStyle w:val="ListParagraph"/>
        <w:rPr>
          <w:rFonts w:eastAsia="Arial" w:cs="Arial"/>
          <w:szCs w:val="24"/>
        </w:rPr>
      </w:pPr>
      <w:hyperlink r:id="rId20" w:history="1">
        <w:r w:rsidRPr="00D175DB">
          <w:rPr>
            <w:rStyle w:val="Hyperlink"/>
            <w:rFonts w:eastAsia="Arial" w:cs="Arial"/>
            <w:szCs w:val="24"/>
          </w:rPr>
          <w:t>Edge Hill University’s Student Complaints Procedure</w:t>
        </w:r>
      </w:hyperlink>
    </w:p>
    <w:p w14:paraId="13880485" w14:textId="77777777" w:rsidR="00D175DB" w:rsidRPr="00D175DB" w:rsidRDefault="00D175DB" w:rsidP="00831486">
      <w:pPr>
        <w:pStyle w:val="ListParagraph"/>
        <w:numPr>
          <w:ilvl w:val="0"/>
          <w:numId w:val="0"/>
        </w:numPr>
        <w:ind w:left="284"/>
      </w:pPr>
    </w:p>
    <w:p w14:paraId="65538A7F" w14:textId="78BDE3D0" w:rsidR="000D23AF" w:rsidRDefault="52014E24" w:rsidP="2ABF8115">
      <w:pPr>
        <w:pStyle w:val="Heading1"/>
        <w:rPr>
          <w:sz w:val="20"/>
          <w:szCs w:val="20"/>
        </w:rPr>
      </w:pPr>
      <w:bookmarkStart w:id="11" w:name="_Toc150428877"/>
      <w:r>
        <w:t>A</w:t>
      </w:r>
      <w:r w:rsidR="00D84C7A">
        <w:t>nnexes</w:t>
      </w:r>
      <w:r w:rsidR="004574CC">
        <w:t xml:space="preserve"> </w:t>
      </w:r>
      <w:r w:rsidR="00D84C7A">
        <w:br w:type="page"/>
      </w:r>
      <w:r w:rsidR="39B178FB" w:rsidRPr="00D175DB">
        <w:rPr>
          <w:sz w:val="24"/>
          <w:szCs w:val="24"/>
        </w:rPr>
        <w:lastRenderedPageBreak/>
        <w:t>Appendix 1</w:t>
      </w:r>
      <w:bookmarkEnd w:id="11"/>
    </w:p>
    <w:p w14:paraId="3DFE7927" w14:textId="1DE7CBBB" w:rsidR="0DE3BBD7" w:rsidRDefault="0DE3BBD7">
      <w:r w:rsidRPr="2ABF8115">
        <w:rPr>
          <w:rFonts w:eastAsia="Arial" w:cs="Arial"/>
          <w:color w:val="7030A0"/>
          <w:sz w:val="40"/>
          <w:szCs w:val="40"/>
        </w:rPr>
        <w:t>End-point Assessment - Process for access arrangements and/or reasonable adjustments form</w:t>
      </w:r>
    </w:p>
    <w:p w14:paraId="276C3466" w14:textId="5F06FC52" w:rsidR="0DE3BBD7" w:rsidRDefault="0DE3BBD7">
      <w:r w:rsidRPr="55978C6F">
        <w:rPr>
          <w:rFonts w:eastAsia="Arial" w:cs="Arial"/>
          <w:szCs w:val="24"/>
        </w:rPr>
        <w:t xml:space="preserve">Reasonable adjustments for the EPA will be </w:t>
      </w:r>
      <w:r w:rsidR="76DCDA5D" w:rsidRPr="55978C6F">
        <w:rPr>
          <w:rFonts w:eastAsia="Arial" w:cs="Arial"/>
          <w:szCs w:val="24"/>
        </w:rPr>
        <w:t>considered for</w:t>
      </w:r>
      <w:r w:rsidRPr="55978C6F">
        <w:rPr>
          <w:rFonts w:eastAsia="Arial" w:cs="Arial"/>
          <w:szCs w:val="24"/>
        </w:rPr>
        <w:t xml:space="preserve"> apprentices with disabilities and/or additional needs by means of submission </w:t>
      </w:r>
      <w:r w:rsidR="00FA578B">
        <w:rPr>
          <w:rFonts w:eastAsia="Arial" w:cs="Arial"/>
          <w:szCs w:val="24"/>
        </w:rPr>
        <w:t xml:space="preserve">of </w:t>
      </w:r>
      <w:r w:rsidR="00C3452F">
        <w:rPr>
          <w:rFonts w:eastAsia="Arial" w:cs="Arial"/>
          <w:szCs w:val="24"/>
        </w:rPr>
        <w:t xml:space="preserve">a </w:t>
      </w:r>
      <w:r w:rsidR="00C3452F">
        <w:t>SpLD/inclusion plan</w:t>
      </w:r>
      <w:r w:rsidR="00C3452F" w:rsidRPr="55978C6F">
        <w:rPr>
          <w:rFonts w:eastAsia="Arial" w:cs="Arial"/>
          <w:szCs w:val="24"/>
        </w:rPr>
        <w:t xml:space="preserve"> </w:t>
      </w:r>
      <w:r w:rsidRPr="55978C6F">
        <w:rPr>
          <w:rFonts w:eastAsia="Arial" w:cs="Arial"/>
          <w:szCs w:val="24"/>
        </w:rPr>
        <w:t>o</w:t>
      </w:r>
      <w:r w:rsidR="00C3452F">
        <w:rPr>
          <w:rFonts w:eastAsia="Arial" w:cs="Arial"/>
          <w:szCs w:val="24"/>
        </w:rPr>
        <w:t xml:space="preserve">r </w:t>
      </w:r>
      <w:r w:rsidRPr="55978C6F">
        <w:rPr>
          <w:rFonts w:eastAsia="Arial" w:cs="Arial"/>
          <w:szCs w:val="24"/>
        </w:rPr>
        <w:t>the form below</w:t>
      </w:r>
    </w:p>
    <w:p w14:paraId="188975EA" w14:textId="5EABDEFF" w:rsidR="0DE3BBD7" w:rsidRDefault="0DE3BBD7">
      <w:r w:rsidRPr="2ABF8115">
        <w:rPr>
          <w:rFonts w:eastAsia="Arial" w:cs="Arial"/>
          <w:szCs w:val="24"/>
        </w:rPr>
        <w:t xml:space="preserve"> </w:t>
      </w:r>
    </w:p>
    <w:tbl>
      <w:tblPr>
        <w:tblStyle w:val="TableGrid"/>
        <w:tblW w:w="0" w:type="auto"/>
        <w:tblLayout w:type="fixed"/>
        <w:tblLook w:val="04A0" w:firstRow="1" w:lastRow="0" w:firstColumn="1" w:lastColumn="0" w:noHBand="0" w:noVBand="1"/>
      </w:tblPr>
      <w:tblGrid>
        <w:gridCol w:w="4508"/>
        <w:gridCol w:w="4508"/>
      </w:tblGrid>
      <w:tr w:rsidR="2ABF8115" w14:paraId="1AB88EDA" w14:textId="77777777" w:rsidTr="005B48D0">
        <w:trPr>
          <w:tblHeader/>
        </w:trPr>
        <w:tc>
          <w:tcPr>
            <w:tcW w:w="4508" w:type="dxa"/>
            <w:tcBorders>
              <w:top w:val="single" w:sz="8" w:space="0" w:color="auto"/>
              <w:left w:val="single" w:sz="8" w:space="0" w:color="auto"/>
              <w:bottom w:val="single" w:sz="8" w:space="0" w:color="auto"/>
              <w:right w:val="single" w:sz="8" w:space="0" w:color="auto"/>
            </w:tcBorders>
          </w:tcPr>
          <w:p w14:paraId="22D0CCD2" w14:textId="48311F1F" w:rsidR="2ABF8115" w:rsidRDefault="2ABF8115">
            <w:r w:rsidRPr="2ABF8115">
              <w:rPr>
                <w:rFonts w:eastAsia="Arial" w:cs="Arial"/>
                <w:szCs w:val="24"/>
              </w:rPr>
              <w:t>Date</w:t>
            </w:r>
          </w:p>
        </w:tc>
        <w:tc>
          <w:tcPr>
            <w:tcW w:w="4508" w:type="dxa"/>
            <w:tcBorders>
              <w:top w:val="single" w:sz="8" w:space="0" w:color="auto"/>
              <w:left w:val="single" w:sz="8" w:space="0" w:color="auto"/>
              <w:bottom w:val="single" w:sz="8" w:space="0" w:color="auto"/>
              <w:right w:val="single" w:sz="8" w:space="0" w:color="auto"/>
            </w:tcBorders>
          </w:tcPr>
          <w:p w14:paraId="51E89699" w14:textId="1720E377" w:rsidR="2ABF8115" w:rsidRDefault="2ABF8115">
            <w:r w:rsidRPr="2ABF8115">
              <w:rPr>
                <w:rFonts w:eastAsia="Arial" w:cs="Arial"/>
                <w:szCs w:val="24"/>
              </w:rPr>
              <w:t xml:space="preserve"> </w:t>
            </w:r>
          </w:p>
        </w:tc>
      </w:tr>
      <w:tr w:rsidR="2ABF8115" w14:paraId="21D30DCC" w14:textId="77777777" w:rsidTr="2ABF8115">
        <w:tc>
          <w:tcPr>
            <w:tcW w:w="4508" w:type="dxa"/>
            <w:tcBorders>
              <w:top w:val="single" w:sz="8" w:space="0" w:color="auto"/>
              <w:left w:val="single" w:sz="8" w:space="0" w:color="auto"/>
              <w:bottom w:val="single" w:sz="8" w:space="0" w:color="auto"/>
              <w:right w:val="single" w:sz="8" w:space="0" w:color="auto"/>
            </w:tcBorders>
          </w:tcPr>
          <w:p w14:paraId="0DC911A0" w14:textId="77E9A75A" w:rsidR="2ABF8115" w:rsidRDefault="2ABF8115">
            <w:r w:rsidRPr="2ABF8115">
              <w:rPr>
                <w:rFonts w:eastAsia="Arial" w:cs="Arial"/>
                <w:szCs w:val="24"/>
              </w:rPr>
              <w:t>Apprentice name</w:t>
            </w:r>
          </w:p>
        </w:tc>
        <w:tc>
          <w:tcPr>
            <w:tcW w:w="4508" w:type="dxa"/>
            <w:tcBorders>
              <w:top w:val="single" w:sz="8" w:space="0" w:color="auto"/>
              <w:left w:val="single" w:sz="8" w:space="0" w:color="auto"/>
              <w:bottom w:val="single" w:sz="8" w:space="0" w:color="auto"/>
              <w:right w:val="single" w:sz="8" w:space="0" w:color="auto"/>
            </w:tcBorders>
          </w:tcPr>
          <w:p w14:paraId="3CDBEB5D" w14:textId="0AB7EBA1" w:rsidR="2ABF8115" w:rsidRDefault="2ABF8115">
            <w:r w:rsidRPr="2ABF8115">
              <w:rPr>
                <w:rFonts w:eastAsia="Arial" w:cs="Arial"/>
                <w:szCs w:val="24"/>
              </w:rPr>
              <w:t xml:space="preserve"> </w:t>
            </w:r>
          </w:p>
        </w:tc>
      </w:tr>
      <w:tr w:rsidR="2ABF8115" w14:paraId="09790D65" w14:textId="77777777" w:rsidTr="2ABF8115">
        <w:tc>
          <w:tcPr>
            <w:tcW w:w="4508" w:type="dxa"/>
            <w:tcBorders>
              <w:top w:val="single" w:sz="8" w:space="0" w:color="auto"/>
              <w:left w:val="single" w:sz="8" w:space="0" w:color="auto"/>
              <w:bottom w:val="single" w:sz="8" w:space="0" w:color="auto"/>
              <w:right w:val="single" w:sz="8" w:space="0" w:color="auto"/>
            </w:tcBorders>
          </w:tcPr>
          <w:p w14:paraId="2048F887" w14:textId="2AE6F6C5" w:rsidR="2ABF8115" w:rsidRDefault="2ABF8115">
            <w:r w:rsidRPr="2ABF8115">
              <w:rPr>
                <w:rFonts w:eastAsia="Arial" w:cs="Arial"/>
                <w:szCs w:val="24"/>
              </w:rPr>
              <w:t>Student ID number</w:t>
            </w:r>
          </w:p>
        </w:tc>
        <w:tc>
          <w:tcPr>
            <w:tcW w:w="4508" w:type="dxa"/>
            <w:tcBorders>
              <w:top w:val="single" w:sz="8" w:space="0" w:color="auto"/>
              <w:left w:val="single" w:sz="8" w:space="0" w:color="auto"/>
              <w:bottom w:val="single" w:sz="8" w:space="0" w:color="auto"/>
              <w:right w:val="single" w:sz="8" w:space="0" w:color="auto"/>
            </w:tcBorders>
          </w:tcPr>
          <w:p w14:paraId="7FBA89DB" w14:textId="4F9AF401" w:rsidR="2ABF8115" w:rsidRDefault="2ABF8115">
            <w:r w:rsidRPr="2ABF8115">
              <w:rPr>
                <w:rFonts w:eastAsia="Arial" w:cs="Arial"/>
                <w:szCs w:val="24"/>
              </w:rPr>
              <w:t xml:space="preserve"> </w:t>
            </w:r>
          </w:p>
        </w:tc>
      </w:tr>
      <w:tr w:rsidR="2ABF8115" w14:paraId="08568742" w14:textId="77777777" w:rsidTr="2ABF8115">
        <w:tc>
          <w:tcPr>
            <w:tcW w:w="4508" w:type="dxa"/>
            <w:tcBorders>
              <w:top w:val="single" w:sz="8" w:space="0" w:color="auto"/>
              <w:left w:val="single" w:sz="8" w:space="0" w:color="auto"/>
              <w:bottom w:val="single" w:sz="8" w:space="0" w:color="auto"/>
              <w:right w:val="single" w:sz="8" w:space="0" w:color="auto"/>
            </w:tcBorders>
          </w:tcPr>
          <w:p w14:paraId="6ACD6C5F" w14:textId="12474EDC" w:rsidR="2ABF8115" w:rsidRDefault="2ABF8115">
            <w:r w:rsidRPr="2ABF8115">
              <w:rPr>
                <w:rFonts w:eastAsia="Arial" w:cs="Arial"/>
                <w:szCs w:val="24"/>
              </w:rPr>
              <w:t>ULN</w:t>
            </w:r>
          </w:p>
        </w:tc>
        <w:tc>
          <w:tcPr>
            <w:tcW w:w="4508" w:type="dxa"/>
            <w:tcBorders>
              <w:top w:val="single" w:sz="8" w:space="0" w:color="auto"/>
              <w:left w:val="single" w:sz="8" w:space="0" w:color="auto"/>
              <w:bottom w:val="single" w:sz="8" w:space="0" w:color="auto"/>
              <w:right w:val="single" w:sz="8" w:space="0" w:color="auto"/>
            </w:tcBorders>
          </w:tcPr>
          <w:p w14:paraId="34808903" w14:textId="6A22B6DF" w:rsidR="2ABF8115" w:rsidRDefault="2ABF8115">
            <w:r w:rsidRPr="2ABF8115">
              <w:rPr>
                <w:rFonts w:eastAsia="Arial" w:cs="Arial"/>
                <w:szCs w:val="24"/>
              </w:rPr>
              <w:t xml:space="preserve"> </w:t>
            </w:r>
          </w:p>
        </w:tc>
      </w:tr>
      <w:tr w:rsidR="2ABF8115" w14:paraId="15D9D62A" w14:textId="77777777" w:rsidTr="2ABF8115">
        <w:tc>
          <w:tcPr>
            <w:tcW w:w="4508" w:type="dxa"/>
            <w:tcBorders>
              <w:top w:val="single" w:sz="8" w:space="0" w:color="auto"/>
              <w:left w:val="single" w:sz="8" w:space="0" w:color="auto"/>
              <w:bottom w:val="single" w:sz="8" w:space="0" w:color="auto"/>
              <w:right w:val="single" w:sz="8" w:space="0" w:color="auto"/>
            </w:tcBorders>
          </w:tcPr>
          <w:p w14:paraId="54179489" w14:textId="17B4AD8F" w:rsidR="2ABF8115" w:rsidRDefault="2ABF8115">
            <w:r w:rsidRPr="2ABF8115">
              <w:rPr>
                <w:rFonts w:eastAsia="Arial" w:cs="Arial"/>
                <w:szCs w:val="24"/>
              </w:rPr>
              <w:t>Programme</w:t>
            </w:r>
          </w:p>
        </w:tc>
        <w:tc>
          <w:tcPr>
            <w:tcW w:w="4508" w:type="dxa"/>
            <w:tcBorders>
              <w:top w:val="single" w:sz="8" w:space="0" w:color="auto"/>
              <w:left w:val="single" w:sz="8" w:space="0" w:color="auto"/>
              <w:bottom w:val="single" w:sz="8" w:space="0" w:color="auto"/>
              <w:right w:val="single" w:sz="8" w:space="0" w:color="auto"/>
            </w:tcBorders>
          </w:tcPr>
          <w:p w14:paraId="489C3B69" w14:textId="7D4C7D61" w:rsidR="2ABF8115" w:rsidRDefault="2ABF8115">
            <w:r w:rsidRPr="2ABF8115">
              <w:rPr>
                <w:rFonts w:eastAsia="Arial" w:cs="Arial"/>
                <w:szCs w:val="24"/>
              </w:rPr>
              <w:t xml:space="preserve"> </w:t>
            </w:r>
          </w:p>
        </w:tc>
      </w:tr>
      <w:tr w:rsidR="2ABF8115" w14:paraId="638400FC" w14:textId="77777777" w:rsidTr="2ABF8115">
        <w:tc>
          <w:tcPr>
            <w:tcW w:w="4508" w:type="dxa"/>
            <w:tcBorders>
              <w:top w:val="single" w:sz="8" w:space="0" w:color="auto"/>
              <w:left w:val="single" w:sz="8" w:space="0" w:color="auto"/>
              <w:bottom w:val="single" w:sz="8" w:space="0" w:color="auto"/>
              <w:right w:val="single" w:sz="8" w:space="0" w:color="auto"/>
            </w:tcBorders>
          </w:tcPr>
          <w:p w14:paraId="7FD0C15B" w14:textId="6B8030FF" w:rsidR="2ABF8115" w:rsidRDefault="2ABF8115">
            <w:r w:rsidRPr="2ABF8115">
              <w:rPr>
                <w:rFonts w:eastAsia="Arial" w:cs="Arial"/>
                <w:szCs w:val="24"/>
              </w:rPr>
              <w:t>Programme Lead</w:t>
            </w:r>
          </w:p>
        </w:tc>
        <w:tc>
          <w:tcPr>
            <w:tcW w:w="4508" w:type="dxa"/>
            <w:tcBorders>
              <w:top w:val="single" w:sz="8" w:space="0" w:color="auto"/>
              <w:left w:val="single" w:sz="8" w:space="0" w:color="auto"/>
              <w:bottom w:val="single" w:sz="8" w:space="0" w:color="auto"/>
              <w:right w:val="single" w:sz="8" w:space="0" w:color="auto"/>
            </w:tcBorders>
          </w:tcPr>
          <w:p w14:paraId="66964E67" w14:textId="3A49E480" w:rsidR="2ABF8115" w:rsidRDefault="2ABF8115">
            <w:r w:rsidRPr="2ABF8115">
              <w:rPr>
                <w:rFonts w:eastAsia="Arial" w:cs="Arial"/>
                <w:szCs w:val="24"/>
              </w:rPr>
              <w:t xml:space="preserve"> </w:t>
            </w:r>
          </w:p>
        </w:tc>
      </w:tr>
      <w:tr w:rsidR="2ABF8115" w14:paraId="1249D6C9" w14:textId="77777777" w:rsidTr="2ABF8115">
        <w:tc>
          <w:tcPr>
            <w:tcW w:w="4508" w:type="dxa"/>
            <w:tcBorders>
              <w:top w:val="single" w:sz="8" w:space="0" w:color="auto"/>
              <w:left w:val="single" w:sz="8" w:space="0" w:color="auto"/>
              <w:bottom w:val="single" w:sz="8" w:space="0" w:color="auto"/>
              <w:right w:val="single" w:sz="8" w:space="0" w:color="auto"/>
            </w:tcBorders>
          </w:tcPr>
          <w:p w14:paraId="4E7EF231" w14:textId="7163AC5C" w:rsidR="2ABF8115" w:rsidRDefault="2ABF8115">
            <w:r w:rsidRPr="2ABF8115">
              <w:rPr>
                <w:rFonts w:eastAsia="Arial" w:cs="Arial"/>
                <w:szCs w:val="24"/>
              </w:rPr>
              <w:t>EPA date</w:t>
            </w:r>
          </w:p>
        </w:tc>
        <w:tc>
          <w:tcPr>
            <w:tcW w:w="4508" w:type="dxa"/>
            <w:tcBorders>
              <w:top w:val="single" w:sz="8" w:space="0" w:color="auto"/>
              <w:left w:val="single" w:sz="8" w:space="0" w:color="auto"/>
              <w:bottom w:val="single" w:sz="8" w:space="0" w:color="auto"/>
              <w:right w:val="single" w:sz="8" w:space="0" w:color="auto"/>
            </w:tcBorders>
          </w:tcPr>
          <w:p w14:paraId="4F361683" w14:textId="33A30A43" w:rsidR="2ABF8115" w:rsidRDefault="2ABF8115">
            <w:r w:rsidRPr="2ABF8115">
              <w:rPr>
                <w:rFonts w:eastAsia="Arial" w:cs="Arial"/>
                <w:szCs w:val="24"/>
              </w:rPr>
              <w:t xml:space="preserve"> </w:t>
            </w:r>
          </w:p>
        </w:tc>
      </w:tr>
      <w:tr w:rsidR="2ABF8115" w14:paraId="0397C5E5" w14:textId="77777777" w:rsidTr="2ABF8115">
        <w:tc>
          <w:tcPr>
            <w:tcW w:w="4508" w:type="dxa"/>
            <w:tcBorders>
              <w:top w:val="single" w:sz="8" w:space="0" w:color="auto"/>
              <w:left w:val="single" w:sz="8" w:space="0" w:color="auto"/>
              <w:bottom w:val="single" w:sz="8" w:space="0" w:color="auto"/>
              <w:right w:val="single" w:sz="8" w:space="0" w:color="auto"/>
            </w:tcBorders>
          </w:tcPr>
          <w:p w14:paraId="069B2B2A" w14:textId="1EF9D0CF" w:rsidR="2ABF8115" w:rsidRDefault="2ABF8115">
            <w:r w:rsidRPr="2ABF8115">
              <w:rPr>
                <w:rFonts w:eastAsia="Arial" w:cs="Arial"/>
                <w:szCs w:val="24"/>
              </w:rPr>
              <w:t>Employer</w:t>
            </w:r>
          </w:p>
        </w:tc>
        <w:tc>
          <w:tcPr>
            <w:tcW w:w="4508" w:type="dxa"/>
            <w:tcBorders>
              <w:top w:val="single" w:sz="8" w:space="0" w:color="auto"/>
              <w:left w:val="single" w:sz="8" w:space="0" w:color="auto"/>
              <w:bottom w:val="single" w:sz="8" w:space="0" w:color="auto"/>
              <w:right w:val="single" w:sz="8" w:space="0" w:color="auto"/>
            </w:tcBorders>
          </w:tcPr>
          <w:p w14:paraId="3D0D1389" w14:textId="41117E94" w:rsidR="2ABF8115" w:rsidRDefault="2ABF8115">
            <w:r w:rsidRPr="2ABF8115">
              <w:rPr>
                <w:rFonts w:eastAsia="Arial" w:cs="Arial"/>
                <w:szCs w:val="24"/>
              </w:rPr>
              <w:t xml:space="preserve"> </w:t>
            </w:r>
          </w:p>
        </w:tc>
      </w:tr>
      <w:tr w:rsidR="2ABF8115" w14:paraId="4C3C43BC" w14:textId="77777777" w:rsidTr="2ABF8115">
        <w:tc>
          <w:tcPr>
            <w:tcW w:w="4508" w:type="dxa"/>
            <w:tcBorders>
              <w:top w:val="single" w:sz="8" w:space="0" w:color="auto"/>
              <w:left w:val="single" w:sz="8" w:space="0" w:color="auto"/>
              <w:bottom w:val="single" w:sz="8" w:space="0" w:color="auto"/>
              <w:right w:val="single" w:sz="8" w:space="0" w:color="auto"/>
            </w:tcBorders>
          </w:tcPr>
          <w:p w14:paraId="1141E845" w14:textId="153E1B6F" w:rsidR="2ABF8115" w:rsidRDefault="2ABF8115">
            <w:r w:rsidRPr="2ABF8115">
              <w:rPr>
                <w:rFonts w:eastAsia="Arial" w:cs="Arial"/>
                <w:szCs w:val="24"/>
              </w:rPr>
              <w:t>Employer contact</w:t>
            </w:r>
          </w:p>
        </w:tc>
        <w:tc>
          <w:tcPr>
            <w:tcW w:w="4508" w:type="dxa"/>
            <w:tcBorders>
              <w:top w:val="single" w:sz="8" w:space="0" w:color="auto"/>
              <w:left w:val="single" w:sz="8" w:space="0" w:color="auto"/>
              <w:bottom w:val="single" w:sz="8" w:space="0" w:color="auto"/>
              <w:right w:val="single" w:sz="8" w:space="0" w:color="auto"/>
            </w:tcBorders>
          </w:tcPr>
          <w:p w14:paraId="291EF1BE" w14:textId="51C7AEB8" w:rsidR="2ABF8115" w:rsidRDefault="2ABF8115">
            <w:r w:rsidRPr="2ABF8115">
              <w:rPr>
                <w:rFonts w:eastAsia="Arial" w:cs="Arial"/>
                <w:szCs w:val="24"/>
              </w:rPr>
              <w:t xml:space="preserve"> </w:t>
            </w:r>
          </w:p>
        </w:tc>
      </w:tr>
    </w:tbl>
    <w:p w14:paraId="7C56B2DB" w14:textId="2A0F0669" w:rsidR="0DE3BBD7" w:rsidRDefault="0DE3BBD7">
      <w:r w:rsidRPr="2ABF8115">
        <w:rPr>
          <w:rFonts w:eastAsia="Arial" w:cs="Arial"/>
          <w:szCs w:val="24"/>
        </w:rPr>
        <w:t xml:space="preserve"> </w:t>
      </w:r>
    </w:p>
    <w:tbl>
      <w:tblPr>
        <w:tblStyle w:val="TableGrid"/>
        <w:tblW w:w="0" w:type="auto"/>
        <w:tblLayout w:type="fixed"/>
        <w:tblLook w:val="04A0" w:firstRow="1" w:lastRow="0" w:firstColumn="1" w:lastColumn="0" w:noHBand="0" w:noVBand="1"/>
      </w:tblPr>
      <w:tblGrid>
        <w:gridCol w:w="9015"/>
      </w:tblGrid>
      <w:tr w:rsidR="2ABF8115" w14:paraId="2F290293" w14:textId="77777777" w:rsidTr="005B48D0">
        <w:trPr>
          <w:tblHeader/>
        </w:trPr>
        <w:tc>
          <w:tcPr>
            <w:tcW w:w="9015" w:type="dxa"/>
            <w:tcBorders>
              <w:top w:val="single" w:sz="8" w:space="0" w:color="auto"/>
              <w:left w:val="single" w:sz="8" w:space="0" w:color="auto"/>
              <w:bottom w:val="single" w:sz="8" w:space="0" w:color="auto"/>
              <w:right w:val="single" w:sz="8" w:space="0" w:color="auto"/>
            </w:tcBorders>
          </w:tcPr>
          <w:p w14:paraId="636ED48D" w14:textId="6717E120" w:rsidR="2ABF8115" w:rsidRDefault="2ABF8115">
            <w:r w:rsidRPr="2ABF8115">
              <w:rPr>
                <w:rFonts w:eastAsia="Arial" w:cs="Arial"/>
                <w:szCs w:val="24"/>
              </w:rPr>
              <w:t>Evidence of disability or additional need that may require reasonable adjustment</w:t>
            </w:r>
          </w:p>
          <w:p w14:paraId="6F0A5BD1" w14:textId="0EF28131" w:rsidR="2ABF8115" w:rsidRDefault="2ABF8115">
            <w:r w:rsidRPr="2ABF8115">
              <w:rPr>
                <w:rFonts w:eastAsia="Arial" w:cs="Arial"/>
                <w:szCs w:val="24"/>
              </w:rPr>
              <w:t xml:space="preserve"> </w:t>
            </w:r>
          </w:p>
          <w:p w14:paraId="32170387" w14:textId="6E6F10EA" w:rsidR="2ABF8115" w:rsidRDefault="2ABF8115">
            <w:r w:rsidRPr="2ABF8115">
              <w:rPr>
                <w:rFonts w:eastAsia="Arial" w:cs="Arial"/>
                <w:szCs w:val="24"/>
              </w:rPr>
              <w:t xml:space="preserve"> </w:t>
            </w:r>
          </w:p>
          <w:p w14:paraId="50C91999" w14:textId="30B73BF1" w:rsidR="2ABF8115" w:rsidRDefault="2ABF8115">
            <w:r w:rsidRPr="2ABF8115">
              <w:rPr>
                <w:rFonts w:eastAsia="Arial" w:cs="Arial"/>
                <w:szCs w:val="24"/>
              </w:rPr>
              <w:t xml:space="preserve">  </w:t>
            </w:r>
          </w:p>
          <w:p w14:paraId="34CDDDA5" w14:textId="444C5DB2" w:rsidR="2ABF8115" w:rsidRDefault="2ABF8115">
            <w:r w:rsidRPr="2ABF8115">
              <w:rPr>
                <w:rFonts w:eastAsia="Arial" w:cs="Arial"/>
                <w:szCs w:val="24"/>
              </w:rPr>
              <w:t xml:space="preserve"> </w:t>
            </w:r>
          </w:p>
          <w:p w14:paraId="19F154E7" w14:textId="4866B61B" w:rsidR="2ABF8115" w:rsidRDefault="2ABF8115">
            <w:r w:rsidRPr="2ABF8115">
              <w:rPr>
                <w:rFonts w:eastAsia="Arial" w:cs="Arial"/>
                <w:szCs w:val="24"/>
              </w:rPr>
              <w:t xml:space="preserve"> </w:t>
            </w:r>
          </w:p>
          <w:p w14:paraId="5C0CF349" w14:textId="4B51B5A2" w:rsidR="2ABF8115" w:rsidRDefault="2ABF8115">
            <w:r w:rsidRPr="2ABF8115">
              <w:rPr>
                <w:rFonts w:eastAsia="Arial" w:cs="Arial"/>
                <w:szCs w:val="24"/>
              </w:rPr>
              <w:t xml:space="preserve"> </w:t>
            </w:r>
          </w:p>
          <w:p w14:paraId="3630F746" w14:textId="10524DBA" w:rsidR="2ABF8115" w:rsidRDefault="2ABF8115">
            <w:r w:rsidRPr="2ABF8115">
              <w:rPr>
                <w:rFonts w:eastAsia="Arial" w:cs="Arial"/>
                <w:szCs w:val="24"/>
              </w:rPr>
              <w:t xml:space="preserve"> </w:t>
            </w:r>
          </w:p>
          <w:p w14:paraId="2658E4A2" w14:textId="29C92E4B" w:rsidR="2ABF8115" w:rsidRDefault="2ABF8115">
            <w:r w:rsidRPr="2ABF8115">
              <w:rPr>
                <w:rFonts w:eastAsia="Arial" w:cs="Arial"/>
                <w:szCs w:val="24"/>
              </w:rPr>
              <w:t xml:space="preserve"> </w:t>
            </w:r>
          </w:p>
          <w:p w14:paraId="305ECAE4" w14:textId="3B81588B" w:rsidR="2ABF8115" w:rsidRDefault="2ABF8115">
            <w:r w:rsidRPr="2ABF8115">
              <w:rPr>
                <w:rFonts w:eastAsia="Arial" w:cs="Arial"/>
                <w:szCs w:val="24"/>
              </w:rPr>
              <w:t xml:space="preserve"> </w:t>
            </w:r>
          </w:p>
          <w:p w14:paraId="4472C367" w14:textId="374C14D8" w:rsidR="2ABF8115" w:rsidRDefault="2ABF8115">
            <w:r w:rsidRPr="2ABF8115">
              <w:rPr>
                <w:rFonts w:eastAsia="Arial" w:cs="Arial"/>
                <w:szCs w:val="24"/>
              </w:rPr>
              <w:t xml:space="preserve"> </w:t>
            </w:r>
          </w:p>
          <w:p w14:paraId="773D6648" w14:textId="058CC379" w:rsidR="2ABF8115" w:rsidRDefault="2ABF8115">
            <w:r w:rsidRPr="2ABF8115">
              <w:rPr>
                <w:rFonts w:eastAsia="Arial" w:cs="Arial"/>
                <w:szCs w:val="24"/>
              </w:rPr>
              <w:t xml:space="preserve"> </w:t>
            </w:r>
          </w:p>
          <w:p w14:paraId="540FDB24" w14:textId="0101AA3C" w:rsidR="2ABF8115" w:rsidRDefault="2ABF8115">
            <w:r w:rsidRPr="2ABF8115">
              <w:rPr>
                <w:rFonts w:eastAsia="Arial" w:cs="Arial"/>
                <w:szCs w:val="24"/>
              </w:rPr>
              <w:t xml:space="preserve"> </w:t>
            </w:r>
          </w:p>
          <w:p w14:paraId="1CF8CC80" w14:textId="0C354109" w:rsidR="2ABF8115" w:rsidRDefault="2ABF8115" w:rsidP="2ABF8115">
            <w:pPr>
              <w:rPr>
                <w:rFonts w:eastAsia="Arial" w:cs="Arial"/>
                <w:szCs w:val="24"/>
              </w:rPr>
            </w:pPr>
          </w:p>
          <w:p w14:paraId="57FF661B" w14:textId="71A04DB3" w:rsidR="2ABF8115" w:rsidRDefault="2ABF8115" w:rsidP="2ABF8115">
            <w:pPr>
              <w:rPr>
                <w:rFonts w:eastAsia="Arial" w:cs="Arial"/>
                <w:szCs w:val="24"/>
              </w:rPr>
            </w:pPr>
          </w:p>
          <w:p w14:paraId="7B5E8857" w14:textId="5CB802E4" w:rsidR="2ABF8115" w:rsidRDefault="2ABF8115" w:rsidP="2ABF8115">
            <w:pPr>
              <w:rPr>
                <w:rFonts w:eastAsia="Arial" w:cs="Arial"/>
                <w:szCs w:val="24"/>
              </w:rPr>
            </w:pPr>
          </w:p>
          <w:p w14:paraId="18E03D89" w14:textId="35018DC8" w:rsidR="2ABF8115" w:rsidRDefault="2ABF8115" w:rsidP="2ABF8115">
            <w:pPr>
              <w:rPr>
                <w:rFonts w:eastAsia="Arial" w:cs="Arial"/>
                <w:szCs w:val="24"/>
              </w:rPr>
            </w:pPr>
          </w:p>
          <w:p w14:paraId="0851F156" w14:textId="2EE2393C" w:rsidR="2ABF8115" w:rsidRDefault="2ABF8115" w:rsidP="2ABF8115">
            <w:pPr>
              <w:rPr>
                <w:rFonts w:eastAsia="Arial" w:cs="Arial"/>
                <w:szCs w:val="24"/>
              </w:rPr>
            </w:pPr>
          </w:p>
          <w:p w14:paraId="54CD124B" w14:textId="1E75EC14" w:rsidR="2ABF8115" w:rsidRDefault="2ABF8115" w:rsidP="2ABF8115">
            <w:pPr>
              <w:rPr>
                <w:rFonts w:eastAsia="Arial" w:cs="Arial"/>
                <w:szCs w:val="24"/>
              </w:rPr>
            </w:pPr>
          </w:p>
          <w:p w14:paraId="74ABF6E1" w14:textId="62207EA4" w:rsidR="2ABF8115" w:rsidRDefault="2ABF8115" w:rsidP="2ABF8115">
            <w:pPr>
              <w:rPr>
                <w:rFonts w:eastAsia="Arial" w:cs="Arial"/>
                <w:szCs w:val="24"/>
              </w:rPr>
            </w:pPr>
          </w:p>
          <w:p w14:paraId="0C956091" w14:textId="7C256552" w:rsidR="2ABF8115" w:rsidRDefault="2ABF8115" w:rsidP="2ABF8115">
            <w:pPr>
              <w:rPr>
                <w:rFonts w:eastAsia="Arial" w:cs="Arial"/>
                <w:szCs w:val="24"/>
              </w:rPr>
            </w:pPr>
          </w:p>
          <w:p w14:paraId="78573506" w14:textId="2F87D838" w:rsidR="2ABF8115" w:rsidRDefault="2ABF8115" w:rsidP="2ABF8115">
            <w:pPr>
              <w:rPr>
                <w:rFonts w:eastAsia="Arial" w:cs="Arial"/>
                <w:szCs w:val="24"/>
              </w:rPr>
            </w:pPr>
          </w:p>
          <w:p w14:paraId="14EBF750" w14:textId="5AAD2973" w:rsidR="2ABF8115" w:rsidRDefault="2ABF8115" w:rsidP="2ABF8115">
            <w:pPr>
              <w:rPr>
                <w:rFonts w:eastAsia="Arial" w:cs="Arial"/>
                <w:szCs w:val="24"/>
              </w:rPr>
            </w:pPr>
          </w:p>
          <w:p w14:paraId="3D45C271" w14:textId="1F46D24A" w:rsidR="2ABF8115" w:rsidRDefault="2ABF8115">
            <w:r w:rsidRPr="2ABF8115">
              <w:rPr>
                <w:rFonts w:eastAsia="Arial" w:cs="Arial"/>
                <w:szCs w:val="24"/>
              </w:rPr>
              <w:t xml:space="preserve"> </w:t>
            </w:r>
          </w:p>
          <w:p w14:paraId="4F885E1C" w14:textId="49FB8272" w:rsidR="2ABF8115" w:rsidRDefault="2ABF8115">
            <w:r w:rsidRPr="2ABF8115">
              <w:rPr>
                <w:rFonts w:eastAsia="Arial" w:cs="Arial"/>
                <w:szCs w:val="24"/>
              </w:rPr>
              <w:t xml:space="preserve"> </w:t>
            </w:r>
          </w:p>
          <w:p w14:paraId="350889AF" w14:textId="19783C82" w:rsidR="2ABF8115" w:rsidRDefault="2ABF8115">
            <w:r w:rsidRPr="55978C6F">
              <w:rPr>
                <w:rFonts w:eastAsia="Arial" w:cs="Arial"/>
                <w:szCs w:val="24"/>
              </w:rPr>
              <w:t xml:space="preserve">(Copy of evidence to be attached </w:t>
            </w:r>
            <w:r w:rsidR="0A322282" w:rsidRPr="55978C6F">
              <w:rPr>
                <w:rFonts w:eastAsia="Arial" w:cs="Arial"/>
                <w:szCs w:val="24"/>
              </w:rPr>
              <w:t>e.g.,</w:t>
            </w:r>
            <w:r w:rsidRPr="55978C6F">
              <w:rPr>
                <w:rFonts w:eastAsia="Arial" w:cs="Arial"/>
                <w:szCs w:val="24"/>
              </w:rPr>
              <w:t xml:space="preserve"> inclusion plan)</w:t>
            </w:r>
          </w:p>
        </w:tc>
      </w:tr>
    </w:tbl>
    <w:p w14:paraId="30B1DB83" w14:textId="60914830" w:rsidR="0DE3BBD7" w:rsidRDefault="0DE3BBD7">
      <w:r w:rsidRPr="2ABF8115">
        <w:rPr>
          <w:rFonts w:eastAsia="Arial" w:cs="Arial"/>
          <w:color w:val="7030A0"/>
          <w:szCs w:val="24"/>
        </w:rPr>
        <w:lastRenderedPageBreak/>
        <w:t xml:space="preserve"> </w:t>
      </w:r>
    </w:p>
    <w:p w14:paraId="2E44E711" w14:textId="23D37F0A" w:rsidR="0DE3BBD7" w:rsidRDefault="0DE3BBD7">
      <w:r w:rsidRPr="2ABF8115">
        <w:rPr>
          <w:rFonts w:eastAsia="Arial" w:cs="Arial"/>
          <w:color w:val="7030A0"/>
          <w:szCs w:val="24"/>
        </w:rPr>
        <w:t xml:space="preserve"> </w:t>
      </w:r>
    </w:p>
    <w:p w14:paraId="50678777" w14:textId="774D8CC3" w:rsidR="0DE3BBD7" w:rsidRDefault="0DE3BBD7">
      <w:r w:rsidRPr="2ABF8115">
        <w:rPr>
          <w:rFonts w:eastAsia="Arial" w:cs="Arial"/>
          <w:color w:val="7030A0"/>
          <w:szCs w:val="24"/>
        </w:rPr>
        <w:t xml:space="preserve"> </w:t>
      </w:r>
    </w:p>
    <w:p w14:paraId="41A80292" w14:textId="089B2BBF" w:rsidR="0DE3BBD7" w:rsidRDefault="0DE3BBD7">
      <w:r w:rsidRPr="2ABF8115">
        <w:rPr>
          <w:rFonts w:eastAsia="Arial" w:cs="Arial"/>
          <w:szCs w:val="24"/>
        </w:rPr>
        <w:t xml:space="preserve">The apprentice should identify which of the following access arrangements/reasonable adjustments would be relevant using the table </w:t>
      </w:r>
      <w:proofErr w:type="gramStart"/>
      <w:r w:rsidRPr="2ABF8115">
        <w:rPr>
          <w:rFonts w:eastAsia="Arial" w:cs="Arial"/>
          <w:szCs w:val="24"/>
        </w:rPr>
        <w:t>below;</w:t>
      </w:r>
      <w:proofErr w:type="gramEnd"/>
    </w:p>
    <w:p w14:paraId="78C51B3C" w14:textId="5A1E1518" w:rsidR="0DE3BBD7" w:rsidRDefault="0DE3BBD7">
      <w:r w:rsidRPr="2ABF8115">
        <w:rPr>
          <w:rFonts w:eastAsia="Arial" w:cs="Arial"/>
          <w:szCs w:val="24"/>
        </w:rPr>
        <w:t xml:space="preserve"> </w:t>
      </w:r>
    </w:p>
    <w:tbl>
      <w:tblPr>
        <w:tblW w:w="0" w:type="auto"/>
        <w:tblLayout w:type="fixed"/>
        <w:tblLook w:val="04A0" w:firstRow="1" w:lastRow="0" w:firstColumn="1" w:lastColumn="0" w:noHBand="0" w:noVBand="1"/>
      </w:tblPr>
      <w:tblGrid>
        <w:gridCol w:w="654"/>
        <w:gridCol w:w="5356"/>
        <w:gridCol w:w="3005"/>
      </w:tblGrid>
      <w:tr w:rsidR="2ABF8115" w14:paraId="39ED5A06" w14:textId="77777777" w:rsidTr="005B48D0">
        <w:trPr>
          <w:trHeight w:val="345"/>
          <w:tblHeader/>
        </w:trPr>
        <w:tc>
          <w:tcPr>
            <w:tcW w:w="60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6EEC4DD9" w14:textId="259B3FA8" w:rsidR="2ABF8115" w:rsidRDefault="2ABF8115">
            <w:r w:rsidRPr="55978C6F">
              <w:rPr>
                <w:rFonts w:eastAsia="Arial" w:cs="Arial"/>
                <w:szCs w:val="24"/>
              </w:rPr>
              <w:t>Apprentice use only</w:t>
            </w:r>
          </w:p>
        </w:tc>
        <w:tc>
          <w:tcPr>
            <w:tcW w:w="30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Pr>
          <w:p w14:paraId="5025E754" w14:textId="2BAD76BC" w:rsidR="2ABF8115" w:rsidRDefault="2ABF8115">
            <w:r w:rsidRPr="2ABF8115">
              <w:rPr>
                <w:rFonts w:eastAsia="Arial" w:cs="Arial"/>
                <w:color w:val="000000" w:themeColor="text1"/>
                <w:szCs w:val="24"/>
              </w:rPr>
              <w:t>Office use only</w:t>
            </w:r>
          </w:p>
        </w:tc>
      </w:tr>
      <w:tr w:rsidR="2ABF8115" w14:paraId="71DE5A24" w14:textId="77777777" w:rsidTr="55978C6F">
        <w:trPr>
          <w:trHeight w:val="345"/>
        </w:trPr>
        <w:tc>
          <w:tcPr>
            <w:tcW w:w="60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54A2C6C0" w14:textId="1612D041" w:rsidR="2ABF8115" w:rsidRDefault="2ABF8115">
            <w:r w:rsidRPr="2ABF8115">
              <w:rPr>
                <w:rFonts w:eastAsia="Arial" w:cs="Arial"/>
                <w:color w:val="000000" w:themeColor="text1"/>
                <w:szCs w:val="24"/>
              </w:rPr>
              <w:t>Please tick relevant boxes</w:t>
            </w:r>
          </w:p>
        </w:tc>
        <w:tc>
          <w:tcPr>
            <w:tcW w:w="30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Pr>
          <w:p w14:paraId="0463F150" w14:textId="7F4C119A" w:rsidR="2ABF8115" w:rsidRDefault="2ABF8115">
            <w:r w:rsidRPr="2ABF8115">
              <w:rPr>
                <w:rFonts w:eastAsia="Arial" w:cs="Arial"/>
                <w:color w:val="000000" w:themeColor="text1"/>
                <w:szCs w:val="24"/>
              </w:rPr>
              <w:t>Comment</w:t>
            </w:r>
          </w:p>
        </w:tc>
      </w:tr>
      <w:tr w:rsidR="2ABF8115" w14:paraId="7969C962" w14:textId="77777777" w:rsidTr="55978C6F">
        <w:tc>
          <w:tcPr>
            <w:tcW w:w="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C635AB" w14:textId="74C7DBF8" w:rsidR="2ABF8115" w:rsidRDefault="2ABF8115"/>
        </w:tc>
        <w:tc>
          <w:tcPr>
            <w:tcW w:w="5356" w:type="dxa"/>
            <w:tcBorders>
              <w:top w:val="nil"/>
              <w:left w:val="single" w:sz="8" w:space="0" w:color="000000" w:themeColor="text1"/>
              <w:bottom w:val="single" w:sz="8" w:space="0" w:color="000000" w:themeColor="text1"/>
              <w:right w:val="single" w:sz="8" w:space="0" w:color="000000" w:themeColor="text1"/>
            </w:tcBorders>
          </w:tcPr>
          <w:p w14:paraId="33B7FA5E" w14:textId="02CC9F45" w:rsidR="2ABF8115" w:rsidRDefault="2ABF8115">
            <w:r w:rsidRPr="2ABF8115">
              <w:rPr>
                <w:rFonts w:eastAsia="Arial" w:cs="Arial"/>
                <w:szCs w:val="24"/>
              </w:rPr>
              <w:t>Apprentice is recording disability for information only and does not require particular access arrangements or other reasonable adjustments.</w:t>
            </w:r>
          </w:p>
        </w:tc>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B6DF00" w14:textId="30A2DF28" w:rsidR="2ABF8115" w:rsidRDefault="2ABF8115">
            <w:r w:rsidRPr="2ABF8115">
              <w:rPr>
                <w:rFonts w:eastAsia="Arial" w:cs="Arial"/>
                <w:szCs w:val="24"/>
              </w:rPr>
              <w:t xml:space="preserve"> </w:t>
            </w:r>
          </w:p>
        </w:tc>
      </w:tr>
      <w:tr w:rsidR="2ABF8115" w14:paraId="348BE779" w14:textId="77777777" w:rsidTr="55978C6F">
        <w:tc>
          <w:tcPr>
            <w:tcW w:w="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CB8AE0" w14:textId="0A76B1F9" w:rsidR="2ABF8115" w:rsidRDefault="2ABF8115"/>
        </w:tc>
        <w:tc>
          <w:tcPr>
            <w:tcW w:w="5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9039C4" w14:textId="75122526" w:rsidR="2ABF8115" w:rsidRDefault="2ABF8115">
            <w:r w:rsidRPr="2ABF8115">
              <w:rPr>
                <w:rFonts w:eastAsia="Arial" w:cs="Arial"/>
                <w:szCs w:val="24"/>
              </w:rPr>
              <w:t xml:space="preserve">Wheelchair access and table/desk risers or other special access requirements. </w:t>
            </w:r>
          </w:p>
          <w:p w14:paraId="6517E608" w14:textId="10361F46" w:rsidR="2ABF8115" w:rsidRDefault="2ABF8115">
            <w:r w:rsidRPr="2ABF8115">
              <w:rPr>
                <w:rFonts w:eastAsia="Arial" w:cs="Arial"/>
                <w:szCs w:val="24"/>
              </w:rPr>
              <w:t xml:space="preserve"> </w:t>
            </w:r>
          </w:p>
          <w:p w14:paraId="43ECA131" w14:textId="6E6DEB57" w:rsidR="2ABF8115" w:rsidRDefault="2ABF8115">
            <w:r w:rsidRPr="2ABF8115">
              <w:rPr>
                <w:rFonts w:eastAsia="Arial" w:cs="Arial"/>
                <w:szCs w:val="24"/>
              </w:rPr>
              <w:t>Please specify requirements:</w:t>
            </w:r>
          </w:p>
          <w:p w14:paraId="78B53ADB" w14:textId="6EB1A7E9" w:rsidR="2ABF8115" w:rsidRDefault="2ABF8115">
            <w:r w:rsidRPr="2ABF8115">
              <w:rPr>
                <w:rFonts w:eastAsia="Arial" w:cs="Arial"/>
                <w:szCs w:val="24"/>
              </w:rPr>
              <w:t xml:space="preserve"> </w:t>
            </w:r>
          </w:p>
        </w:tc>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E485D7" w14:textId="66B5A141" w:rsidR="2ABF8115" w:rsidRDefault="2ABF8115">
            <w:r w:rsidRPr="2ABF8115">
              <w:rPr>
                <w:rFonts w:eastAsia="Arial" w:cs="Arial"/>
                <w:szCs w:val="24"/>
              </w:rPr>
              <w:t xml:space="preserve"> </w:t>
            </w:r>
          </w:p>
        </w:tc>
      </w:tr>
      <w:tr w:rsidR="2ABF8115" w14:paraId="0B76708E" w14:textId="77777777" w:rsidTr="55978C6F">
        <w:tc>
          <w:tcPr>
            <w:tcW w:w="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1F84AF" w14:textId="4371C2FE" w:rsidR="2ABF8115" w:rsidRDefault="2ABF8115"/>
        </w:tc>
        <w:tc>
          <w:tcPr>
            <w:tcW w:w="5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5F50E1" w14:textId="31E1441B" w:rsidR="2ABF8115" w:rsidRDefault="2ABF8115">
            <w:r w:rsidRPr="2ABF8115">
              <w:rPr>
                <w:rFonts w:eastAsia="Arial" w:cs="Arial"/>
                <w:szCs w:val="24"/>
              </w:rPr>
              <w:t xml:space="preserve">Printed materials in accessible format. </w:t>
            </w:r>
          </w:p>
          <w:p w14:paraId="5ADE98CA" w14:textId="77F8714D" w:rsidR="2ABF8115" w:rsidRDefault="2ABF8115">
            <w:r w:rsidRPr="2ABF8115">
              <w:rPr>
                <w:rFonts w:eastAsia="Arial" w:cs="Arial"/>
                <w:szCs w:val="24"/>
              </w:rPr>
              <w:t xml:space="preserve"> </w:t>
            </w:r>
          </w:p>
          <w:p w14:paraId="226B1797" w14:textId="3434733C" w:rsidR="2ABF8115" w:rsidRDefault="2ABF8115">
            <w:r w:rsidRPr="2ABF8115">
              <w:rPr>
                <w:rFonts w:eastAsia="Arial" w:cs="Arial"/>
                <w:szCs w:val="24"/>
              </w:rPr>
              <w:t>Please specify preferred format:</w:t>
            </w:r>
          </w:p>
          <w:p w14:paraId="2385E77C" w14:textId="3AB49F31" w:rsidR="2ABF8115" w:rsidRDefault="2ABF8115">
            <w:r w:rsidRPr="2ABF8115">
              <w:rPr>
                <w:rFonts w:eastAsia="Arial" w:cs="Arial"/>
                <w:szCs w:val="24"/>
              </w:rPr>
              <w:t xml:space="preserve"> </w:t>
            </w:r>
          </w:p>
        </w:tc>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D2F7EE" w14:textId="3CFF2E51" w:rsidR="2ABF8115" w:rsidRDefault="2ABF8115">
            <w:r w:rsidRPr="2ABF8115">
              <w:rPr>
                <w:rFonts w:eastAsia="Arial" w:cs="Arial"/>
                <w:szCs w:val="24"/>
              </w:rPr>
              <w:t xml:space="preserve"> </w:t>
            </w:r>
          </w:p>
        </w:tc>
      </w:tr>
      <w:tr w:rsidR="2ABF8115" w14:paraId="12D82C5B" w14:textId="77777777" w:rsidTr="55978C6F">
        <w:tc>
          <w:tcPr>
            <w:tcW w:w="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220115" w14:textId="589C835C" w:rsidR="2ABF8115" w:rsidRDefault="2ABF8115"/>
        </w:tc>
        <w:tc>
          <w:tcPr>
            <w:tcW w:w="5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13B365" w14:textId="69527991" w:rsidR="2ABF8115" w:rsidRDefault="2ABF8115">
            <w:r w:rsidRPr="2ABF8115">
              <w:rPr>
                <w:rFonts w:eastAsia="Arial" w:cs="Arial"/>
                <w:szCs w:val="24"/>
              </w:rPr>
              <w:t xml:space="preserve">Use of specialist software in the relevant EPA element (as provided by the employer) </w:t>
            </w:r>
          </w:p>
          <w:p w14:paraId="49C95289" w14:textId="7837606E" w:rsidR="2ABF8115" w:rsidRDefault="2ABF8115">
            <w:r w:rsidRPr="2ABF8115">
              <w:rPr>
                <w:rFonts w:eastAsia="Arial" w:cs="Arial"/>
                <w:szCs w:val="24"/>
              </w:rPr>
              <w:t xml:space="preserve"> </w:t>
            </w:r>
          </w:p>
          <w:p w14:paraId="2DFA4E00" w14:textId="1776EDF9" w:rsidR="2ABF8115" w:rsidRDefault="2ABF8115">
            <w:r w:rsidRPr="2ABF8115">
              <w:rPr>
                <w:rFonts w:eastAsia="Arial" w:cs="Arial"/>
                <w:szCs w:val="24"/>
              </w:rPr>
              <w:t>Please specify:</w:t>
            </w:r>
          </w:p>
          <w:p w14:paraId="4D64386C" w14:textId="16A63FB3" w:rsidR="2ABF8115" w:rsidRDefault="2ABF8115">
            <w:r w:rsidRPr="2ABF8115">
              <w:rPr>
                <w:rFonts w:eastAsia="Arial" w:cs="Arial"/>
                <w:szCs w:val="24"/>
              </w:rPr>
              <w:t xml:space="preserve"> </w:t>
            </w:r>
          </w:p>
        </w:tc>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27A620" w14:textId="32FC3FFE" w:rsidR="2ABF8115" w:rsidRDefault="2ABF8115">
            <w:r w:rsidRPr="2ABF8115">
              <w:rPr>
                <w:rFonts w:eastAsia="Arial" w:cs="Arial"/>
                <w:szCs w:val="24"/>
              </w:rPr>
              <w:t xml:space="preserve"> </w:t>
            </w:r>
          </w:p>
        </w:tc>
      </w:tr>
      <w:tr w:rsidR="2ABF8115" w14:paraId="5DA2C888" w14:textId="77777777" w:rsidTr="55978C6F">
        <w:tc>
          <w:tcPr>
            <w:tcW w:w="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C0BA90" w14:textId="3680A7F2" w:rsidR="2ABF8115" w:rsidRDefault="2ABF8115"/>
        </w:tc>
        <w:tc>
          <w:tcPr>
            <w:tcW w:w="5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4DCC6D" w14:textId="4EC17C11" w:rsidR="2ABF8115" w:rsidRDefault="2ABF8115">
            <w:r w:rsidRPr="2ABF8115">
              <w:rPr>
                <w:rFonts w:eastAsia="Arial" w:cs="Arial"/>
                <w:szCs w:val="24"/>
              </w:rPr>
              <w:t>A reader to read aloud EPA instructions.</w:t>
            </w:r>
          </w:p>
          <w:p w14:paraId="66D2A836" w14:textId="61B79138" w:rsidR="2ABF8115" w:rsidRDefault="2ABF8115">
            <w:r w:rsidRPr="2ABF8115">
              <w:rPr>
                <w:rFonts w:eastAsia="Arial" w:cs="Arial"/>
                <w:szCs w:val="24"/>
              </w:rPr>
              <w:t xml:space="preserve"> </w:t>
            </w:r>
          </w:p>
        </w:tc>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2D0D3C" w14:textId="0AD5452C" w:rsidR="2ABF8115" w:rsidRDefault="2ABF8115">
            <w:r w:rsidRPr="2ABF8115">
              <w:rPr>
                <w:rFonts w:eastAsia="Arial" w:cs="Arial"/>
                <w:szCs w:val="24"/>
              </w:rPr>
              <w:t xml:space="preserve"> </w:t>
            </w:r>
          </w:p>
        </w:tc>
      </w:tr>
      <w:tr w:rsidR="2ABF8115" w14:paraId="1F4B38A1" w14:textId="77777777" w:rsidTr="55978C6F">
        <w:tc>
          <w:tcPr>
            <w:tcW w:w="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AB84BD" w14:textId="6F45C4A0" w:rsidR="2ABF8115" w:rsidRDefault="2ABF8115"/>
        </w:tc>
        <w:tc>
          <w:tcPr>
            <w:tcW w:w="5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4523D4" w14:textId="3E927607" w:rsidR="2ABF8115" w:rsidRDefault="2ABF8115">
            <w:r w:rsidRPr="2ABF8115">
              <w:rPr>
                <w:rFonts w:eastAsia="Arial" w:cs="Arial"/>
                <w:szCs w:val="24"/>
              </w:rPr>
              <w:t>A scribe for written EPA elements.</w:t>
            </w:r>
          </w:p>
          <w:p w14:paraId="4F43264B" w14:textId="7FD5FC9D" w:rsidR="2ABF8115" w:rsidRDefault="2ABF8115">
            <w:r w:rsidRPr="2ABF8115">
              <w:rPr>
                <w:rFonts w:eastAsia="Arial" w:cs="Arial"/>
                <w:szCs w:val="24"/>
              </w:rPr>
              <w:lastRenderedPageBreak/>
              <w:t xml:space="preserve"> </w:t>
            </w:r>
          </w:p>
        </w:tc>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CA0E28" w14:textId="2856D217" w:rsidR="2ABF8115" w:rsidRDefault="2ABF8115">
            <w:r w:rsidRPr="2ABF8115">
              <w:rPr>
                <w:rFonts w:eastAsia="Arial" w:cs="Arial"/>
                <w:szCs w:val="24"/>
              </w:rPr>
              <w:lastRenderedPageBreak/>
              <w:t xml:space="preserve"> </w:t>
            </w:r>
          </w:p>
        </w:tc>
      </w:tr>
      <w:tr w:rsidR="2ABF8115" w14:paraId="273503CC" w14:textId="77777777" w:rsidTr="55978C6F">
        <w:tc>
          <w:tcPr>
            <w:tcW w:w="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8E123E" w14:textId="26D901FE" w:rsidR="2ABF8115" w:rsidRDefault="2ABF8115"/>
        </w:tc>
        <w:tc>
          <w:tcPr>
            <w:tcW w:w="5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D3DC1A" w14:textId="1A3AFAAE" w:rsidR="2ABF8115" w:rsidRDefault="2ABF8115">
            <w:r w:rsidRPr="2ABF8115">
              <w:rPr>
                <w:rFonts w:eastAsia="Arial" w:cs="Arial"/>
                <w:szCs w:val="24"/>
              </w:rPr>
              <w:t>Use of coloured overlay and coloured ruler (to be provided by the apprentice as appropriate for their diagnosis).</w:t>
            </w:r>
          </w:p>
        </w:tc>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001378" w14:textId="78F61090" w:rsidR="2ABF8115" w:rsidRDefault="2ABF8115">
            <w:r w:rsidRPr="2ABF8115">
              <w:rPr>
                <w:rFonts w:eastAsia="Arial" w:cs="Arial"/>
                <w:szCs w:val="24"/>
              </w:rPr>
              <w:t xml:space="preserve"> </w:t>
            </w:r>
          </w:p>
        </w:tc>
      </w:tr>
      <w:tr w:rsidR="2ABF8115" w14:paraId="2EB0B92E" w14:textId="77777777" w:rsidTr="55978C6F">
        <w:tc>
          <w:tcPr>
            <w:tcW w:w="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2516E5" w14:textId="3605CC82" w:rsidR="2ABF8115" w:rsidRDefault="2ABF8115"/>
        </w:tc>
        <w:tc>
          <w:tcPr>
            <w:tcW w:w="5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BC1DB4" w14:textId="5ECE5A6E" w:rsidR="2ABF8115" w:rsidRDefault="2ABF8115">
            <w:r w:rsidRPr="2ABF8115">
              <w:rPr>
                <w:rFonts w:eastAsia="Arial" w:cs="Arial"/>
                <w:szCs w:val="24"/>
              </w:rPr>
              <w:t>Dispensation of the station mark scheme relating to spelling errors where spelling errors will not compromise patient safety.</w:t>
            </w:r>
          </w:p>
        </w:tc>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78E377" w14:textId="1E43BFE7" w:rsidR="2ABF8115" w:rsidRDefault="2ABF8115">
            <w:r w:rsidRPr="2ABF8115">
              <w:rPr>
                <w:rFonts w:eastAsia="Arial" w:cs="Arial"/>
                <w:szCs w:val="24"/>
              </w:rPr>
              <w:t xml:space="preserve"> </w:t>
            </w:r>
          </w:p>
        </w:tc>
      </w:tr>
      <w:tr w:rsidR="2ABF8115" w14:paraId="1633EE40" w14:textId="77777777" w:rsidTr="55978C6F">
        <w:tc>
          <w:tcPr>
            <w:tcW w:w="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A43568" w14:textId="3BB2AB2B" w:rsidR="2ABF8115" w:rsidRDefault="2ABF8115"/>
        </w:tc>
        <w:tc>
          <w:tcPr>
            <w:tcW w:w="5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03937F" w14:textId="3366E588" w:rsidR="2ABF8115" w:rsidRDefault="2ABF8115">
            <w:r w:rsidRPr="2ABF8115">
              <w:rPr>
                <w:rFonts w:eastAsia="Arial" w:cs="Arial"/>
                <w:szCs w:val="24"/>
              </w:rPr>
              <w:t>Extra time as appropriate to the requirements of their disability.</w:t>
            </w:r>
          </w:p>
        </w:tc>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FFECE9" w14:textId="1E5A0947" w:rsidR="2ABF8115" w:rsidRDefault="2ABF8115">
            <w:r w:rsidRPr="2ABF8115">
              <w:rPr>
                <w:rFonts w:eastAsia="Arial" w:cs="Arial"/>
                <w:szCs w:val="24"/>
              </w:rPr>
              <w:t xml:space="preserve"> </w:t>
            </w:r>
          </w:p>
        </w:tc>
      </w:tr>
      <w:tr w:rsidR="2ABF8115" w14:paraId="1B512D48" w14:textId="77777777" w:rsidTr="55978C6F">
        <w:tc>
          <w:tcPr>
            <w:tcW w:w="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2D07DC" w14:textId="14086FF1" w:rsidR="2ABF8115" w:rsidRDefault="2ABF8115"/>
        </w:tc>
        <w:tc>
          <w:tcPr>
            <w:tcW w:w="5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07271C" w14:textId="5B3A6203" w:rsidR="2ABF8115" w:rsidRDefault="2ABF8115">
            <w:r w:rsidRPr="2ABF8115">
              <w:rPr>
                <w:rFonts w:eastAsia="Arial" w:cs="Arial"/>
                <w:szCs w:val="24"/>
              </w:rPr>
              <w:t xml:space="preserve">Other access arrangements or reasonable adjustments. </w:t>
            </w:r>
          </w:p>
          <w:p w14:paraId="67825044" w14:textId="00D2DAE3" w:rsidR="2ABF8115" w:rsidRDefault="2ABF8115">
            <w:r w:rsidRPr="2ABF8115">
              <w:rPr>
                <w:rFonts w:eastAsia="Arial" w:cs="Arial"/>
                <w:szCs w:val="24"/>
              </w:rPr>
              <w:t xml:space="preserve"> </w:t>
            </w:r>
          </w:p>
          <w:p w14:paraId="56F89408" w14:textId="7B7F358A" w:rsidR="2ABF8115" w:rsidRDefault="2ABF8115">
            <w:r w:rsidRPr="2ABF8115">
              <w:rPr>
                <w:rFonts w:eastAsia="Arial" w:cs="Arial"/>
                <w:szCs w:val="24"/>
              </w:rPr>
              <w:t>Please specify:</w:t>
            </w:r>
          </w:p>
        </w:tc>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216E1C" w14:textId="7D0EE6AA" w:rsidR="2ABF8115" w:rsidRDefault="2ABF8115">
            <w:r w:rsidRPr="2ABF8115">
              <w:rPr>
                <w:rFonts w:eastAsia="Arial" w:cs="Arial"/>
                <w:szCs w:val="24"/>
              </w:rPr>
              <w:t xml:space="preserve"> </w:t>
            </w:r>
          </w:p>
        </w:tc>
      </w:tr>
    </w:tbl>
    <w:p w14:paraId="040E5000" w14:textId="727B7028" w:rsidR="0DE3BBD7" w:rsidRDefault="0DE3BBD7">
      <w:r w:rsidRPr="2ABF8115">
        <w:rPr>
          <w:rFonts w:eastAsia="Arial" w:cs="Arial"/>
          <w:szCs w:val="24"/>
        </w:rPr>
        <w:t xml:space="preserve"> </w:t>
      </w:r>
    </w:p>
    <w:p w14:paraId="460EF4A7" w14:textId="2F210249" w:rsidR="0DE3BBD7" w:rsidRDefault="0DE3BBD7">
      <w:r w:rsidRPr="2ABF8115">
        <w:rPr>
          <w:rFonts w:eastAsia="Arial" w:cs="Arial"/>
          <w:szCs w:val="24"/>
        </w:rPr>
        <w:t xml:space="preserve"> </w:t>
      </w:r>
    </w:p>
    <w:p w14:paraId="4C98F933" w14:textId="562F72FE" w:rsidR="0DE3BBD7" w:rsidRDefault="0DE3BBD7">
      <w:r w:rsidRPr="55978C6F">
        <w:rPr>
          <w:rFonts w:eastAsia="Arial" w:cs="Arial"/>
          <w:szCs w:val="24"/>
        </w:rPr>
        <w:t xml:space="preserve">The </w:t>
      </w:r>
      <w:r w:rsidR="132C7244" w:rsidRPr="55978C6F">
        <w:rPr>
          <w:rFonts w:eastAsia="Arial" w:cs="Arial"/>
          <w:szCs w:val="24"/>
        </w:rPr>
        <w:t>EPAO will</w:t>
      </w:r>
      <w:r w:rsidRPr="55978C6F">
        <w:rPr>
          <w:rFonts w:eastAsia="Arial" w:cs="Arial"/>
          <w:szCs w:val="24"/>
        </w:rPr>
        <w:t xml:space="preserve"> consider the apprentice’s evidence and request for access arrangements and/or reasonable adjustments, and notify the apprentice which of their requests, or blend of requests, can be accommodated and reasons for any that cannot.</w:t>
      </w:r>
    </w:p>
    <w:p w14:paraId="008F48EE" w14:textId="41EB009B" w:rsidR="0DE3BBD7" w:rsidRDefault="0DE3BBD7">
      <w:r w:rsidRPr="2ABF8115">
        <w:rPr>
          <w:rFonts w:eastAsia="Arial" w:cs="Arial"/>
          <w:color w:val="7030A0"/>
          <w:szCs w:val="24"/>
        </w:rPr>
        <w:t xml:space="preserve"> </w:t>
      </w:r>
    </w:p>
    <w:p w14:paraId="44803DE5" w14:textId="5AEB3F80" w:rsidR="0DE3BBD7" w:rsidRDefault="0DE3BBD7" w:rsidP="2ABF8115">
      <w:pPr>
        <w:tabs>
          <w:tab w:val="left" w:pos="1170"/>
        </w:tabs>
      </w:pPr>
      <w:r w:rsidRPr="2ABF8115">
        <w:rPr>
          <w:rFonts w:eastAsia="Arial" w:cs="Arial"/>
          <w:color w:val="7030A0"/>
          <w:szCs w:val="24"/>
        </w:rPr>
        <w:t xml:space="preserve">                    </w:t>
      </w:r>
    </w:p>
    <w:tbl>
      <w:tblPr>
        <w:tblStyle w:val="TableGrid"/>
        <w:tblW w:w="0" w:type="auto"/>
        <w:tblLayout w:type="fixed"/>
        <w:tblLook w:val="04A0" w:firstRow="1" w:lastRow="0" w:firstColumn="1" w:lastColumn="0" w:noHBand="0" w:noVBand="1"/>
      </w:tblPr>
      <w:tblGrid>
        <w:gridCol w:w="3005"/>
        <w:gridCol w:w="3005"/>
        <w:gridCol w:w="3005"/>
      </w:tblGrid>
      <w:tr w:rsidR="2ABF8115" w14:paraId="555F2716" w14:textId="77777777" w:rsidTr="005B48D0">
        <w:trPr>
          <w:tblHeader/>
        </w:trPr>
        <w:tc>
          <w:tcPr>
            <w:tcW w:w="3005" w:type="dxa"/>
            <w:tcBorders>
              <w:top w:val="single" w:sz="8" w:space="0" w:color="auto"/>
              <w:left w:val="single" w:sz="8" w:space="0" w:color="auto"/>
              <w:bottom w:val="single" w:sz="8" w:space="0" w:color="auto"/>
              <w:right w:val="single" w:sz="8" w:space="0" w:color="auto"/>
            </w:tcBorders>
          </w:tcPr>
          <w:p w14:paraId="0E8715A4" w14:textId="08573622" w:rsidR="2ABF8115" w:rsidRDefault="2ABF8115" w:rsidP="2ABF8115">
            <w:pPr>
              <w:tabs>
                <w:tab w:val="left" w:pos="1170"/>
              </w:tabs>
            </w:pPr>
            <w:r w:rsidRPr="2ABF8115">
              <w:rPr>
                <w:rFonts w:eastAsia="Arial" w:cs="Arial"/>
                <w:szCs w:val="24"/>
              </w:rPr>
              <w:t>Decision (Please circle)</w:t>
            </w:r>
          </w:p>
        </w:tc>
        <w:tc>
          <w:tcPr>
            <w:tcW w:w="3005" w:type="dxa"/>
            <w:tcBorders>
              <w:top w:val="single" w:sz="8" w:space="0" w:color="auto"/>
              <w:left w:val="single" w:sz="8" w:space="0" w:color="auto"/>
              <w:bottom w:val="single" w:sz="8" w:space="0" w:color="auto"/>
              <w:right w:val="single" w:sz="8" w:space="0" w:color="auto"/>
            </w:tcBorders>
          </w:tcPr>
          <w:p w14:paraId="2F3F2F10" w14:textId="79D721FF" w:rsidR="2ABF8115" w:rsidRDefault="2ABF8115" w:rsidP="2ABF8115">
            <w:pPr>
              <w:tabs>
                <w:tab w:val="left" w:pos="1170"/>
              </w:tabs>
            </w:pPr>
            <w:r w:rsidRPr="2ABF8115">
              <w:rPr>
                <w:rFonts w:eastAsia="Arial" w:cs="Arial"/>
                <w:szCs w:val="24"/>
              </w:rPr>
              <w:t>Approve</w:t>
            </w:r>
          </w:p>
        </w:tc>
        <w:tc>
          <w:tcPr>
            <w:tcW w:w="3005" w:type="dxa"/>
            <w:tcBorders>
              <w:top w:val="single" w:sz="8" w:space="0" w:color="auto"/>
              <w:left w:val="single" w:sz="8" w:space="0" w:color="auto"/>
              <w:bottom w:val="single" w:sz="8" w:space="0" w:color="auto"/>
              <w:right w:val="single" w:sz="8" w:space="0" w:color="auto"/>
            </w:tcBorders>
          </w:tcPr>
          <w:p w14:paraId="5EDBCE96" w14:textId="610DD541" w:rsidR="2ABF8115" w:rsidRDefault="2ABF8115" w:rsidP="2ABF8115">
            <w:pPr>
              <w:tabs>
                <w:tab w:val="left" w:pos="1170"/>
              </w:tabs>
            </w:pPr>
            <w:r w:rsidRPr="2ABF8115">
              <w:rPr>
                <w:rFonts w:eastAsia="Arial" w:cs="Arial"/>
                <w:szCs w:val="24"/>
              </w:rPr>
              <w:t>Do Not Approve</w:t>
            </w:r>
          </w:p>
        </w:tc>
      </w:tr>
      <w:tr w:rsidR="2ABF8115" w14:paraId="4E526D84" w14:textId="77777777" w:rsidTr="55978C6F">
        <w:tc>
          <w:tcPr>
            <w:tcW w:w="3005" w:type="dxa"/>
            <w:tcBorders>
              <w:top w:val="single" w:sz="8" w:space="0" w:color="auto"/>
              <w:left w:val="single" w:sz="8" w:space="0" w:color="auto"/>
              <w:bottom w:val="single" w:sz="8" w:space="0" w:color="auto"/>
              <w:right w:val="single" w:sz="8" w:space="0" w:color="auto"/>
            </w:tcBorders>
          </w:tcPr>
          <w:p w14:paraId="3559E7B3" w14:textId="25E75F79" w:rsidR="2ABF8115" w:rsidRDefault="2ABF8115" w:rsidP="2ABF8115">
            <w:pPr>
              <w:tabs>
                <w:tab w:val="left" w:pos="1170"/>
              </w:tabs>
            </w:pPr>
            <w:r w:rsidRPr="2ABF8115">
              <w:rPr>
                <w:rFonts w:eastAsia="Arial" w:cs="Arial"/>
                <w:szCs w:val="24"/>
              </w:rPr>
              <w:t>Date</w:t>
            </w:r>
          </w:p>
        </w:tc>
        <w:tc>
          <w:tcPr>
            <w:tcW w:w="3005" w:type="dxa"/>
            <w:tcBorders>
              <w:top w:val="single" w:sz="8" w:space="0" w:color="auto"/>
              <w:left w:val="single" w:sz="8" w:space="0" w:color="auto"/>
              <w:bottom w:val="single" w:sz="8" w:space="0" w:color="auto"/>
              <w:right w:val="single" w:sz="8" w:space="0" w:color="auto"/>
            </w:tcBorders>
          </w:tcPr>
          <w:p w14:paraId="03EB7277" w14:textId="6C3A9529" w:rsidR="2ABF8115" w:rsidRDefault="2ABF8115" w:rsidP="2ABF8115">
            <w:pPr>
              <w:tabs>
                <w:tab w:val="left" w:pos="1170"/>
              </w:tabs>
            </w:pPr>
            <w:r w:rsidRPr="2ABF8115">
              <w:rPr>
                <w:rFonts w:eastAsia="Arial" w:cs="Arial"/>
                <w:szCs w:val="24"/>
              </w:rPr>
              <w:t>EPAO Lead</w:t>
            </w:r>
          </w:p>
        </w:tc>
        <w:tc>
          <w:tcPr>
            <w:tcW w:w="3005" w:type="dxa"/>
            <w:tcBorders>
              <w:top w:val="single" w:sz="8" w:space="0" w:color="auto"/>
              <w:left w:val="single" w:sz="8" w:space="0" w:color="auto"/>
              <w:bottom w:val="single" w:sz="8" w:space="0" w:color="auto"/>
              <w:right w:val="single" w:sz="8" w:space="0" w:color="auto"/>
            </w:tcBorders>
          </w:tcPr>
          <w:p w14:paraId="584648F5" w14:textId="6D627DF5" w:rsidR="2ABF8115" w:rsidRDefault="2ABF8115" w:rsidP="2ABF8115">
            <w:pPr>
              <w:tabs>
                <w:tab w:val="left" w:pos="1170"/>
              </w:tabs>
            </w:pPr>
            <w:r w:rsidRPr="2ABF8115">
              <w:rPr>
                <w:rFonts w:eastAsia="Arial" w:cs="Arial"/>
                <w:szCs w:val="24"/>
              </w:rPr>
              <w:t xml:space="preserve"> </w:t>
            </w:r>
          </w:p>
        </w:tc>
      </w:tr>
      <w:tr w:rsidR="2ABF8115" w14:paraId="39698745" w14:textId="77777777" w:rsidTr="55978C6F">
        <w:tc>
          <w:tcPr>
            <w:tcW w:w="9015" w:type="dxa"/>
            <w:gridSpan w:val="3"/>
            <w:tcBorders>
              <w:top w:val="single" w:sz="8" w:space="0" w:color="auto"/>
              <w:left w:val="single" w:sz="8" w:space="0" w:color="auto"/>
              <w:bottom w:val="single" w:sz="8" w:space="0" w:color="auto"/>
              <w:right w:val="single" w:sz="8" w:space="0" w:color="auto"/>
            </w:tcBorders>
          </w:tcPr>
          <w:p w14:paraId="3CF6BAF1" w14:textId="26135C50" w:rsidR="2ABF8115" w:rsidRDefault="2ABF8115" w:rsidP="2ABF8115">
            <w:pPr>
              <w:tabs>
                <w:tab w:val="left" w:pos="1170"/>
              </w:tabs>
            </w:pPr>
            <w:r w:rsidRPr="55978C6F">
              <w:rPr>
                <w:rFonts w:eastAsia="Arial" w:cs="Arial"/>
                <w:szCs w:val="24"/>
              </w:rPr>
              <w:t xml:space="preserve"> If reasonable adjustments are not </w:t>
            </w:r>
            <w:r w:rsidR="17B34DB7" w:rsidRPr="55978C6F">
              <w:rPr>
                <w:rFonts w:eastAsia="Arial" w:cs="Arial"/>
                <w:szCs w:val="24"/>
              </w:rPr>
              <w:t>approved,</w:t>
            </w:r>
            <w:r w:rsidRPr="55978C6F">
              <w:rPr>
                <w:rFonts w:eastAsia="Arial" w:cs="Arial"/>
                <w:szCs w:val="24"/>
              </w:rPr>
              <w:t xml:space="preserve"> please provide rationale below</w:t>
            </w:r>
          </w:p>
          <w:p w14:paraId="62200751" w14:textId="63425973" w:rsidR="2ABF8115" w:rsidRDefault="2ABF8115" w:rsidP="2ABF8115">
            <w:pPr>
              <w:tabs>
                <w:tab w:val="left" w:pos="1170"/>
              </w:tabs>
            </w:pPr>
            <w:r w:rsidRPr="2ABF8115">
              <w:rPr>
                <w:rFonts w:eastAsia="Arial" w:cs="Arial"/>
                <w:szCs w:val="24"/>
              </w:rPr>
              <w:t xml:space="preserve"> </w:t>
            </w:r>
          </w:p>
          <w:p w14:paraId="3133FB82" w14:textId="0EED15BA" w:rsidR="2ABF8115" w:rsidRDefault="2ABF8115" w:rsidP="2ABF8115">
            <w:pPr>
              <w:tabs>
                <w:tab w:val="left" w:pos="1170"/>
              </w:tabs>
            </w:pPr>
            <w:r w:rsidRPr="2ABF8115">
              <w:rPr>
                <w:rFonts w:eastAsia="Arial" w:cs="Arial"/>
                <w:szCs w:val="24"/>
              </w:rPr>
              <w:t xml:space="preserve"> </w:t>
            </w:r>
          </w:p>
          <w:p w14:paraId="7BCD2532" w14:textId="16F42810" w:rsidR="2ABF8115" w:rsidRDefault="2ABF8115" w:rsidP="2ABF8115">
            <w:pPr>
              <w:tabs>
                <w:tab w:val="left" w:pos="1170"/>
              </w:tabs>
            </w:pPr>
            <w:r w:rsidRPr="2ABF8115">
              <w:rPr>
                <w:rFonts w:eastAsia="Arial" w:cs="Arial"/>
                <w:szCs w:val="24"/>
              </w:rPr>
              <w:t xml:space="preserve"> </w:t>
            </w:r>
          </w:p>
          <w:p w14:paraId="66431655" w14:textId="19C114F5" w:rsidR="2ABF8115" w:rsidRDefault="2ABF8115" w:rsidP="2ABF8115">
            <w:pPr>
              <w:tabs>
                <w:tab w:val="left" w:pos="1170"/>
              </w:tabs>
            </w:pPr>
            <w:r w:rsidRPr="2ABF8115">
              <w:rPr>
                <w:rFonts w:eastAsia="Arial" w:cs="Arial"/>
                <w:szCs w:val="24"/>
              </w:rPr>
              <w:t xml:space="preserve"> </w:t>
            </w:r>
          </w:p>
          <w:p w14:paraId="2F2E117D" w14:textId="5B3D5719" w:rsidR="2ABF8115" w:rsidRDefault="2ABF8115" w:rsidP="2ABF8115">
            <w:pPr>
              <w:tabs>
                <w:tab w:val="left" w:pos="1170"/>
              </w:tabs>
            </w:pPr>
            <w:r w:rsidRPr="2ABF8115">
              <w:rPr>
                <w:rFonts w:eastAsia="Arial" w:cs="Arial"/>
                <w:szCs w:val="24"/>
              </w:rPr>
              <w:t xml:space="preserve"> </w:t>
            </w:r>
          </w:p>
          <w:p w14:paraId="5A19EA32" w14:textId="1BF8716C" w:rsidR="2ABF8115" w:rsidRDefault="2ABF8115" w:rsidP="2ABF8115">
            <w:pPr>
              <w:tabs>
                <w:tab w:val="left" w:pos="1170"/>
              </w:tabs>
            </w:pPr>
            <w:r w:rsidRPr="2ABF8115">
              <w:rPr>
                <w:rFonts w:eastAsia="Arial" w:cs="Arial"/>
                <w:szCs w:val="24"/>
              </w:rPr>
              <w:t xml:space="preserve"> </w:t>
            </w:r>
          </w:p>
          <w:p w14:paraId="20B28DB6" w14:textId="0D35F4F3" w:rsidR="2ABF8115" w:rsidRDefault="2ABF8115" w:rsidP="2ABF8115">
            <w:pPr>
              <w:tabs>
                <w:tab w:val="left" w:pos="1170"/>
              </w:tabs>
            </w:pPr>
            <w:r w:rsidRPr="2ABF8115">
              <w:rPr>
                <w:rFonts w:eastAsia="Arial" w:cs="Arial"/>
                <w:szCs w:val="24"/>
              </w:rPr>
              <w:t xml:space="preserve"> </w:t>
            </w:r>
          </w:p>
          <w:p w14:paraId="2759D4CC" w14:textId="7B2C15F8" w:rsidR="2ABF8115" w:rsidRDefault="2ABF8115" w:rsidP="2ABF8115">
            <w:pPr>
              <w:tabs>
                <w:tab w:val="left" w:pos="1170"/>
              </w:tabs>
            </w:pPr>
            <w:r w:rsidRPr="2ABF8115">
              <w:rPr>
                <w:rFonts w:eastAsia="Arial" w:cs="Arial"/>
                <w:szCs w:val="24"/>
              </w:rPr>
              <w:t xml:space="preserve"> </w:t>
            </w:r>
          </w:p>
          <w:p w14:paraId="207CC17A" w14:textId="6F38F489" w:rsidR="2ABF8115" w:rsidRDefault="2ABF8115" w:rsidP="2ABF8115">
            <w:pPr>
              <w:tabs>
                <w:tab w:val="left" w:pos="1170"/>
              </w:tabs>
            </w:pPr>
            <w:r w:rsidRPr="2ABF8115">
              <w:rPr>
                <w:rFonts w:eastAsia="Arial" w:cs="Arial"/>
                <w:szCs w:val="24"/>
              </w:rPr>
              <w:t xml:space="preserve"> </w:t>
            </w:r>
          </w:p>
          <w:p w14:paraId="0BBFF75E" w14:textId="7665F49A" w:rsidR="2ABF8115" w:rsidRDefault="2ABF8115" w:rsidP="2ABF8115">
            <w:pPr>
              <w:tabs>
                <w:tab w:val="left" w:pos="1170"/>
              </w:tabs>
            </w:pPr>
            <w:r w:rsidRPr="2ABF8115">
              <w:rPr>
                <w:rFonts w:eastAsia="Arial" w:cs="Arial"/>
                <w:szCs w:val="24"/>
              </w:rPr>
              <w:t xml:space="preserve"> </w:t>
            </w:r>
          </w:p>
          <w:p w14:paraId="22C1F058" w14:textId="25AF225D" w:rsidR="2ABF8115" w:rsidRDefault="2ABF8115" w:rsidP="2ABF8115">
            <w:pPr>
              <w:tabs>
                <w:tab w:val="left" w:pos="1170"/>
              </w:tabs>
            </w:pPr>
            <w:r w:rsidRPr="2ABF8115">
              <w:rPr>
                <w:rFonts w:eastAsia="Arial" w:cs="Arial"/>
                <w:szCs w:val="24"/>
              </w:rPr>
              <w:t xml:space="preserve"> </w:t>
            </w:r>
          </w:p>
          <w:p w14:paraId="60AA9147" w14:textId="2AD8F5F4" w:rsidR="2ABF8115" w:rsidRDefault="2ABF8115" w:rsidP="2ABF8115">
            <w:pPr>
              <w:tabs>
                <w:tab w:val="left" w:pos="1170"/>
              </w:tabs>
            </w:pPr>
            <w:r w:rsidRPr="2ABF8115">
              <w:rPr>
                <w:rFonts w:eastAsia="Arial" w:cs="Arial"/>
                <w:szCs w:val="24"/>
              </w:rPr>
              <w:t xml:space="preserve"> </w:t>
            </w:r>
          </w:p>
        </w:tc>
      </w:tr>
    </w:tbl>
    <w:p w14:paraId="7885F43F" w14:textId="1B1419D5" w:rsidR="2ABF8115" w:rsidRDefault="2ABF8115" w:rsidP="2ABF8115">
      <w:pPr>
        <w:tabs>
          <w:tab w:val="left" w:pos="1170"/>
        </w:tabs>
        <w:rPr>
          <w:rFonts w:eastAsia="Arial" w:cs="Arial"/>
          <w:color w:val="7030A0"/>
          <w:szCs w:val="24"/>
        </w:rPr>
      </w:pPr>
    </w:p>
    <w:p w14:paraId="3E0DBD51" w14:textId="1DE98070" w:rsidR="2ABF8115" w:rsidRDefault="2ABF8115" w:rsidP="2ABF8115"/>
    <w:p w14:paraId="65791E52" w14:textId="7800D698" w:rsidR="2ABF8115" w:rsidRDefault="2ABF8115" w:rsidP="2ABF8115"/>
    <w:p w14:paraId="678BA71B" w14:textId="77777777" w:rsidR="00C625B0" w:rsidRDefault="000D23AF" w:rsidP="00C26DA0">
      <w:pPr>
        <w:pStyle w:val="Heading1"/>
        <w:spacing w:after="240"/>
      </w:pPr>
      <w:bookmarkStart w:id="12" w:name="_Toc150428878"/>
      <w:proofErr w:type="spellStart"/>
      <w:r>
        <w:t>Endmatter</w:t>
      </w:r>
      <w:bookmarkEnd w:id="12"/>
      <w:proofErr w:type="spellEnd"/>
    </w:p>
    <w:tbl>
      <w:tblPr>
        <w:tblStyle w:val="TableGrid"/>
        <w:tblW w:w="0" w:type="auto"/>
        <w:tblLook w:val="04A0" w:firstRow="1" w:lastRow="0" w:firstColumn="1" w:lastColumn="0" w:noHBand="0" w:noVBand="1"/>
      </w:tblPr>
      <w:tblGrid>
        <w:gridCol w:w="2758"/>
        <w:gridCol w:w="6258"/>
      </w:tblGrid>
      <w:tr w:rsidR="000D23AF" w14:paraId="3B322EBC" w14:textId="77777777" w:rsidTr="005B48D0">
        <w:trPr>
          <w:tblHeader/>
        </w:trPr>
        <w:tc>
          <w:tcPr>
            <w:tcW w:w="2758" w:type="dxa"/>
          </w:tcPr>
          <w:p w14:paraId="731837E3" w14:textId="77777777" w:rsidR="000D23AF" w:rsidRDefault="000D23AF" w:rsidP="0002664D">
            <w:r>
              <w:t>Title</w:t>
            </w:r>
          </w:p>
        </w:tc>
        <w:tc>
          <w:tcPr>
            <w:tcW w:w="6258" w:type="dxa"/>
          </w:tcPr>
          <w:p w14:paraId="79C8ABFD" w14:textId="6B3E09E3" w:rsidR="000D23AF" w:rsidRDefault="1E03D848" w:rsidP="2ABF8115">
            <w:pPr>
              <w:pStyle w:val="NoSpacing"/>
              <w:rPr>
                <w:rFonts w:eastAsia="Arial" w:cs="Arial"/>
                <w:szCs w:val="24"/>
              </w:rPr>
            </w:pPr>
            <w:r w:rsidRPr="55978C6F">
              <w:rPr>
                <w:rFonts w:eastAsia="Arial" w:cs="Arial"/>
                <w:szCs w:val="24"/>
              </w:rPr>
              <w:t xml:space="preserve">Reasonable Adjustments for Apprenticeship End Point </w:t>
            </w:r>
            <w:r w:rsidR="5CC8C2EF" w:rsidRPr="55978C6F">
              <w:rPr>
                <w:rFonts w:eastAsia="Arial" w:cs="Arial"/>
                <w:szCs w:val="24"/>
              </w:rPr>
              <w:t>Assessment Guidance</w:t>
            </w:r>
          </w:p>
          <w:p w14:paraId="0324F0AF" w14:textId="045D18CB" w:rsidR="000D23AF" w:rsidRDefault="000D23AF" w:rsidP="2ABF8115"/>
        </w:tc>
      </w:tr>
      <w:tr w:rsidR="000D23AF" w14:paraId="405D5D01" w14:textId="77777777" w:rsidTr="1E801FE6">
        <w:tc>
          <w:tcPr>
            <w:tcW w:w="2758" w:type="dxa"/>
          </w:tcPr>
          <w:p w14:paraId="0F37AEE1" w14:textId="77777777" w:rsidR="000D23AF" w:rsidRDefault="00683E10" w:rsidP="0002664D">
            <w:r>
              <w:t xml:space="preserve">Policy </w:t>
            </w:r>
            <w:r w:rsidR="000D23AF">
              <w:t>Owner</w:t>
            </w:r>
          </w:p>
        </w:tc>
        <w:tc>
          <w:tcPr>
            <w:tcW w:w="6258" w:type="dxa"/>
          </w:tcPr>
          <w:p w14:paraId="663CAA47" w14:textId="27E6501A" w:rsidR="000D23AF" w:rsidRDefault="57D067C8" w:rsidP="0002664D">
            <w:r>
              <w:t>Denise Dutton</w:t>
            </w:r>
          </w:p>
        </w:tc>
      </w:tr>
      <w:tr w:rsidR="0002328B" w14:paraId="7F5C90AF" w14:textId="77777777" w:rsidTr="1E801FE6">
        <w:tc>
          <w:tcPr>
            <w:tcW w:w="2758" w:type="dxa"/>
          </w:tcPr>
          <w:p w14:paraId="4B5E536C" w14:textId="09ADBDAC" w:rsidR="0002328B" w:rsidRDefault="0002328B" w:rsidP="0002328B">
            <w:r>
              <w:t>Policy Manager</w:t>
            </w:r>
          </w:p>
        </w:tc>
        <w:tc>
          <w:tcPr>
            <w:tcW w:w="6258" w:type="dxa"/>
          </w:tcPr>
          <w:p w14:paraId="7CB32342" w14:textId="01C722D1" w:rsidR="0002328B" w:rsidRDefault="007C269D" w:rsidP="0002328B">
            <w:r>
              <w:t>Kathryn Drury, Associate Dean</w:t>
            </w:r>
          </w:p>
        </w:tc>
      </w:tr>
      <w:tr w:rsidR="0002328B" w14:paraId="0916D941" w14:textId="77777777" w:rsidTr="1E801FE6">
        <w:tc>
          <w:tcPr>
            <w:tcW w:w="2758" w:type="dxa"/>
          </w:tcPr>
          <w:p w14:paraId="58C5C8D4" w14:textId="77777777" w:rsidR="0002328B" w:rsidRDefault="0002328B" w:rsidP="0002328B">
            <w:r>
              <w:t>Approved by</w:t>
            </w:r>
          </w:p>
        </w:tc>
        <w:tc>
          <w:tcPr>
            <w:tcW w:w="6258" w:type="dxa"/>
          </w:tcPr>
          <w:p w14:paraId="36B64236" w14:textId="24A651AE" w:rsidR="0002328B" w:rsidRDefault="32E41587" w:rsidP="0002328B">
            <w:r>
              <w:t>FASQEC</w:t>
            </w:r>
          </w:p>
        </w:tc>
      </w:tr>
      <w:tr w:rsidR="0002328B" w14:paraId="57921B9D" w14:textId="77777777" w:rsidTr="1E801FE6">
        <w:tc>
          <w:tcPr>
            <w:tcW w:w="2758" w:type="dxa"/>
          </w:tcPr>
          <w:p w14:paraId="4C99389A" w14:textId="77777777" w:rsidR="0002328B" w:rsidRDefault="0002328B" w:rsidP="0002328B">
            <w:r>
              <w:t>Date of Approval</w:t>
            </w:r>
          </w:p>
        </w:tc>
        <w:tc>
          <w:tcPr>
            <w:tcW w:w="6258" w:type="dxa"/>
          </w:tcPr>
          <w:p w14:paraId="2D1D494F" w14:textId="227D8225" w:rsidR="0002328B" w:rsidRDefault="390E9E21" w:rsidP="0002328B">
            <w:r>
              <w:t>22/5/24</w:t>
            </w:r>
          </w:p>
        </w:tc>
      </w:tr>
      <w:tr w:rsidR="0002328B" w14:paraId="6975B123" w14:textId="77777777" w:rsidTr="1E801FE6">
        <w:tc>
          <w:tcPr>
            <w:tcW w:w="2758" w:type="dxa"/>
          </w:tcPr>
          <w:p w14:paraId="1B3A2D8E" w14:textId="77777777" w:rsidR="0002328B" w:rsidRDefault="0002328B" w:rsidP="0002328B">
            <w:r>
              <w:t xml:space="preserve">Date for Review </w:t>
            </w:r>
          </w:p>
        </w:tc>
        <w:tc>
          <w:tcPr>
            <w:tcW w:w="6258" w:type="dxa"/>
          </w:tcPr>
          <w:p w14:paraId="21F25A0F" w14:textId="4A13D7A0" w:rsidR="0002328B" w:rsidRDefault="4F84C955" w:rsidP="0002328B">
            <w:r>
              <w:t>May 25</w:t>
            </w:r>
          </w:p>
        </w:tc>
      </w:tr>
    </w:tbl>
    <w:p w14:paraId="631974B0" w14:textId="77777777" w:rsidR="00C625B0" w:rsidRDefault="00C625B0" w:rsidP="006A5B50"/>
    <w:sectPr w:rsidR="00C625B0" w:rsidSect="006A5B50">
      <w:footerReference w:type="default" r:id="rId21"/>
      <w:footerReference w:type="first" r:id="rId22"/>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88791" w14:textId="77777777" w:rsidR="0031189B" w:rsidRDefault="0031189B" w:rsidP="006A5B50">
      <w:pPr>
        <w:spacing w:after="0" w:line="240" w:lineRule="auto"/>
      </w:pPr>
      <w:r>
        <w:separator/>
      </w:r>
    </w:p>
  </w:endnote>
  <w:endnote w:type="continuationSeparator" w:id="0">
    <w:p w14:paraId="3CDF24D5" w14:textId="77777777" w:rsidR="0031189B" w:rsidRDefault="0031189B"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15958"/>
      <w:docPartObj>
        <w:docPartGallery w:val="Page Numbers (Bottom of Page)"/>
        <w:docPartUnique/>
      </w:docPartObj>
    </w:sdtPr>
    <w:sdtEndPr>
      <w:rPr>
        <w:noProof/>
      </w:rPr>
    </w:sdtEndPr>
    <w:sdtContent>
      <w:p w14:paraId="32AAE60D" w14:textId="77777777" w:rsidR="007F06C7" w:rsidRDefault="007F06C7">
        <w:pPr>
          <w:pStyle w:val="Footer"/>
          <w:jc w:val="center"/>
        </w:pPr>
        <w:r>
          <w:fldChar w:fldCharType="begin"/>
        </w:r>
        <w:r>
          <w:instrText xml:space="preserve"> PAGE   \* MERGEFORMAT </w:instrText>
        </w:r>
        <w:r>
          <w:fldChar w:fldCharType="separate"/>
        </w:r>
        <w:r w:rsidR="00946FA4">
          <w:rPr>
            <w:noProof/>
          </w:rPr>
          <w:t>4</w:t>
        </w:r>
        <w:r>
          <w:rPr>
            <w:noProof/>
          </w:rPr>
          <w:fldChar w:fldCharType="end"/>
        </w:r>
      </w:p>
    </w:sdtContent>
  </w:sdt>
  <w:p w14:paraId="6148413C" w14:textId="77777777" w:rsidR="006A5B50" w:rsidRDefault="006A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28E4" w14:textId="77777777" w:rsidR="006A5B50" w:rsidRDefault="006A5B50" w:rsidP="007F06C7">
    <w:pPr>
      <w:pStyle w:val="Footer"/>
      <w:tabs>
        <w:tab w:val="clear" w:pos="4513"/>
        <w:tab w:val="clear" w:pos="9026"/>
        <w:tab w:val="left" w:pos="1155"/>
      </w:tabs>
      <w:jc w:val="right"/>
    </w:pPr>
    <w:r>
      <w:tab/>
    </w:r>
    <w:r>
      <w:rPr>
        <w:noProof/>
        <w:lang w:eastAsia="en-GB"/>
      </w:rPr>
      <w:drawing>
        <wp:inline distT="0" distB="0" distL="0" distR="0" wp14:anchorId="16BAF5AF" wp14:editId="1D6FFFE3">
          <wp:extent cx="1832968" cy="23824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est Logo Ma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9FD6" w14:textId="77777777" w:rsidR="0031189B" w:rsidRDefault="0031189B" w:rsidP="006A5B50">
      <w:pPr>
        <w:spacing w:after="0" w:line="240" w:lineRule="auto"/>
      </w:pPr>
      <w:r>
        <w:separator/>
      </w:r>
    </w:p>
  </w:footnote>
  <w:footnote w:type="continuationSeparator" w:id="0">
    <w:p w14:paraId="2AEC07C6" w14:textId="77777777" w:rsidR="0031189B" w:rsidRDefault="0031189B" w:rsidP="006A5B5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Z0IOVQ6L8aINhX" int2:id="j8sbR6QC">
      <int2:state int2:value="Rejected" int2:type="LegacyProofing"/>
    </int2:textHash>
    <int2:textHash int2:hashCode="94DQSUcgcBdJL/" int2:id="QS4oeV9a">
      <int2:state int2:value="Rejected" int2:type="LegacyProofing"/>
    </int2:textHash>
    <int2:bookmark int2:bookmarkName="_Int_kDkeEsN6" int2:invalidationBookmarkName="" int2:hashCode="RhSMw7TSs6yAc/" int2:id="YkQnhDRS">
      <int2:state int2:value="Rejected" int2:type="LegacyProofing"/>
    </int2:bookmark>
    <int2:bookmark int2:bookmarkName="_Int_8f7gxivy" int2:invalidationBookmarkName="" int2:hashCode="jK+hk+Af0A6qfG" int2:id="46VhQyn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CA452"/>
    <w:multiLevelType w:val="hybridMultilevel"/>
    <w:tmpl w:val="CCD2151C"/>
    <w:lvl w:ilvl="0" w:tplc="4CFE45BC">
      <w:start w:val="1"/>
      <w:numFmt w:val="bullet"/>
      <w:lvlText w:val=""/>
      <w:lvlJc w:val="left"/>
      <w:pPr>
        <w:ind w:left="720" w:hanging="360"/>
      </w:pPr>
      <w:rPr>
        <w:rFonts w:ascii="Symbol" w:hAnsi="Symbol" w:hint="default"/>
      </w:rPr>
    </w:lvl>
    <w:lvl w:ilvl="1" w:tplc="CF78E7BC">
      <w:start w:val="1"/>
      <w:numFmt w:val="bullet"/>
      <w:lvlText w:val="o"/>
      <w:lvlJc w:val="left"/>
      <w:pPr>
        <w:ind w:left="1440" w:hanging="360"/>
      </w:pPr>
      <w:rPr>
        <w:rFonts w:ascii="Courier New" w:hAnsi="Courier New" w:hint="default"/>
      </w:rPr>
    </w:lvl>
    <w:lvl w:ilvl="2" w:tplc="B1E8AF82">
      <w:start w:val="1"/>
      <w:numFmt w:val="bullet"/>
      <w:lvlText w:val=""/>
      <w:lvlJc w:val="left"/>
      <w:pPr>
        <w:ind w:left="2160" w:hanging="360"/>
      </w:pPr>
      <w:rPr>
        <w:rFonts w:ascii="Wingdings" w:hAnsi="Wingdings" w:hint="default"/>
      </w:rPr>
    </w:lvl>
    <w:lvl w:ilvl="3" w:tplc="BE601604">
      <w:start w:val="1"/>
      <w:numFmt w:val="bullet"/>
      <w:lvlText w:val=""/>
      <w:lvlJc w:val="left"/>
      <w:pPr>
        <w:ind w:left="2880" w:hanging="360"/>
      </w:pPr>
      <w:rPr>
        <w:rFonts w:ascii="Symbol" w:hAnsi="Symbol" w:hint="default"/>
      </w:rPr>
    </w:lvl>
    <w:lvl w:ilvl="4" w:tplc="0BC8652C">
      <w:start w:val="1"/>
      <w:numFmt w:val="bullet"/>
      <w:lvlText w:val="o"/>
      <w:lvlJc w:val="left"/>
      <w:pPr>
        <w:ind w:left="3600" w:hanging="360"/>
      </w:pPr>
      <w:rPr>
        <w:rFonts w:ascii="Courier New" w:hAnsi="Courier New" w:hint="default"/>
      </w:rPr>
    </w:lvl>
    <w:lvl w:ilvl="5" w:tplc="C7140746">
      <w:start w:val="1"/>
      <w:numFmt w:val="bullet"/>
      <w:lvlText w:val=""/>
      <w:lvlJc w:val="left"/>
      <w:pPr>
        <w:ind w:left="4320" w:hanging="360"/>
      </w:pPr>
      <w:rPr>
        <w:rFonts w:ascii="Wingdings" w:hAnsi="Wingdings" w:hint="default"/>
      </w:rPr>
    </w:lvl>
    <w:lvl w:ilvl="6" w:tplc="5DB2CC56">
      <w:start w:val="1"/>
      <w:numFmt w:val="bullet"/>
      <w:lvlText w:val=""/>
      <w:lvlJc w:val="left"/>
      <w:pPr>
        <w:ind w:left="5040" w:hanging="360"/>
      </w:pPr>
      <w:rPr>
        <w:rFonts w:ascii="Symbol" w:hAnsi="Symbol" w:hint="default"/>
      </w:rPr>
    </w:lvl>
    <w:lvl w:ilvl="7" w:tplc="A92A3970">
      <w:start w:val="1"/>
      <w:numFmt w:val="bullet"/>
      <w:lvlText w:val="o"/>
      <w:lvlJc w:val="left"/>
      <w:pPr>
        <w:ind w:left="5760" w:hanging="360"/>
      </w:pPr>
      <w:rPr>
        <w:rFonts w:ascii="Courier New" w:hAnsi="Courier New" w:hint="default"/>
      </w:rPr>
    </w:lvl>
    <w:lvl w:ilvl="8" w:tplc="C6124736">
      <w:start w:val="1"/>
      <w:numFmt w:val="bullet"/>
      <w:lvlText w:val=""/>
      <w:lvlJc w:val="left"/>
      <w:pPr>
        <w:ind w:left="6480" w:hanging="360"/>
      </w:pPr>
      <w:rPr>
        <w:rFonts w:ascii="Wingdings" w:hAnsi="Wingdings" w:hint="default"/>
      </w:rPr>
    </w:lvl>
  </w:abstractNum>
  <w:abstractNum w:abstractNumId="2" w15:restartNumberingAfterBreak="0">
    <w:nsid w:val="40942BC3"/>
    <w:multiLevelType w:val="hybridMultilevel"/>
    <w:tmpl w:val="19900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32A06C"/>
    <w:multiLevelType w:val="hybridMultilevel"/>
    <w:tmpl w:val="6784CF1E"/>
    <w:lvl w:ilvl="0" w:tplc="3DD20002">
      <w:start w:val="1"/>
      <w:numFmt w:val="decimal"/>
      <w:lvlText w:val="%1."/>
      <w:lvlJc w:val="left"/>
      <w:pPr>
        <w:ind w:left="720" w:hanging="360"/>
      </w:pPr>
    </w:lvl>
    <w:lvl w:ilvl="1" w:tplc="AA60BCAC">
      <w:start w:val="1"/>
      <w:numFmt w:val="lowerLetter"/>
      <w:lvlText w:val="%2."/>
      <w:lvlJc w:val="left"/>
      <w:pPr>
        <w:ind w:left="1440" w:hanging="360"/>
      </w:pPr>
    </w:lvl>
    <w:lvl w:ilvl="2" w:tplc="99469794">
      <w:start w:val="1"/>
      <w:numFmt w:val="lowerRoman"/>
      <w:lvlText w:val="%3."/>
      <w:lvlJc w:val="right"/>
      <w:pPr>
        <w:ind w:left="2160" w:hanging="180"/>
      </w:pPr>
    </w:lvl>
    <w:lvl w:ilvl="3" w:tplc="8BF6E960">
      <w:start w:val="1"/>
      <w:numFmt w:val="decimal"/>
      <w:lvlText w:val="%4."/>
      <w:lvlJc w:val="left"/>
      <w:pPr>
        <w:ind w:left="2880" w:hanging="360"/>
      </w:pPr>
    </w:lvl>
    <w:lvl w:ilvl="4" w:tplc="B3CE97DA">
      <w:start w:val="1"/>
      <w:numFmt w:val="lowerLetter"/>
      <w:lvlText w:val="%5."/>
      <w:lvlJc w:val="left"/>
      <w:pPr>
        <w:ind w:left="3600" w:hanging="360"/>
      </w:pPr>
    </w:lvl>
    <w:lvl w:ilvl="5" w:tplc="11C6563E">
      <w:start w:val="1"/>
      <w:numFmt w:val="lowerRoman"/>
      <w:lvlText w:val="%6."/>
      <w:lvlJc w:val="right"/>
      <w:pPr>
        <w:ind w:left="4320" w:hanging="180"/>
      </w:pPr>
    </w:lvl>
    <w:lvl w:ilvl="6" w:tplc="F9C6E3CA">
      <w:start w:val="1"/>
      <w:numFmt w:val="decimal"/>
      <w:lvlText w:val="%7."/>
      <w:lvlJc w:val="left"/>
      <w:pPr>
        <w:ind w:left="5040" w:hanging="360"/>
      </w:pPr>
    </w:lvl>
    <w:lvl w:ilvl="7" w:tplc="6A3888C4">
      <w:start w:val="1"/>
      <w:numFmt w:val="lowerLetter"/>
      <w:lvlText w:val="%8."/>
      <w:lvlJc w:val="left"/>
      <w:pPr>
        <w:ind w:left="5760" w:hanging="360"/>
      </w:pPr>
    </w:lvl>
    <w:lvl w:ilvl="8" w:tplc="3C60B324">
      <w:start w:val="1"/>
      <w:numFmt w:val="lowerRoman"/>
      <w:lvlText w:val="%9."/>
      <w:lvlJc w:val="right"/>
      <w:pPr>
        <w:ind w:left="6480" w:hanging="180"/>
      </w:pPr>
    </w:lvl>
  </w:abstractNum>
  <w:abstractNum w:abstractNumId="4" w15:restartNumberingAfterBreak="0">
    <w:nsid w:val="519F094D"/>
    <w:multiLevelType w:val="hybridMultilevel"/>
    <w:tmpl w:val="71D44C36"/>
    <w:lvl w:ilvl="0" w:tplc="1644B814">
      <w:start w:val="1"/>
      <w:numFmt w:val="bullet"/>
      <w:pStyle w:val="ListParagraph"/>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5"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BF5D10"/>
    <w:multiLevelType w:val="hybridMultilevel"/>
    <w:tmpl w:val="148A75EE"/>
    <w:lvl w:ilvl="0" w:tplc="036220D0">
      <w:start w:val="2023"/>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3422472">
    <w:abstractNumId w:val="3"/>
  </w:num>
  <w:num w:numId="2" w16cid:durableId="1562866108">
    <w:abstractNumId w:val="1"/>
  </w:num>
  <w:num w:numId="3" w16cid:durableId="949168355">
    <w:abstractNumId w:val="0"/>
  </w:num>
  <w:num w:numId="4" w16cid:durableId="832333149">
    <w:abstractNumId w:val="5"/>
  </w:num>
  <w:num w:numId="5" w16cid:durableId="1528444433">
    <w:abstractNumId w:val="7"/>
  </w:num>
  <w:num w:numId="6" w16cid:durableId="753866664">
    <w:abstractNumId w:val="2"/>
  </w:num>
  <w:num w:numId="7" w16cid:durableId="1077362100">
    <w:abstractNumId w:val="4"/>
  </w:num>
  <w:num w:numId="8" w16cid:durableId="906109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2328B"/>
    <w:rsid w:val="00055588"/>
    <w:rsid w:val="000B1160"/>
    <w:rsid w:val="000D23AF"/>
    <w:rsid w:val="000F3143"/>
    <w:rsid w:val="001005E0"/>
    <w:rsid w:val="0011421B"/>
    <w:rsid w:val="001722B8"/>
    <w:rsid w:val="001B1CB4"/>
    <w:rsid w:val="0029043F"/>
    <w:rsid w:val="0031189B"/>
    <w:rsid w:val="00351BCA"/>
    <w:rsid w:val="00362F49"/>
    <w:rsid w:val="004574CC"/>
    <w:rsid w:val="004A6E27"/>
    <w:rsid w:val="005553B2"/>
    <w:rsid w:val="005A717B"/>
    <w:rsid w:val="005B48D0"/>
    <w:rsid w:val="00683E10"/>
    <w:rsid w:val="006A5B50"/>
    <w:rsid w:val="006C2882"/>
    <w:rsid w:val="00721001"/>
    <w:rsid w:val="00722685"/>
    <w:rsid w:val="00745DC4"/>
    <w:rsid w:val="007655C7"/>
    <w:rsid w:val="007B0C68"/>
    <w:rsid w:val="007C269D"/>
    <w:rsid w:val="007F06C7"/>
    <w:rsid w:val="00831486"/>
    <w:rsid w:val="009087D4"/>
    <w:rsid w:val="00946FA4"/>
    <w:rsid w:val="00971F84"/>
    <w:rsid w:val="00A11B70"/>
    <w:rsid w:val="00A73C4D"/>
    <w:rsid w:val="00A808D7"/>
    <w:rsid w:val="00B44135"/>
    <w:rsid w:val="00B71280"/>
    <w:rsid w:val="00B86B25"/>
    <w:rsid w:val="00C26DA0"/>
    <w:rsid w:val="00C2739B"/>
    <w:rsid w:val="00C3452F"/>
    <w:rsid w:val="00C625B0"/>
    <w:rsid w:val="00CD0847"/>
    <w:rsid w:val="00CE445B"/>
    <w:rsid w:val="00CF75EE"/>
    <w:rsid w:val="00D175DB"/>
    <w:rsid w:val="00D62CAC"/>
    <w:rsid w:val="00D84C7A"/>
    <w:rsid w:val="00D872A1"/>
    <w:rsid w:val="00DC01C5"/>
    <w:rsid w:val="00DE4558"/>
    <w:rsid w:val="00E21F75"/>
    <w:rsid w:val="00E61824"/>
    <w:rsid w:val="00EE5AD6"/>
    <w:rsid w:val="00F70D78"/>
    <w:rsid w:val="00FA578B"/>
    <w:rsid w:val="0175B895"/>
    <w:rsid w:val="02457C7F"/>
    <w:rsid w:val="0253DF9F"/>
    <w:rsid w:val="03CD44EA"/>
    <w:rsid w:val="03D687A3"/>
    <w:rsid w:val="079B1241"/>
    <w:rsid w:val="07A514D0"/>
    <w:rsid w:val="087274DF"/>
    <w:rsid w:val="08910435"/>
    <w:rsid w:val="09794DCD"/>
    <w:rsid w:val="0A322282"/>
    <w:rsid w:val="0AF2DABA"/>
    <w:rsid w:val="0C0741F7"/>
    <w:rsid w:val="0D065976"/>
    <w:rsid w:val="0DA31258"/>
    <w:rsid w:val="0DE3BBD7"/>
    <w:rsid w:val="0E03A288"/>
    <w:rsid w:val="0E7BF219"/>
    <w:rsid w:val="0F0045B9"/>
    <w:rsid w:val="0F61E547"/>
    <w:rsid w:val="0FCF66F4"/>
    <w:rsid w:val="11CF3AD8"/>
    <w:rsid w:val="130707B6"/>
    <w:rsid w:val="132C7244"/>
    <w:rsid w:val="135DC65C"/>
    <w:rsid w:val="14AE5172"/>
    <w:rsid w:val="1561C3E7"/>
    <w:rsid w:val="163EA878"/>
    <w:rsid w:val="165631DD"/>
    <w:rsid w:val="17B34DB7"/>
    <w:rsid w:val="17DE04AE"/>
    <w:rsid w:val="18BC90BB"/>
    <w:rsid w:val="18D5B879"/>
    <w:rsid w:val="194FA450"/>
    <w:rsid w:val="1A24DA76"/>
    <w:rsid w:val="1A718979"/>
    <w:rsid w:val="1AC03222"/>
    <w:rsid w:val="1C0A7015"/>
    <w:rsid w:val="1C0D59DA"/>
    <w:rsid w:val="1C1FD8D1"/>
    <w:rsid w:val="1CB96357"/>
    <w:rsid w:val="1D9001DE"/>
    <w:rsid w:val="1E03D848"/>
    <w:rsid w:val="1E801FE6"/>
    <w:rsid w:val="1F88AA3C"/>
    <w:rsid w:val="1FF376D8"/>
    <w:rsid w:val="2000B5F1"/>
    <w:rsid w:val="2192EB3C"/>
    <w:rsid w:val="219DF89D"/>
    <w:rsid w:val="21A3B5D1"/>
    <w:rsid w:val="22A9CCDE"/>
    <w:rsid w:val="23B3ECA5"/>
    <w:rsid w:val="24147A48"/>
    <w:rsid w:val="2486D010"/>
    <w:rsid w:val="2488D719"/>
    <w:rsid w:val="24D42714"/>
    <w:rsid w:val="24FE7FB0"/>
    <w:rsid w:val="265CB9C8"/>
    <w:rsid w:val="270A63D7"/>
    <w:rsid w:val="2915CAC5"/>
    <w:rsid w:val="293677EF"/>
    <w:rsid w:val="29A43468"/>
    <w:rsid w:val="29A79837"/>
    <w:rsid w:val="29F8301B"/>
    <w:rsid w:val="2ABF8115"/>
    <w:rsid w:val="2AC081D2"/>
    <w:rsid w:val="2AE1DA79"/>
    <w:rsid w:val="2B04B9FC"/>
    <w:rsid w:val="2BDB13A1"/>
    <w:rsid w:val="2C5A6A05"/>
    <w:rsid w:val="2D727AE2"/>
    <w:rsid w:val="2FC692A2"/>
    <w:rsid w:val="301EC741"/>
    <w:rsid w:val="30678510"/>
    <w:rsid w:val="307F85C6"/>
    <w:rsid w:val="30B11F2E"/>
    <w:rsid w:val="30FEDBAE"/>
    <w:rsid w:val="3191BD6D"/>
    <w:rsid w:val="31CBC6E6"/>
    <w:rsid w:val="32AFAFC8"/>
    <w:rsid w:val="32E41587"/>
    <w:rsid w:val="33532AAA"/>
    <w:rsid w:val="33543161"/>
    <w:rsid w:val="33566803"/>
    <w:rsid w:val="33591BB1"/>
    <w:rsid w:val="3365DC72"/>
    <w:rsid w:val="3419633B"/>
    <w:rsid w:val="34C170A9"/>
    <w:rsid w:val="3514A37A"/>
    <w:rsid w:val="35AD7FC4"/>
    <w:rsid w:val="35D687B4"/>
    <w:rsid w:val="36D67173"/>
    <w:rsid w:val="379DAA0E"/>
    <w:rsid w:val="3827A284"/>
    <w:rsid w:val="385F2C81"/>
    <w:rsid w:val="390E9E21"/>
    <w:rsid w:val="398FD557"/>
    <w:rsid w:val="39B178FB"/>
    <w:rsid w:val="3AB83D8A"/>
    <w:rsid w:val="3B0E5962"/>
    <w:rsid w:val="3C49D94A"/>
    <w:rsid w:val="3C5E7F94"/>
    <w:rsid w:val="3CFD4A49"/>
    <w:rsid w:val="3D2C3571"/>
    <w:rsid w:val="3DC04581"/>
    <w:rsid w:val="3E3A8807"/>
    <w:rsid w:val="3FEBFABE"/>
    <w:rsid w:val="3FF3BCEE"/>
    <w:rsid w:val="4034EB0B"/>
    <w:rsid w:val="403FA662"/>
    <w:rsid w:val="4131F0B7"/>
    <w:rsid w:val="413CB5F4"/>
    <w:rsid w:val="41582FFF"/>
    <w:rsid w:val="41CE84CA"/>
    <w:rsid w:val="43051F30"/>
    <w:rsid w:val="4331E84B"/>
    <w:rsid w:val="436C8BCD"/>
    <w:rsid w:val="437242B1"/>
    <w:rsid w:val="43A55126"/>
    <w:rsid w:val="442B2563"/>
    <w:rsid w:val="44682D2F"/>
    <w:rsid w:val="449BD900"/>
    <w:rsid w:val="45085C2E"/>
    <w:rsid w:val="45C7CB91"/>
    <w:rsid w:val="467B525A"/>
    <w:rsid w:val="47630F6B"/>
    <w:rsid w:val="487F1002"/>
    <w:rsid w:val="4A066CF3"/>
    <w:rsid w:val="4B720279"/>
    <w:rsid w:val="4BA8FBEA"/>
    <w:rsid w:val="4BDE4B0D"/>
    <w:rsid w:val="4D324CB5"/>
    <w:rsid w:val="4D44CC4B"/>
    <w:rsid w:val="4DF74B62"/>
    <w:rsid w:val="4E2AFCE2"/>
    <w:rsid w:val="4F55D7EB"/>
    <w:rsid w:val="4F84C955"/>
    <w:rsid w:val="4F89D90A"/>
    <w:rsid w:val="4FADEDE2"/>
    <w:rsid w:val="5050C5B9"/>
    <w:rsid w:val="50FB5358"/>
    <w:rsid w:val="51539C50"/>
    <w:rsid w:val="516F0507"/>
    <w:rsid w:val="51E4FE0F"/>
    <w:rsid w:val="52014E24"/>
    <w:rsid w:val="52A8516F"/>
    <w:rsid w:val="5427BC2D"/>
    <w:rsid w:val="548ADB3A"/>
    <w:rsid w:val="553C3049"/>
    <w:rsid w:val="55978C6F"/>
    <w:rsid w:val="56516BF4"/>
    <w:rsid w:val="56C0069E"/>
    <w:rsid w:val="56D800AA"/>
    <w:rsid w:val="5702FAFF"/>
    <w:rsid w:val="576C10BA"/>
    <w:rsid w:val="5779F1D6"/>
    <w:rsid w:val="57D067C8"/>
    <w:rsid w:val="58000755"/>
    <w:rsid w:val="584FBE2C"/>
    <w:rsid w:val="58AB18F8"/>
    <w:rsid w:val="5907E11B"/>
    <w:rsid w:val="594BA91A"/>
    <w:rsid w:val="595FA678"/>
    <w:rsid w:val="5998F038"/>
    <w:rsid w:val="59C8AC4A"/>
    <w:rsid w:val="5A00962A"/>
    <w:rsid w:val="5ACC8BB1"/>
    <w:rsid w:val="5AD24295"/>
    <w:rsid w:val="5BA9DD97"/>
    <w:rsid w:val="5BF23B72"/>
    <w:rsid w:val="5C24CB4C"/>
    <w:rsid w:val="5CC8C2EF"/>
    <w:rsid w:val="5D0A3561"/>
    <w:rsid w:val="5E3CF1CC"/>
    <w:rsid w:val="5EB5ECD4"/>
    <w:rsid w:val="5EE8156E"/>
    <w:rsid w:val="5FBBF250"/>
    <w:rsid w:val="6042DDCE"/>
    <w:rsid w:val="608CD32C"/>
    <w:rsid w:val="61E28335"/>
    <w:rsid w:val="620FF750"/>
    <w:rsid w:val="622F9028"/>
    <w:rsid w:val="62DD547A"/>
    <w:rsid w:val="64000485"/>
    <w:rsid w:val="6530FB30"/>
    <w:rsid w:val="6542478D"/>
    <w:rsid w:val="658E78B6"/>
    <w:rsid w:val="65AF4908"/>
    <w:rsid w:val="667FD86F"/>
    <w:rsid w:val="6715B93F"/>
    <w:rsid w:val="67B0C59D"/>
    <w:rsid w:val="67DC6CF1"/>
    <w:rsid w:val="6804E16F"/>
    <w:rsid w:val="686B3BD9"/>
    <w:rsid w:val="68FFC66D"/>
    <w:rsid w:val="69F89F7B"/>
    <w:rsid w:val="6A11C7D8"/>
    <w:rsid w:val="6AE8665F"/>
    <w:rsid w:val="6AFF4F36"/>
    <w:rsid w:val="6B140DB3"/>
    <w:rsid w:val="6B9A9353"/>
    <w:rsid w:val="6C1B9CA0"/>
    <w:rsid w:val="6D714CA9"/>
    <w:rsid w:val="6E4BAE75"/>
    <w:rsid w:val="6F74AFE7"/>
    <w:rsid w:val="6FB8EDBD"/>
    <w:rsid w:val="6FBFD391"/>
    <w:rsid w:val="6FE77ED6"/>
    <w:rsid w:val="7126F120"/>
    <w:rsid w:val="714F3E40"/>
    <w:rsid w:val="716FA150"/>
    <w:rsid w:val="7200258B"/>
    <w:rsid w:val="7401214F"/>
    <w:rsid w:val="74304078"/>
    <w:rsid w:val="747B6CE5"/>
    <w:rsid w:val="74AD423C"/>
    <w:rsid w:val="7537C64D"/>
    <w:rsid w:val="75433FA8"/>
    <w:rsid w:val="76DCDA5D"/>
    <w:rsid w:val="7705B39C"/>
    <w:rsid w:val="777A21F9"/>
    <w:rsid w:val="77DEE2D4"/>
    <w:rsid w:val="782BCDAC"/>
    <w:rsid w:val="785EDA12"/>
    <w:rsid w:val="78D49272"/>
    <w:rsid w:val="79928F34"/>
    <w:rsid w:val="7A16B0CB"/>
    <w:rsid w:val="7A96D6DC"/>
    <w:rsid w:val="7AFB2592"/>
    <w:rsid w:val="7D20769D"/>
    <w:rsid w:val="7D4E518D"/>
    <w:rsid w:val="7D71E553"/>
    <w:rsid w:val="7D806E7B"/>
    <w:rsid w:val="7E3A3598"/>
    <w:rsid w:val="7E694B5F"/>
    <w:rsid w:val="7E69BFC5"/>
    <w:rsid w:val="7F1C3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1F85A"/>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5553B2"/>
    <w:pPr>
      <w:keepNext/>
      <w:keepLines/>
      <w:spacing w:before="240" w:after="12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E4558"/>
    <w:pPr>
      <w:keepNext/>
      <w:keepLines/>
      <w:spacing w:before="240" w:after="120"/>
      <w:outlineLvl w:val="1"/>
    </w:pPr>
    <w:rPr>
      <w:rFonts w:asciiTheme="majorHAnsi" w:eastAsiaTheme="majorEastAsia" w:hAnsiTheme="majorHAnsi" w:cstheme="majorBidi"/>
      <w:color w:val="5F005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53B2"/>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E4558"/>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1B1CB4"/>
    <w:pPr>
      <w:numPr>
        <w:numId w:val="7"/>
      </w:numPr>
      <w:spacing w:after="120" w:line="240" w:lineRule="auto"/>
      <w:ind w:left="284" w:hanging="284"/>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351BCA"/>
    <w:pPr>
      <w:spacing w:after="10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character" w:styleId="FollowedHyperlink">
    <w:name w:val="FollowedHyperlink"/>
    <w:basedOn w:val="DefaultParagraphFont"/>
    <w:uiPriority w:val="99"/>
    <w:semiHidden/>
    <w:unhideWhenUsed/>
    <w:rsid w:val="00CD0847"/>
    <w:rPr>
      <w:color w:val="800080" w:themeColor="followedHyperlink"/>
      <w:u w:val="single"/>
    </w:rPr>
  </w:style>
  <w:style w:type="character" w:styleId="UnresolvedMention">
    <w:name w:val="Unresolved Mention"/>
    <w:basedOn w:val="DefaultParagraphFont"/>
    <w:uiPriority w:val="99"/>
    <w:semiHidden/>
    <w:unhideWhenUsed/>
    <w:rsid w:val="00CD0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ituteforapprenticeships.org/quality/end-point-assessment-reasonable-adjustments-guidance/" TargetMode="External"/><Relationship Id="rId18" Type="http://schemas.openxmlformats.org/officeDocument/2006/relationships/hyperlink" Target="https://www.edgehill.ac.uk/document/equality-diversity-and-inclusion-edi-strateg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dgehill.ac.uk/document/appendix-6-guidelines-on-reasonable-adjustments-and-the-assessment-of-disabled-students-2023-2024/" TargetMode="External"/><Relationship Id="rId17" Type="http://schemas.openxmlformats.org/officeDocument/2006/relationships/hyperlink" Target="https://www.instituteforapprenticeships.org/quality/end-point-assessment-reasonable-adjustments-guidance/"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instituteforapprenticeships.org/quality/end-point-assessment-reasonable-adjustments-guidance/" TargetMode="External"/><Relationship Id="rId20" Type="http://schemas.openxmlformats.org/officeDocument/2006/relationships/hyperlink" Target="https://www.edgehill.ac.uk/document/complaints-procedu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tituteforapprenticeships.org/quality/end-point-assessment-reasonable-adjustments-guidanc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dgehill.ac.uk/document/appendix-6-guidelines-on-reasonable-adjustments-and-the-assessment-of-disabled-students-2023-202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dgehill.ac.uk/document/data-protection-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gehill.ac.uk/document/appendix-6-guidelines-on-reasonable-adjustments-and-the-assessment-of-disabled-students-2023-2024/"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CD851D0803744BBE642EF384963DA" ma:contentTypeVersion="11" ma:contentTypeDescription="Create a new document." ma:contentTypeScope="" ma:versionID="98def3c7c1477bcdbfca4de91745e628">
  <xsd:schema xmlns:xsd="http://www.w3.org/2001/XMLSchema" xmlns:xs="http://www.w3.org/2001/XMLSchema" xmlns:p="http://schemas.microsoft.com/office/2006/metadata/properties" xmlns:ns3="0291c3ec-3bf1-4d3b-a80c-cf37f9a2e1b0" xmlns:ns4="cee71fe0-d503-48e6-aaea-a706d2e8ac6e" targetNamespace="http://schemas.microsoft.com/office/2006/metadata/properties" ma:root="true" ma:fieldsID="79ed30e8c90df621bde4a353736d9ad3" ns3:_="" ns4:_="">
    <xsd:import namespace="0291c3ec-3bf1-4d3b-a80c-cf37f9a2e1b0"/>
    <xsd:import namespace="cee71fe0-d503-48e6-aaea-a706d2e8ac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1c3ec-3bf1-4d3b-a80c-cf37f9a2e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e71fe0-d503-48e6-aaea-a706d2e8ac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C9528-92F7-4A18-A238-94A1EA40A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1c3ec-3bf1-4d3b-a80c-cf37f9a2e1b0"/>
    <ds:schemaRef ds:uri="cee71fe0-d503-48e6-aaea-a706d2e8a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ED6BB6-0404-46B0-9C16-CB74FF414899}">
  <ds:schemaRefs>
    <ds:schemaRef ds:uri="http://schemas.microsoft.com/sharepoint/v3/contenttype/forms"/>
  </ds:schemaRefs>
</ds:datastoreItem>
</file>

<file path=customXml/itemProps3.xml><?xml version="1.0" encoding="utf-8"?>
<ds:datastoreItem xmlns:ds="http://schemas.openxmlformats.org/officeDocument/2006/customXml" ds:itemID="{8F346588-0AC3-4BAD-9DB9-F409ECE173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19EB77-C918-418E-A079-26F8D3612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1716</Words>
  <Characters>9787</Characters>
  <Application>Microsoft Office Word</Application>
  <DocSecurity>0</DocSecurity>
  <Lines>81</Lines>
  <Paragraphs>22</Paragraphs>
  <ScaleCrop>false</ScaleCrop>
  <Company>Edge Hill University</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Bayfield</dc:creator>
  <cp:keywords>Reasonable Adjustments for End Point Assessment Guidance 2023-4</cp:keywords>
  <dc:description/>
  <cp:lastModifiedBy>Lauren Bolton</cp:lastModifiedBy>
  <cp:revision>14</cp:revision>
  <dcterms:created xsi:type="dcterms:W3CDTF">2022-10-21T15:45:00Z</dcterms:created>
  <dcterms:modified xsi:type="dcterms:W3CDTF">2025-04-17T10:30:00Z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0x010100E01CD851D0803744BBE642EF384963DA</vt:lpwstr>
  </property>
</Properties>
</file>