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034305F2" w14:textId="77777777" w:rsidR="00840176" w:rsidRDefault="00840176" w:rsidP="00A5704C">
          <w:r>
            <w:rPr>
              <w:noProof/>
            </w:rPr>
            <mc:AlternateContent>
              <mc:Choice Requires="wpg">
                <w:drawing>
                  <wp:anchor distT="0" distB="0" distL="114300" distR="114300" simplePos="0" relativeHeight="251658240" behindDoc="1" locked="0" layoutInCell="1" allowOverlap="1" wp14:anchorId="14A4D2AC" wp14:editId="24C60D90">
                    <wp:simplePos x="0" y="0"/>
                    <wp:positionH relativeFrom="page">
                      <wp:posOffset>472440</wp:posOffset>
                    </wp:positionH>
                    <wp:positionV relativeFrom="page">
                      <wp:posOffset>434340</wp:posOffset>
                    </wp:positionV>
                    <wp:extent cx="6645275" cy="9772650"/>
                    <wp:effectExtent l="0" t="0" r="3175"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45275" cy="9772650"/>
                              <a:chOff x="0" y="0"/>
                              <a:chExt cx="686425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DF421" w14:textId="77777777" w:rsidR="004D6AF8" w:rsidRDefault="004D6AF8">
                                  <w:pPr>
                                    <w:pStyle w:val="NoSpacing"/>
                                    <w:spacing w:before="120"/>
                                    <w:jc w:val="center"/>
                                    <w:rPr>
                                      <w:color w:val="FFFFFF" w:themeColor="background1"/>
                                    </w:rPr>
                                  </w:pPr>
                                </w:p>
                                <w:p w14:paraId="7AEB6DE0" w14:textId="4783A69F" w:rsidR="004D6AF8" w:rsidRPr="00242672" w:rsidRDefault="001C38A6">
                                  <w:pPr>
                                    <w:pStyle w:val="NoSpacing"/>
                                    <w:spacing w:before="120"/>
                                    <w:jc w:val="center"/>
                                    <w:rPr>
                                      <w:rFonts w:ascii="Calibri" w:hAnsi="Calibri" w:cs="Calibri"/>
                                      <w:b/>
                                      <w:bCs/>
                                      <w:color w:val="FFFFFF" w:themeColor="background1"/>
                                      <w:sz w:val="32"/>
                                      <w:szCs w:val="28"/>
                                    </w:rPr>
                                  </w:pPr>
                                  <w:sdt>
                                    <w:sdtPr>
                                      <w:rPr>
                                        <w:rFonts w:ascii="Calibri" w:hAnsi="Calibri" w:cs="Calibri"/>
                                        <w:b/>
                                        <w:bCs/>
                                        <w:caps/>
                                        <w:color w:val="FFFFFF" w:themeColor="background1"/>
                                        <w:sz w:val="32"/>
                                        <w:szCs w:val="28"/>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D6AF8" w:rsidRPr="00242672">
                                        <w:rPr>
                                          <w:rFonts w:ascii="Calibri" w:hAnsi="Calibri" w:cs="Calibri"/>
                                          <w:b/>
                                          <w:bCs/>
                                          <w:caps/>
                                          <w:color w:val="FFFFFF" w:themeColor="background1"/>
                                          <w:sz w:val="32"/>
                                          <w:szCs w:val="28"/>
                                        </w:rPr>
                                        <w:t xml:space="preserve">     </w:t>
                                      </w:r>
                                    </w:sdtContent>
                                  </w:sdt>
                                  <w:r w:rsidR="004D6AF8" w:rsidRPr="00242672">
                                    <w:rPr>
                                      <w:rFonts w:ascii="Calibri" w:hAnsi="Calibri" w:cs="Calibri"/>
                                      <w:b/>
                                      <w:bCs/>
                                      <w:color w:val="FFFFFF" w:themeColor="background1"/>
                                      <w:sz w:val="32"/>
                                      <w:szCs w:val="28"/>
                                    </w:rPr>
                                    <w:t>  Updated October 202</w:t>
                                  </w:r>
                                  <w:r w:rsidR="004D6AF8">
                                    <w:rPr>
                                      <w:rFonts w:ascii="Calibri" w:hAnsi="Calibri" w:cs="Calibri"/>
                                      <w:b/>
                                      <w:bCs/>
                                      <w:color w:val="FFFFFF" w:themeColor="background1"/>
                                      <w:sz w:val="32"/>
                                      <w:szCs w:val="28"/>
                                    </w:rPr>
                                    <w:t>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254" y="1181100"/>
                                <a:ext cx="6858000" cy="500200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E6510" w14:textId="77777777" w:rsidR="004D6AF8" w:rsidRDefault="004D6AF8" w:rsidP="00403242">
                                  <w:pPr>
                                    <w:pStyle w:val="Title"/>
                                    <w:jc w:val="center"/>
                                  </w:pPr>
                                </w:p>
                                <w:p w14:paraId="172F6EE2" w14:textId="77777777" w:rsidR="004D6AF8" w:rsidRDefault="004D6AF8" w:rsidP="00403242">
                                  <w:pPr>
                                    <w:pStyle w:val="Title"/>
                                    <w:jc w:val="center"/>
                                  </w:pPr>
                                </w:p>
                                <w:p w14:paraId="0A441D2C" w14:textId="5C67DA52" w:rsidR="004D6AF8" w:rsidRDefault="004D6AF8" w:rsidP="00403242">
                                  <w:pPr>
                                    <w:pStyle w:val="Title"/>
                                    <w:jc w:val="center"/>
                                  </w:pPr>
                                  <w:r>
                                    <w:t>Chapter 3</w:t>
                                  </w:r>
                                </w:p>
                                <w:p w14:paraId="6A701806" w14:textId="59F11825" w:rsidR="004D6AF8" w:rsidRPr="00403242" w:rsidRDefault="004D6AF8" w:rsidP="00403242">
                                  <w:pPr>
                                    <w:pStyle w:val="Title"/>
                                    <w:jc w:val="center"/>
                                  </w:pPr>
                                  <w:r>
                                    <w:t>Annual Monitoring, Periodic Review and Internal Audit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A4D2AC" id="Group 193" o:spid="_x0000_s1026" style="position:absolute;margin-left:37.2pt;margin-top:34.2pt;width:523.25pt;height:769.5pt;z-index:-251658240;mso-position-horizontal-relative:page;mso-position-vertical-relative:page" coordsize="68642,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41DDF421" w14:textId="77777777" w:rsidR="004D6AF8" w:rsidRDefault="004D6AF8">
                            <w:pPr>
                              <w:pStyle w:val="NoSpacing"/>
                              <w:spacing w:before="120"/>
                              <w:jc w:val="center"/>
                              <w:rPr>
                                <w:color w:val="FFFFFF" w:themeColor="background1"/>
                              </w:rPr>
                            </w:pPr>
                          </w:p>
                          <w:p w14:paraId="7AEB6DE0" w14:textId="4783A69F" w:rsidR="004D6AF8" w:rsidRPr="00242672" w:rsidRDefault="001C38A6">
                            <w:pPr>
                              <w:pStyle w:val="NoSpacing"/>
                              <w:spacing w:before="120"/>
                              <w:jc w:val="center"/>
                              <w:rPr>
                                <w:rFonts w:ascii="Calibri" w:hAnsi="Calibri" w:cs="Calibri"/>
                                <w:b/>
                                <w:bCs/>
                                <w:color w:val="FFFFFF" w:themeColor="background1"/>
                                <w:sz w:val="32"/>
                                <w:szCs w:val="28"/>
                              </w:rPr>
                            </w:pPr>
                            <w:sdt>
                              <w:sdtPr>
                                <w:rPr>
                                  <w:rFonts w:ascii="Calibri" w:hAnsi="Calibri" w:cs="Calibri"/>
                                  <w:b/>
                                  <w:bCs/>
                                  <w:caps/>
                                  <w:color w:val="FFFFFF" w:themeColor="background1"/>
                                  <w:sz w:val="32"/>
                                  <w:szCs w:val="28"/>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D6AF8" w:rsidRPr="00242672">
                                  <w:rPr>
                                    <w:rFonts w:ascii="Calibri" w:hAnsi="Calibri" w:cs="Calibri"/>
                                    <w:b/>
                                    <w:bCs/>
                                    <w:caps/>
                                    <w:color w:val="FFFFFF" w:themeColor="background1"/>
                                    <w:sz w:val="32"/>
                                    <w:szCs w:val="28"/>
                                  </w:rPr>
                                  <w:t xml:space="preserve">     </w:t>
                                </w:r>
                              </w:sdtContent>
                            </w:sdt>
                            <w:r w:rsidR="004D6AF8" w:rsidRPr="00242672">
                              <w:rPr>
                                <w:rFonts w:ascii="Calibri" w:hAnsi="Calibri" w:cs="Calibri"/>
                                <w:b/>
                                <w:bCs/>
                                <w:color w:val="FFFFFF" w:themeColor="background1"/>
                                <w:sz w:val="32"/>
                                <w:szCs w:val="28"/>
                              </w:rPr>
                              <w:t>  Updated October 202</w:t>
                            </w:r>
                            <w:r w:rsidR="004D6AF8">
                              <w:rPr>
                                <w:rFonts w:ascii="Calibri" w:hAnsi="Calibri" w:cs="Calibri"/>
                                <w:b/>
                                <w:bCs/>
                                <w:color w:val="FFFFFF" w:themeColor="background1"/>
                                <w:sz w:val="32"/>
                                <w:szCs w:val="28"/>
                              </w:rPr>
                              <w:t>1</w:t>
                            </w:r>
                          </w:p>
                        </w:txbxContent>
                      </v:textbox>
                    </v:rect>
                    <v:shapetype id="_x0000_t202" coordsize="21600,21600" o:spt="202" path="m,l,21600r21600,l21600,xe">
                      <v:stroke joinstyle="miter"/>
                      <v:path gradientshapeok="t" o:connecttype="rect"/>
                    </v:shapetype>
                    <v:shape id="Text Box 196" o:spid="_x0000_s1029" type="#_x0000_t202" style="position:absolute;left:62;top:11811;width:68580;height:5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2BAE6510" w14:textId="77777777" w:rsidR="004D6AF8" w:rsidRDefault="004D6AF8" w:rsidP="00403242">
                            <w:pPr>
                              <w:pStyle w:val="Title"/>
                              <w:jc w:val="center"/>
                            </w:pPr>
                          </w:p>
                          <w:p w14:paraId="172F6EE2" w14:textId="77777777" w:rsidR="004D6AF8" w:rsidRDefault="004D6AF8" w:rsidP="00403242">
                            <w:pPr>
                              <w:pStyle w:val="Title"/>
                              <w:jc w:val="center"/>
                            </w:pPr>
                          </w:p>
                          <w:p w14:paraId="0A441D2C" w14:textId="5C67DA52" w:rsidR="004D6AF8" w:rsidRDefault="004D6AF8" w:rsidP="00403242">
                            <w:pPr>
                              <w:pStyle w:val="Title"/>
                              <w:jc w:val="center"/>
                            </w:pPr>
                            <w:r>
                              <w:t>Chapter 3</w:t>
                            </w:r>
                          </w:p>
                          <w:p w14:paraId="6A701806" w14:textId="59F11825" w:rsidR="004D6AF8" w:rsidRPr="00403242" w:rsidRDefault="004D6AF8" w:rsidP="00403242">
                            <w:pPr>
                              <w:pStyle w:val="Title"/>
                              <w:jc w:val="center"/>
                            </w:pPr>
                            <w:r>
                              <w:t>Annual Monitoring, Periodic Review and Internal Audit</w:t>
                            </w:r>
                          </w:p>
                        </w:txbxContent>
                      </v:textbox>
                    </v:shape>
                    <w10:wrap anchorx="page" anchory="page"/>
                  </v:group>
                </w:pict>
              </mc:Fallback>
            </mc:AlternateContent>
          </w:r>
        </w:p>
        <w:p w14:paraId="3D47CA57" w14:textId="77777777" w:rsidR="00840176" w:rsidRDefault="00840176" w:rsidP="00A5704C">
          <w:r>
            <w:br w:type="page"/>
          </w:r>
        </w:p>
      </w:sdtContent>
    </w:sdt>
    <w:bookmarkStart w:id="1" w:name="_Toc48223580" w:displacedByCustomXml="next"/>
    <w:bookmarkStart w:id="2" w:name="_Toc50367622" w:displacedByCustomXml="next"/>
    <w:bookmarkStart w:id="3" w:name="_Toc50367842" w:displacedByCustomXml="next"/>
    <w:bookmarkStart w:id="4" w:name="_Toc89157891" w:displacedByCustomXml="nex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062A32A5" w14:textId="77777777" w:rsidR="001E2BD0" w:rsidRPr="00D243A7" w:rsidRDefault="00840176" w:rsidP="00BF473E">
          <w:pPr>
            <w:pStyle w:val="TOCHeading"/>
            <w:spacing w:line="360" w:lineRule="auto"/>
            <w:outlineLvl w:val="2"/>
            <w:rPr>
              <w:sz w:val="24"/>
              <w:szCs w:val="24"/>
            </w:rPr>
          </w:pPr>
          <w:r w:rsidRPr="00D243A7">
            <w:rPr>
              <w:sz w:val="24"/>
              <w:szCs w:val="24"/>
            </w:rPr>
            <w:t>Table of Contents</w:t>
          </w:r>
          <w:bookmarkEnd w:id="4"/>
          <w:bookmarkEnd w:id="3"/>
          <w:bookmarkEnd w:id="2"/>
          <w:bookmarkEnd w:id="1"/>
          <w:r w:rsidRPr="00D243A7">
            <w:rPr>
              <w:sz w:val="24"/>
              <w:szCs w:val="24"/>
            </w:rPr>
            <w:fldChar w:fldCharType="begin"/>
          </w:r>
          <w:r w:rsidRPr="00D243A7">
            <w:rPr>
              <w:sz w:val="24"/>
              <w:szCs w:val="24"/>
            </w:rPr>
            <w:instrText xml:space="preserve"> TOC \o "1-</w:instrText>
          </w:r>
          <w:r w:rsidR="001E2BD0" w:rsidRPr="00D243A7">
            <w:rPr>
              <w:sz w:val="24"/>
              <w:szCs w:val="24"/>
            </w:rPr>
            <w:instrText>4</w:instrText>
          </w:r>
        </w:p>
        <w:p w14:paraId="4AF221E9" w14:textId="77777777" w:rsidR="00B10AA5" w:rsidRDefault="00840176" w:rsidP="00BF473E">
          <w:pPr>
            <w:pStyle w:val="TOCHeading"/>
            <w:spacing w:line="360" w:lineRule="auto"/>
            <w:outlineLvl w:val="2"/>
            <w:rPr>
              <w:noProof/>
            </w:rPr>
          </w:pPr>
          <w:r w:rsidRPr="00D243A7">
            <w:rPr>
              <w:sz w:val="24"/>
              <w:szCs w:val="24"/>
            </w:rPr>
            <w:instrText xml:space="preserve">" \h \z \u </w:instrText>
          </w:r>
          <w:r w:rsidRPr="00D243A7">
            <w:rPr>
              <w:b w:val="0"/>
              <w:sz w:val="24"/>
              <w:szCs w:val="24"/>
            </w:rPr>
            <w:fldChar w:fldCharType="separate"/>
          </w:r>
        </w:p>
        <w:p w14:paraId="460BCB73" w14:textId="036B0097" w:rsidR="00B10AA5" w:rsidRDefault="001C38A6">
          <w:pPr>
            <w:pStyle w:val="TOC3"/>
            <w:rPr>
              <w:rFonts w:asciiTheme="minorHAnsi" w:eastAsiaTheme="minorEastAsia" w:hAnsiTheme="minorHAnsi"/>
              <w:noProof/>
              <w:sz w:val="22"/>
              <w:lang w:eastAsia="en-GB"/>
            </w:rPr>
          </w:pPr>
          <w:hyperlink w:anchor="_Toc89157891" w:history="1">
            <w:r w:rsidR="00B10AA5" w:rsidRPr="0086714D">
              <w:rPr>
                <w:rStyle w:val="Hyperlink"/>
                <w:noProof/>
              </w:rPr>
              <w:t>Table of Contents</w:t>
            </w:r>
            <w:r w:rsidR="00B10AA5">
              <w:rPr>
                <w:noProof/>
                <w:webHidden/>
              </w:rPr>
              <w:tab/>
            </w:r>
            <w:r w:rsidR="00B10AA5">
              <w:rPr>
                <w:noProof/>
                <w:webHidden/>
              </w:rPr>
              <w:fldChar w:fldCharType="begin"/>
            </w:r>
            <w:r w:rsidR="00B10AA5">
              <w:rPr>
                <w:noProof/>
                <w:webHidden/>
              </w:rPr>
              <w:instrText xml:space="preserve"> PAGEREF _Toc89157891 \h </w:instrText>
            </w:r>
            <w:r w:rsidR="00B10AA5">
              <w:rPr>
                <w:noProof/>
                <w:webHidden/>
              </w:rPr>
            </w:r>
            <w:r w:rsidR="00B10AA5">
              <w:rPr>
                <w:noProof/>
                <w:webHidden/>
              </w:rPr>
              <w:fldChar w:fldCharType="separate"/>
            </w:r>
            <w:r w:rsidR="00B10AA5">
              <w:rPr>
                <w:noProof/>
                <w:webHidden/>
              </w:rPr>
              <w:t>2</w:t>
            </w:r>
            <w:r w:rsidR="00B10AA5">
              <w:rPr>
                <w:noProof/>
                <w:webHidden/>
              </w:rPr>
              <w:fldChar w:fldCharType="end"/>
            </w:r>
          </w:hyperlink>
        </w:p>
        <w:p w14:paraId="4D88D285" w14:textId="228E8739" w:rsidR="00B10AA5" w:rsidRDefault="001C38A6">
          <w:pPr>
            <w:pStyle w:val="TOC1"/>
            <w:rPr>
              <w:rFonts w:asciiTheme="minorHAnsi" w:eastAsiaTheme="minorEastAsia" w:hAnsiTheme="minorHAnsi"/>
              <w:noProof/>
              <w:sz w:val="22"/>
              <w:lang w:eastAsia="en-GB"/>
            </w:rPr>
          </w:pPr>
          <w:hyperlink w:anchor="_Toc89157892" w:history="1">
            <w:r w:rsidR="00B10AA5" w:rsidRPr="0086714D">
              <w:rPr>
                <w:rStyle w:val="Hyperlink"/>
                <w:noProof/>
              </w:rPr>
              <w:t>INTRODUCTION</w:t>
            </w:r>
            <w:r w:rsidR="00B10AA5">
              <w:rPr>
                <w:noProof/>
                <w:webHidden/>
              </w:rPr>
              <w:tab/>
            </w:r>
            <w:r w:rsidR="00B10AA5">
              <w:rPr>
                <w:noProof/>
                <w:webHidden/>
              </w:rPr>
              <w:fldChar w:fldCharType="begin"/>
            </w:r>
            <w:r w:rsidR="00B10AA5">
              <w:rPr>
                <w:noProof/>
                <w:webHidden/>
              </w:rPr>
              <w:instrText xml:space="preserve"> PAGEREF _Toc89157892 \h </w:instrText>
            </w:r>
            <w:r w:rsidR="00B10AA5">
              <w:rPr>
                <w:noProof/>
                <w:webHidden/>
              </w:rPr>
            </w:r>
            <w:r w:rsidR="00B10AA5">
              <w:rPr>
                <w:noProof/>
                <w:webHidden/>
              </w:rPr>
              <w:fldChar w:fldCharType="separate"/>
            </w:r>
            <w:r w:rsidR="00B10AA5">
              <w:rPr>
                <w:noProof/>
                <w:webHidden/>
              </w:rPr>
              <w:t>3</w:t>
            </w:r>
            <w:r w:rsidR="00B10AA5">
              <w:rPr>
                <w:noProof/>
                <w:webHidden/>
              </w:rPr>
              <w:fldChar w:fldCharType="end"/>
            </w:r>
          </w:hyperlink>
        </w:p>
        <w:p w14:paraId="150106B2" w14:textId="40013424" w:rsidR="00B10AA5" w:rsidRDefault="001C38A6">
          <w:pPr>
            <w:pStyle w:val="TOC2"/>
            <w:rPr>
              <w:rFonts w:asciiTheme="minorHAnsi" w:eastAsiaTheme="minorEastAsia" w:hAnsiTheme="minorHAnsi"/>
              <w:noProof/>
              <w:sz w:val="22"/>
              <w:lang w:eastAsia="en-GB"/>
            </w:rPr>
          </w:pPr>
          <w:hyperlink w:anchor="_Toc89157893" w:history="1">
            <w:r w:rsidR="00B10AA5" w:rsidRPr="0086714D">
              <w:rPr>
                <w:rStyle w:val="Hyperlink"/>
                <w:noProof/>
              </w:rPr>
              <w:t>ANNUAL MONITORING</w:t>
            </w:r>
            <w:r w:rsidR="00B10AA5">
              <w:rPr>
                <w:noProof/>
                <w:webHidden/>
              </w:rPr>
              <w:tab/>
            </w:r>
            <w:r w:rsidR="00B10AA5">
              <w:rPr>
                <w:noProof/>
                <w:webHidden/>
              </w:rPr>
              <w:fldChar w:fldCharType="begin"/>
            </w:r>
            <w:r w:rsidR="00B10AA5">
              <w:rPr>
                <w:noProof/>
                <w:webHidden/>
              </w:rPr>
              <w:instrText xml:space="preserve"> PAGEREF _Toc89157893 \h </w:instrText>
            </w:r>
            <w:r w:rsidR="00B10AA5">
              <w:rPr>
                <w:noProof/>
                <w:webHidden/>
              </w:rPr>
            </w:r>
            <w:r w:rsidR="00B10AA5">
              <w:rPr>
                <w:noProof/>
                <w:webHidden/>
              </w:rPr>
              <w:fldChar w:fldCharType="separate"/>
            </w:r>
            <w:r w:rsidR="00B10AA5">
              <w:rPr>
                <w:noProof/>
                <w:webHidden/>
              </w:rPr>
              <w:t>4</w:t>
            </w:r>
            <w:r w:rsidR="00B10AA5">
              <w:rPr>
                <w:noProof/>
                <w:webHidden/>
              </w:rPr>
              <w:fldChar w:fldCharType="end"/>
            </w:r>
          </w:hyperlink>
        </w:p>
        <w:p w14:paraId="636A8DFD" w14:textId="1D0AEEF7" w:rsidR="00B10AA5" w:rsidRDefault="001C38A6">
          <w:pPr>
            <w:pStyle w:val="TOC3"/>
            <w:rPr>
              <w:rFonts w:asciiTheme="minorHAnsi" w:eastAsiaTheme="minorEastAsia" w:hAnsiTheme="minorHAnsi"/>
              <w:noProof/>
              <w:sz w:val="22"/>
              <w:lang w:eastAsia="en-GB"/>
            </w:rPr>
          </w:pPr>
          <w:hyperlink w:anchor="_Toc89157894" w:history="1">
            <w:r w:rsidR="00B10AA5" w:rsidRPr="0086714D">
              <w:rPr>
                <w:rStyle w:val="Hyperlink"/>
                <w:noProof/>
              </w:rPr>
              <w:t>Annual Monitoring of modules and programmes</w:t>
            </w:r>
            <w:r w:rsidR="00B10AA5">
              <w:rPr>
                <w:noProof/>
                <w:webHidden/>
              </w:rPr>
              <w:tab/>
            </w:r>
            <w:r w:rsidR="00B10AA5">
              <w:rPr>
                <w:noProof/>
                <w:webHidden/>
              </w:rPr>
              <w:fldChar w:fldCharType="begin"/>
            </w:r>
            <w:r w:rsidR="00B10AA5">
              <w:rPr>
                <w:noProof/>
                <w:webHidden/>
              </w:rPr>
              <w:instrText xml:space="preserve"> PAGEREF _Toc89157894 \h </w:instrText>
            </w:r>
            <w:r w:rsidR="00B10AA5">
              <w:rPr>
                <w:noProof/>
                <w:webHidden/>
              </w:rPr>
            </w:r>
            <w:r w:rsidR="00B10AA5">
              <w:rPr>
                <w:noProof/>
                <w:webHidden/>
              </w:rPr>
              <w:fldChar w:fldCharType="separate"/>
            </w:r>
            <w:r w:rsidR="00B10AA5">
              <w:rPr>
                <w:noProof/>
                <w:webHidden/>
              </w:rPr>
              <w:t>5</w:t>
            </w:r>
            <w:r w:rsidR="00B10AA5">
              <w:rPr>
                <w:noProof/>
                <w:webHidden/>
              </w:rPr>
              <w:fldChar w:fldCharType="end"/>
            </w:r>
          </w:hyperlink>
        </w:p>
        <w:p w14:paraId="09D60D03" w14:textId="765914CD" w:rsidR="00B10AA5" w:rsidRDefault="001C38A6">
          <w:pPr>
            <w:pStyle w:val="TOC3"/>
            <w:rPr>
              <w:rFonts w:asciiTheme="minorHAnsi" w:eastAsiaTheme="minorEastAsia" w:hAnsiTheme="minorHAnsi"/>
              <w:noProof/>
              <w:sz w:val="22"/>
              <w:lang w:eastAsia="en-GB"/>
            </w:rPr>
          </w:pPr>
          <w:hyperlink w:anchor="_Toc89157895" w:history="1">
            <w:r w:rsidR="00B10AA5" w:rsidRPr="0086714D">
              <w:rPr>
                <w:rStyle w:val="Hyperlink"/>
                <w:noProof/>
              </w:rPr>
              <w:t>Departmental Annual Monitoring</w:t>
            </w:r>
            <w:r w:rsidR="00B10AA5">
              <w:rPr>
                <w:noProof/>
                <w:webHidden/>
              </w:rPr>
              <w:tab/>
            </w:r>
            <w:r w:rsidR="00B10AA5">
              <w:rPr>
                <w:noProof/>
                <w:webHidden/>
              </w:rPr>
              <w:fldChar w:fldCharType="begin"/>
            </w:r>
            <w:r w:rsidR="00B10AA5">
              <w:rPr>
                <w:noProof/>
                <w:webHidden/>
              </w:rPr>
              <w:instrText xml:space="preserve"> PAGEREF _Toc89157895 \h </w:instrText>
            </w:r>
            <w:r w:rsidR="00B10AA5">
              <w:rPr>
                <w:noProof/>
                <w:webHidden/>
              </w:rPr>
            </w:r>
            <w:r w:rsidR="00B10AA5">
              <w:rPr>
                <w:noProof/>
                <w:webHidden/>
              </w:rPr>
              <w:fldChar w:fldCharType="separate"/>
            </w:r>
            <w:r w:rsidR="00B10AA5">
              <w:rPr>
                <w:noProof/>
                <w:webHidden/>
              </w:rPr>
              <w:t>6</w:t>
            </w:r>
            <w:r w:rsidR="00B10AA5">
              <w:rPr>
                <w:noProof/>
                <w:webHidden/>
              </w:rPr>
              <w:fldChar w:fldCharType="end"/>
            </w:r>
          </w:hyperlink>
        </w:p>
        <w:p w14:paraId="73BDE75B" w14:textId="666E5E14" w:rsidR="00B10AA5" w:rsidRDefault="001C38A6">
          <w:pPr>
            <w:pStyle w:val="TOC4"/>
            <w:tabs>
              <w:tab w:val="right" w:leader="dot" w:pos="9016"/>
            </w:tabs>
            <w:rPr>
              <w:rFonts w:asciiTheme="minorHAnsi" w:eastAsiaTheme="minorEastAsia" w:hAnsiTheme="minorHAnsi"/>
              <w:noProof/>
              <w:sz w:val="22"/>
              <w:lang w:eastAsia="en-GB"/>
            </w:rPr>
          </w:pPr>
          <w:hyperlink w:anchor="_Toc89157896" w:history="1">
            <w:r w:rsidR="00B10AA5" w:rsidRPr="0086714D">
              <w:rPr>
                <w:rStyle w:val="Hyperlink"/>
                <w:noProof/>
              </w:rPr>
              <w:t>Table 1: Departmental Planning Units (updated October 2020)</w:t>
            </w:r>
            <w:r w:rsidR="00B10AA5">
              <w:rPr>
                <w:noProof/>
                <w:webHidden/>
              </w:rPr>
              <w:tab/>
            </w:r>
            <w:r w:rsidR="00B10AA5">
              <w:rPr>
                <w:noProof/>
                <w:webHidden/>
              </w:rPr>
              <w:fldChar w:fldCharType="begin"/>
            </w:r>
            <w:r w:rsidR="00B10AA5">
              <w:rPr>
                <w:noProof/>
                <w:webHidden/>
              </w:rPr>
              <w:instrText xml:space="preserve"> PAGEREF _Toc89157896 \h </w:instrText>
            </w:r>
            <w:r w:rsidR="00B10AA5">
              <w:rPr>
                <w:noProof/>
                <w:webHidden/>
              </w:rPr>
            </w:r>
            <w:r w:rsidR="00B10AA5">
              <w:rPr>
                <w:noProof/>
                <w:webHidden/>
              </w:rPr>
              <w:fldChar w:fldCharType="separate"/>
            </w:r>
            <w:r w:rsidR="00B10AA5">
              <w:rPr>
                <w:noProof/>
                <w:webHidden/>
              </w:rPr>
              <w:t>6</w:t>
            </w:r>
            <w:r w:rsidR="00B10AA5">
              <w:rPr>
                <w:noProof/>
                <w:webHidden/>
              </w:rPr>
              <w:fldChar w:fldCharType="end"/>
            </w:r>
          </w:hyperlink>
        </w:p>
        <w:p w14:paraId="576181E6" w14:textId="0BF29179" w:rsidR="00B10AA5" w:rsidRDefault="001C38A6">
          <w:pPr>
            <w:pStyle w:val="TOC4"/>
            <w:tabs>
              <w:tab w:val="right" w:leader="dot" w:pos="9016"/>
            </w:tabs>
            <w:rPr>
              <w:rFonts w:asciiTheme="minorHAnsi" w:eastAsiaTheme="minorEastAsia" w:hAnsiTheme="minorHAnsi"/>
              <w:noProof/>
              <w:sz w:val="22"/>
              <w:lang w:eastAsia="en-GB"/>
            </w:rPr>
          </w:pPr>
          <w:hyperlink w:anchor="_Toc89157897" w:history="1">
            <w:r w:rsidR="00B10AA5" w:rsidRPr="0086714D">
              <w:rPr>
                <w:rStyle w:val="Hyperlink"/>
                <w:noProof/>
              </w:rPr>
              <w:t>Affirmation of Standards and Quality</w:t>
            </w:r>
            <w:r w:rsidR="00B10AA5">
              <w:rPr>
                <w:noProof/>
                <w:webHidden/>
              </w:rPr>
              <w:tab/>
            </w:r>
            <w:r w:rsidR="00B10AA5">
              <w:rPr>
                <w:noProof/>
                <w:webHidden/>
              </w:rPr>
              <w:fldChar w:fldCharType="begin"/>
            </w:r>
            <w:r w:rsidR="00B10AA5">
              <w:rPr>
                <w:noProof/>
                <w:webHidden/>
              </w:rPr>
              <w:instrText xml:space="preserve"> PAGEREF _Toc89157897 \h </w:instrText>
            </w:r>
            <w:r w:rsidR="00B10AA5">
              <w:rPr>
                <w:noProof/>
                <w:webHidden/>
              </w:rPr>
            </w:r>
            <w:r w:rsidR="00B10AA5">
              <w:rPr>
                <w:noProof/>
                <w:webHidden/>
              </w:rPr>
              <w:fldChar w:fldCharType="separate"/>
            </w:r>
            <w:r w:rsidR="00B10AA5">
              <w:rPr>
                <w:noProof/>
                <w:webHidden/>
              </w:rPr>
              <w:t>7</w:t>
            </w:r>
            <w:r w:rsidR="00B10AA5">
              <w:rPr>
                <w:noProof/>
                <w:webHidden/>
              </w:rPr>
              <w:fldChar w:fldCharType="end"/>
            </w:r>
          </w:hyperlink>
        </w:p>
        <w:p w14:paraId="52C12780" w14:textId="751C2765" w:rsidR="00B10AA5" w:rsidRDefault="001C38A6">
          <w:pPr>
            <w:pStyle w:val="TOC4"/>
            <w:tabs>
              <w:tab w:val="right" w:leader="dot" w:pos="9016"/>
            </w:tabs>
            <w:rPr>
              <w:rFonts w:asciiTheme="minorHAnsi" w:eastAsiaTheme="minorEastAsia" w:hAnsiTheme="minorHAnsi"/>
              <w:noProof/>
              <w:sz w:val="22"/>
              <w:lang w:eastAsia="en-GB"/>
            </w:rPr>
          </w:pPr>
          <w:hyperlink w:anchor="_Toc89157898" w:history="1">
            <w:r w:rsidR="00B10AA5" w:rsidRPr="0086714D">
              <w:rPr>
                <w:rStyle w:val="Hyperlink"/>
                <w:noProof/>
              </w:rPr>
              <w:t>Quality Enhancement Plans</w:t>
            </w:r>
            <w:r w:rsidR="00B10AA5">
              <w:rPr>
                <w:noProof/>
                <w:webHidden/>
              </w:rPr>
              <w:tab/>
            </w:r>
            <w:r w:rsidR="00B10AA5">
              <w:rPr>
                <w:noProof/>
                <w:webHidden/>
              </w:rPr>
              <w:fldChar w:fldCharType="begin"/>
            </w:r>
            <w:r w:rsidR="00B10AA5">
              <w:rPr>
                <w:noProof/>
                <w:webHidden/>
              </w:rPr>
              <w:instrText xml:space="preserve"> PAGEREF _Toc89157898 \h </w:instrText>
            </w:r>
            <w:r w:rsidR="00B10AA5">
              <w:rPr>
                <w:noProof/>
                <w:webHidden/>
              </w:rPr>
            </w:r>
            <w:r w:rsidR="00B10AA5">
              <w:rPr>
                <w:noProof/>
                <w:webHidden/>
              </w:rPr>
              <w:fldChar w:fldCharType="separate"/>
            </w:r>
            <w:r w:rsidR="00B10AA5">
              <w:rPr>
                <w:noProof/>
                <w:webHidden/>
              </w:rPr>
              <w:t>8</w:t>
            </w:r>
            <w:r w:rsidR="00B10AA5">
              <w:rPr>
                <w:noProof/>
                <w:webHidden/>
              </w:rPr>
              <w:fldChar w:fldCharType="end"/>
            </w:r>
          </w:hyperlink>
        </w:p>
        <w:p w14:paraId="57153643" w14:textId="0957EEED" w:rsidR="00B10AA5" w:rsidRDefault="001C38A6">
          <w:pPr>
            <w:pStyle w:val="TOC3"/>
            <w:rPr>
              <w:rFonts w:asciiTheme="minorHAnsi" w:eastAsiaTheme="minorEastAsia" w:hAnsiTheme="minorHAnsi"/>
              <w:noProof/>
              <w:sz w:val="22"/>
              <w:lang w:eastAsia="en-GB"/>
            </w:rPr>
          </w:pPr>
          <w:hyperlink w:anchor="_Toc89157899" w:history="1">
            <w:r w:rsidR="00B10AA5" w:rsidRPr="0086714D">
              <w:rPr>
                <w:rStyle w:val="Hyperlink"/>
                <w:noProof/>
              </w:rPr>
              <w:t>Annual Monitoring for PSRBs</w:t>
            </w:r>
            <w:r w:rsidR="00B10AA5">
              <w:rPr>
                <w:noProof/>
                <w:webHidden/>
              </w:rPr>
              <w:tab/>
            </w:r>
            <w:r w:rsidR="00B10AA5">
              <w:rPr>
                <w:noProof/>
                <w:webHidden/>
              </w:rPr>
              <w:fldChar w:fldCharType="begin"/>
            </w:r>
            <w:r w:rsidR="00B10AA5">
              <w:rPr>
                <w:noProof/>
                <w:webHidden/>
              </w:rPr>
              <w:instrText xml:space="preserve"> PAGEREF _Toc89157899 \h </w:instrText>
            </w:r>
            <w:r w:rsidR="00B10AA5">
              <w:rPr>
                <w:noProof/>
                <w:webHidden/>
              </w:rPr>
            </w:r>
            <w:r w:rsidR="00B10AA5">
              <w:rPr>
                <w:noProof/>
                <w:webHidden/>
              </w:rPr>
              <w:fldChar w:fldCharType="separate"/>
            </w:r>
            <w:r w:rsidR="00B10AA5">
              <w:rPr>
                <w:noProof/>
                <w:webHidden/>
              </w:rPr>
              <w:t>9</w:t>
            </w:r>
            <w:r w:rsidR="00B10AA5">
              <w:rPr>
                <w:noProof/>
                <w:webHidden/>
              </w:rPr>
              <w:fldChar w:fldCharType="end"/>
            </w:r>
          </w:hyperlink>
        </w:p>
        <w:p w14:paraId="63CF7D3B" w14:textId="77D79EE3" w:rsidR="00B10AA5" w:rsidRDefault="001C38A6">
          <w:pPr>
            <w:pStyle w:val="TOC3"/>
            <w:rPr>
              <w:rFonts w:asciiTheme="minorHAnsi" w:eastAsiaTheme="minorEastAsia" w:hAnsiTheme="minorHAnsi"/>
              <w:noProof/>
              <w:sz w:val="22"/>
              <w:lang w:eastAsia="en-GB"/>
            </w:rPr>
          </w:pPr>
          <w:hyperlink w:anchor="_Toc89157900" w:history="1">
            <w:r w:rsidR="00B10AA5" w:rsidRPr="0086714D">
              <w:rPr>
                <w:rStyle w:val="Hyperlink"/>
                <w:noProof/>
              </w:rPr>
              <w:t>Annual Review of Academic Partnerships</w:t>
            </w:r>
            <w:r w:rsidR="00B10AA5">
              <w:rPr>
                <w:noProof/>
                <w:webHidden/>
              </w:rPr>
              <w:tab/>
            </w:r>
            <w:r w:rsidR="00B10AA5">
              <w:rPr>
                <w:noProof/>
                <w:webHidden/>
              </w:rPr>
              <w:fldChar w:fldCharType="begin"/>
            </w:r>
            <w:r w:rsidR="00B10AA5">
              <w:rPr>
                <w:noProof/>
                <w:webHidden/>
              </w:rPr>
              <w:instrText xml:space="preserve"> PAGEREF _Toc89157900 \h </w:instrText>
            </w:r>
            <w:r w:rsidR="00B10AA5">
              <w:rPr>
                <w:noProof/>
                <w:webHidden/>
              </w:rPr>
            </w:r>
            <w:r w:rsidR="00B10AA5">
              <w:rPr>
                <w:noProof/>
                <w:webHidden/>
              </w:rPr>
              <w:fldChar w:fldCharType="separate"/>
            </w:r>
            <w:r w:rsidR="00B10AA5">
              <w:rPr>
                <w:noProof/>
                <w:webHidden/>
              </w:rPr>
              <w:t>9</w:t>
            </w:r>
            <w:r w:rsidR="00B10AA5">
              <w:rPr>
                <w:noProof/>
                <w:webHidden/>
              </w:rPr>
              <w:fldChar w:fldCharType="end"/>
            </w:r>
          </w:hyperlink>
        </w:p>
        <w:p w14:paraId="2A0438EC" w14:textId="15FF710F" w:rsidR="00B10AA5" w:rsidRDefault="001C38A6">
          <w:pPr>
            <w:pStyle w:val="TOC3"/>
            <w:rPr>
              <w:rFonts w:asciiTheme="minorHAnsi" w:eastAsiaTheme="minorEastAsia" w:hAnsiTheme="minorHAnsi"/>
              <w:noProof/>
              <w:sz w:val="22"/>
              <w:lang w:eastAsia="en-GB"/>
            </w:rPr>
          </w:pPr>
          <w:hyperlink w:anchor="_Toc89157901" w:history="1">
            <w:r w:rsidR="00B10AA5" w:rsidRPr="0086714D">
              <w:rPr>
                <w:rStyle w:val="Hyperlink"/>
                <w:noProof/>
              </w:rPr>
              <w:t>University Annual Monitoring Report</w:t>
            </w:r>
            <w:r w:rsidR="00B10AA5">
              <w:rPr>
                <w:noProof/>
                <w:webHidden/>
              </w:rPr>
              <w:tab/>
            </w:r>
            <w:r w:rsidR="00B10AA5">
              <w:rPr>
                <w:noProof/>
                <w:webHidden/>
              </w:rPr>
              <w:fldChar w:fldCharType="begin"/>
            </w:r>
            <w:r w:rsidR="00B10AA5">
              <w:rPr>
                <w:noProof/>
                <w:webHidden/>
              </w:rPr>
              <w:instrText xml:space="preserve"> PAGEREF _Toc89157901 \h </w:instrText>
            </w:r>
            <w:r w:rsidR="00B10AA5">
              <w:rPr>
                <w:noProof/>
                <w:webHidden/>
              </w:rPr>
            </w:r>
            <w:r w:rsidR="00B10AA5">
              <w:rPr>
                <w:noProof/>
                <w:webHidden/>
              </w:rPr>
              <w:fldChar w:fldCharType="separate"/>
            </w:r>
            <w:r w:rsidR="00B10AA5">
              <w:rPr>
                <w:noProof/>
                <w:webHidden/>
              </w:rPr>
              <w:t>10</w:t>
            </w:r>
            <w:r w:rsidR="00B10AA5">
              <w:rPr>
                <w:noProof/>
                <w:webHidden/>
              </w:rPr>
              <w:fldChar w:fldCharType="end"/>
            </w:r>
          </w:hyperlink>
        </w:p>
        <w:p w14:paraId="7F086C34" w14:textId="5F4AE833" w:rsidR="00B10AA5" w:rsidRDefault="001C38A6">
          <w:pPr>
            <w:pStyle w:val="TOC3"/>
            <w:rPr>
              <w:rFonts w:asciiTheme="minorHAnsi" w:eastAsiaTheme="minorEastAsia" w:hAnsiTheme="minorHAnsi"/>
              <w:noProof/>
              <w:sz w:val="22"/>
              <w:lang w:eastAsia="en-GB"/>
            </w:rPr>
          </w:pPr>
          <w:hyperlink w:anchor="_Toc89157902" w:history="1">
            <w:r w:rsidR="00B10AA5" w:rsidRPr="0086714D">
              <w:rPr>
                <w:rStyle w:val="Hyperlink"/>
                <w:noProof/>
              </w:rPr>
              <w:t>Academic Assurance Report</w:t>
            </w:r>
            <w:r w:rsidR="00B10AA5">
              <w:rPr>
                <w:noProof/>
                <w:webHidden/>
              </w:rPr>
              <w:tab/>
            </w:r>
            <w:r w:rsidR="00B10AA5">
              <w:rPr>
                <w:noProof/>
                <w:webHidden/>
              </w:rPr>
              <w:fldChar w:fldCharType="begin"/>
            </w:r>
            <w:r w:rsidR="00B10AA5">
              <w:rPr>
                <w:noProof/>
                <w:webHidden/>
              </w:rPr>
              <w:instrText xml:space="preserve"> PAGEREF _Toc89157902 \h </w:instrText>
            </w:r>
            <w:r w:rsidR="00B10AA5">
              <w:rPr>
                <w:noProof/>
                <w:webHidden/>
              </w:rPr>
            </w:r>
            <w:r w:rsidR="00B10AA5">
              <w:rPr>
                <w:noProof/>
                <w:webHidden/>
              </w:rPr>
              <w:fldChar w:fldCharType="separate"/>
            </w:r>
            <w:r w:rsidR="00B10AA5">
              <w:rPr>
                <w:noProof/>
                <w:webHidden/>
              </w:rPr>
              <w:t>10</w:t>
            </w:r>
            <w:r w:rsidR="00B10AA5">
              <w:rPr>
                <w:noProof/>
                <w:webHidden/>
              </w:rPr>
              <w:fldChar w:fldCharType="end"/>
            </w:r>
          </w:hyperlink>
        </w:p>
        <w:p w14:paraId="012C091F" w14:textId="1C7D8D56" w:rsidR="00B10AA5" w:rsidRDefault="001C38A6">
          <w:pPr>
            <w:pStyle w:val="TOC2"/>
            <w:rPr>
              <w:rFonts w:asciiTheme="minorHAnsi" w:eastAsiaTheme="minorEastAsia" w:hAnsiTheme="minorHAnsi"/>
              <w:noProof/>
              <w:sz w:val="22"/>
              <w:lang w:eastAsia="en-GB"/>
            </w:rPr>
          </w:pPr>
          <w:hyperlink w:anchor="_Toc89157903" w:history="1">
            <w:r w:rsidR="00B10AA5" w:rsidRPr="0086714D">
              <w:rPr>
                <w:rStyle w:val="Hyperlink"/>
                <w:noProof/>
              </w:rPr>
              <w:t>PERIODIC REVIEW</w:t>
            </w:r>
            <w:r w:rsidR="00B10AA5">
              <w:rPr>
                <w:noProof/>
                <w:webHidden/>
              </w:rPr>
              <w:tab/>
            </w:r>
            <w:r w:rsidR="00B10AA5">
              <w:rPr>
                <w:noProof/>
                <w:webHidden/>
              </w:rPr>
              <w:fldChar w:fldCharType="begin"/>
            </w:r>
            <w:r w:rsidR="00B10AA5">
              <w:rPr>
                <w:noProof/>
                <w:webHidden/>
              </w:rPr>
              <w:instrText xml:space="preserve"> PAGEREF _Toc89157903 \h </w:instrText>
            </w:r>
            <w:r w:rsidR="00B10AA5">
              <w:rPr>
                <w:noProof/>
                <w:webHidden/>
              </w:rPr>
            </w:r>
            <w:r w:rsidR="00B10AA5">
              <w:rPr>
                <w:noProof/>
                <w:webHidden/>
              </w:rPr>
              <w:fldChar w:fldCharType="separate"/>
            </w:r>
            <w:r w:rsidR="00B10AA5">
              <w:rPr>
                <w:noProof/>
                <w:webHidden/>
              </w:rPr>
              <w:t>11</w:t>
            </w:r>
            <w:r w:rsidR="00B10AA5">
              <w:rPr>
                <w:noProof/>
                <w:webHidden/>
              </w:rPr>
              <w:fldChar w:fldCharType="end"/>
            </w:r>
          </w:hyperlink>
        </w:p>
        <w:p w14:paraId="1166920D" w14:textId="390F9B26" w:rsidR="00B10AA5" w:rsidRDefault="001C38A6">
          <w:pPr>
            <w:pStyle w:val="TOC4"/>
            <w:tabs>
              <w:tab w:val="right" w:leader="dot" w:pos="9016"/>
            </w:tabs>
            <w:rPr>
              <w:rFonts w:asciiTheme="minorHAnsi" w:eastAsiaTheme="minorEastAsia" w:hAnsiTheme="minorHAnsi"/>
              <w:noProof/>
              <w:sz w:val="22"/>
              <w:lang w:eastAsia="en-GB"/>
            </w:rPr>
          </w:pPr>
          <w:hyperlink w:anchor="_Toc89157904" w:history="1">
            <w:r w:rsidR="00B10AA5" w:rsidRPr="0086714D">
              <w:rPr>
                <w:rStyle w:val="Hyperlink"/>
                <w:noProof/>
              </w:rPr>
              <w:t>Table 2: ‘</w:t>
            </w:r>
            <w:r w:rsidR="00B10AA5" w:rsidRPr="0086714D">
              <w:rPr>
                <w:rStyle w:val="Hyperlink"/>
                <w:i/>
                <w:noProof/>
              </w:rPr>
              <w:t>Edge Hill University Periodic Review Cycle’</w:t>
            </w:r>
            <w:r w:rsidR="00B10AA5" w:rsidRPr="0086714D">
              <w:rPr>
                <w:rStyle w:val="Hyperlink"/>
                <w:noProof/>
              </w:rPr>
              <w:t xml:space="preserve"> (updated October 2021)</w:t>
            </w:r>
            <w:r w:rsidR="00B10AA5">
              <w:rPr>
                <w:noProof/>
                <w:webHidden/>
              </w:rPr>
              <w:tab/>
            </w:r>
            <w:r w:rsidR="00B10AA5">
              <w:rPr>
                <w:noProof/>
                <w:webHidden/>
              </w:rPr>
              <w:fldChar w:fldCharType="begin"/>
            </w:r>
            <w:r w:rsidR="00B10AA5">
              <w:rPr>
                <w:noProof/>
                <w:webHidden/>
              </w:rPr>
              <w:instrText xml:space="preserve"> PAGEREF _Toc89157904 \h </w:instrText>
            </w:r>
            <w:r w:rsidR="00B10AA5">
              <w:rPr>
                <w:noProof/>
                <w:webHidden/>
              </w:rPr>
            </w:r>
            <w:r w:rsidR="00B10AA5">
              <w:rPr>
                <w:noProof/>
                <w:webHidden/>
              </w:rPr>
              <w:fldChar w:fldCharType="separate"/>
            </w:r>
            <w:r w:rsidR="00B10AA5">
              <w:rPr>
                <w:noProof/>
                <w:webHidden/>
              </w:rPr>
              <w:t>12</w:t>
            </w:r>
            <w:r w:rsidR="00B10AA5">
              <w:rPr>
                <w:noProof/>
                <w:webHidden/>
              </w:rPr>
              <w:fldChar w:fldCharType="end"/>
            </w:r>
          </w:hyperlink>
        </w:p>
        <w:p w14:paraId="26FDC183" w14:textId="193E3E60" w:rsidR="00B10AA5" w:rsidRDefault="001C38A6">
          <w:pPr>
            <w:pStyle w:val="TOC4"/>
            <w:tabs>
              <w:tab w:val="right" w:leader="dot" w:pos="9016"/>
            </w:tabs>
            <w:rPr>
              <w:rFonts w:asciiTheme="minorHAnsi" w:eastAsiaTheme="minorEastAsia" w:hAnsiTheme="minorHAnsi"/>
              <w:noProof/>
              <w:sz w:val="22"/>
              <w:lang w:eastAsia="en-GB"/>
            </w:rPr>
          </w:pPr>
          <w:hyperlink w:anchor="_Toc89157905" w:history="1">
            <w:r w:rsidR="00B10AA5" w:rsidRPr="0086714D">
              <w:rPr>
                <w:rStyle w:val="Hyperlink"/>
                <w:noProof/>
              </w:rPr>
              <w:t>Programme Transfers between Departments</w:t>
            </w:r>
            <w:r w:rsidR="00B10AA5">
              <w:rPr>
                <w:noProof/>
                <w:webHidden/>
              </w:rPr>
              <w:tab/>
            </w:r>
            <w:r w:rsidR="00B10AA5">
              <w:rPr>
                <w:noProof/>
                <w:webHidden/>
              </w:rPr>
              <w:fldChar w:fldCharType="begin"/>
            </w:r>
            <w:r w:rsidR="00B10AA5">
              <w:rPr>
                <w:noProof/>
                <w:webHidden/>
              </w:rPr>
              <w:instrText xml:space="preserve"> PAGEREF _Toc89157905 \h </w:instrText>
            </w:r>
            <w:r w:rsidR="00B10AA5">
              <w:rPr>
                <w:noProof/>
                <w:webHidden/>
              </w:rPr>
            </w:r>
            <w:r w:rsidR="00B10AA5">
              <w:rPr>
                <w:noProof/>
                <w:webHidden/>
              </w:rPr>
              <w:fldChar w:fldCharType="separate"/>
            </w:r>
            <w:r w:rsidR="00B10AA5">
              <w:rPr>
                <w:noProof/>
                <w:webHidden/>
              </w:rPr>
              <w:t>13</w:t>
            </w:r>
            <w:r w:rsidR="00B10AA5">
              <w:rPr>
                <w:noProof/>
                <w:webHidden/>
              </w:rPr>
              <w:fldChar w:fldCharType="end"/>
            </w:r>
          </w:hyperlink>
        </w:p>
        <w:p w14:paraId="6FF573D3" w14:textId="25849F26" w:rsidR="00B10AA5" w:rsidRDefault="001C38A6">
          <w:pPr>
            <w:pStyle w:val="TOC2"/>
            <w:rPr>
              <w:rFonts w:asciiTheme="minorHAnsi" w:eastAsiaTheme="minorEastAsia" w:hAnsiTheme="minorHAnsi"/>
              <w:noProof/>
              <w:sz w:val="22"/>
              <w:lang w:eastAsia="en-GB"/>
            </w:rPr>
          </w:pPr>
          <w:hyperlink w:anchor="_Toc89157906" w:history="1">
            <w:r w:rsidR="00B10AA5" w:rsidRPr="0086714D">
              <w:rPr>
                <w:rStyle w:val="Hyperlink"/>
                <w:noProof/>
              </w:rPr>
              <w:t>INTERNAL AUDIT</w:t>
            </w:r>
            <w:r w:rsidR="00B10AA5">
              <w:rPr>
                <w:noProof/>
                <w:webHidden/>
              </w:rPr>
              <w:tab/>
            </w:r>
            <w:r w:rsidR="00B10AA5">
              <w:rPr>
                <w:noProof/>
                <w:webHidden/>
              </w:rPr>
              <w:fldChar w:fldCharType="begin"/>
            </w:r>
            <w:r w:rsidR="00B10AA5">
              <w:rPr>
                <w:noProof/>
                <w:webHidden/>
              </w:rPr>
              <w:instrText xml:space="preserve"> PAGEREF _Toc89157906 \h </w:instrText>
            </w:r>
            <w:r w:rsidR="00B10AA5">
              <w:rPr>
                <w:noProof/>
                <w:webHidden/>
              </w:rPr>
            </w:r>
            <w:r w:rsidR="00B10AA5">
              <w:rPr>
                <w:noProof/>
                <w:webHidden/>
              </w:rPr>
              <w:fldChar w:fldCharType="separate"/>
            </w:r>
            <w:r w:rsidR="00B10AA5">
              <w:rPr>
                <w:noProof/>
                <w:webHidden/>
              </w:rPr>
              <w:t>13</w:t>
            </w:r>
            <w:r w:rsidR="00B10AA5">
              <w:rPr>
                <w:noProof/>
                <w:webHidden/>
              </w:rPr>
              <w:fldChar w:fldCharType="end"/>
            </w:r>
          </w:hyperlink>
        </w:p>
        <w:p w14:paraId="366954CF" w14:textId="672A027B" w:rsidR="00B10AA5" w:rsidRDefault="001C38A6">
          <w:pPr>
            <w:pStyle w:val="TOC3"/>
            <w:rPr>
              <w:rFonts w:asciiTheme="minorHAnsi" w:eastAsiaTheme="minorEastAsia" w:hAnsiTheme="minorHAnsi"/>
              <w:noProof/>
              <w:sz w:val="22"/>
              <w:lang w:eastAsia="en-GB"/>
            </w:rPr>
          </w:pPr>
          <w:hyperlink w:anchor="_Toc89157907" w:history="1">
            <w:r w:rsidR="00B10AA5" w:rsidRPr="0086714D">
              <w:rPr>
                <w:rStyle w:val="Hyperlink"/>
                <w:noProof/>
              </w:rPr>
              <w:t>Developmental Enquiry</w:t>
            </w:r>
            <w:r w:rsidR="00B10AA5">
              <w:rPr>
                <w:noProof/>
                <w:webHidden/>
              </w:rPr>
              <w:tab/>
            </w:r>
            <w:r w:rsidR="00B10AA5">
              <w:rPr>
                <w:noProof/>
                <w:webHidden/>
              </w:rPr>
              <w:fldChar w:fldCharType="begin"/>
            </w:r>
            <w:r w:rsidR="00B10AA5">
              <w:rPr>
                <w:noProof/>
                <w:webHidden/>
              </w:rPr>
              <w:instrText xml:space="preserve"> PAGEREF _Toc89157907 \h </w:instrText>
            </w:r>
            <w:r w:rsidR="00B10AA5">
              <w:rPr>
                <w:noProof/>
                <w:webHidden/>
              </w:rPr>
            </w:r>
            <w:r w:rsidR="00B10AA5">
              <w:rPr>
                <w:noProof/>
                <w:webHidden/>
              </w:rPr>
              <w:fldChar w:fldCharType="separate"/>
            </w:r>
            <w:r w:rsidR="00B10AA5">
              <w:rPr>
                <w:noProof/>
                <w:webHidden/>
              </w:rPr>
              <w:t>14</w:t>
            </w:r>
            <w:r w:rsidR="00B10AA5">
              <w:rPr>
                <w:noProof/>
                <w:webHidden/>
              </w:rPr>
              <w:fldChar w:fldCharType="end"/>
            </w:r>
          </w:hyperlink>
        </w:p>
        <w:p w14:paraId="01E761B2" w14:textId="64EA8666" w:rsidR="00B10AA5" w:rsidRDefault="001C38A6">
          <w:pPr>
            <w:pStyle w:val="TOC3"/>
            <w:rPr>
              <w:rFonts w:asciiTheme="minorHAnsi" w:eastAsiaTheme="minorEastAsia" w:hAnsiTheme="minorHAnsi"/>
              <w:noProof/>
              <w:sz w:val="22"/>
              <w:lang w:eastAsia="en-GB"/>
            </w:rPr>
          </w:pPr>
          <w:hyperlink w:anchor="_Toc89157908" w:history="1">
            <w:r w:rsidR="00B10AA5" w:rsidRPr="0086714D">
              <w:rPr>
                <w:rStyle w:val="Hyperlink"/>
                <w:noProof/>
              </w:rPr>
              <w:t>Extraordinary Audit</w:t>
            </w:r>
            <w:r w:rsidR="00B10AA5">
              <w:rPr>
                <w:noProof/>
                <w:webHidden/>
              </w:rPr>
              <w:tab/>
            </w:r>
            <w:r w:rsidR="00B10AA5">
              <w:rPr>
                <w:noProof/>
                <w:webHidden/>
              </w:rPr>
              <w:fldChar w:fldCharType="begin"/>
            </w:r>
            <w:r w:rsidR="00B10AA5">
              <w:rPr>
                <w:noProof/>
                <w:webHidden/>
              </w:rPr>
              <w:instrText xml:space="preserve"> PAGEREF _Toc89157908 \h </w:instrText>
            </w:r>
            <w:r w:rsidR="00B10AA5">
              <w:rPr>
                <w:noProof/>
                <w:webHidden/>
              </w:rPr>
            </w:r>
            <w:r w:rsidR="00B10AA5">
              <w:rPr>
                <w:noProof/>
                <w:webHidden/>
              </w:rPr>
              <w:fldChar w:fldCharType="separate"/>
            </w:r>
            <w:r w:rsidR="00B10AA5">
              <w:rPr>
                <w:noProof/>
                <w:webHidden/>
              </w:rPr>
              <w:t>14</w:t>
            </w:r>
            <w:r w:rsidR="00B10AA5">
              <w:rPr>
                <w:noProof/>
                <w:webHidden/>
              </w:rPr>
              <w:fldChar w:fldCharType="end"/>
            </w:r>
          </w:hyperlink>
        </w:p>
        <w:p w14:paraId="249B8AA2" w14:textId="0B108FFF" w:rsidR="00B10AA5" w:rsidRDefault="001C38A6">
          <w:pPr>
            <w:pStyle w:val="TOC3"/>
            <w:rPr>
              <w:rFonts w:asciiTheme="minorHAnsi" w:eastAsiaTheme="minorEastAsia" w:hAnsiTheme="minorHAnsi"/>
              <w:noProof/>
              <w:sz w:val="22"/>
              <w:lang w:eastAsia="en-GB"/>
            </w:rPr>
          </w:pPr>
          <w:hyperlink w:anchor="_Toc89157909" w:history="1">
            <w:r w:rsidR="00B10AA5" w:rsidRPr="0086714D">
              <w:rPr>
                <w:rStyle w:val="Hyperlink"/>
                <w:noProof/>
              </w:rPr>
              <w:t>Departmental Risk Assessment</w:t>
            </w:r>
            <w:r w:rsidR="00B10AA5">
              <w:rPr>
                <w:noProof/>
                <w:webHidden/>
              </w:rPr>
              <w:tab/>
            </w:r>
            <w:r w:rsidR="00B10AA5">
              <w:rPr>
                <w:noProof/>
                <w:webHidden/>
              </w:rPr>
              <w:fldChar w:fldCharType="begin"/>
            </w:r>
            <w:r w:rsidR="00B10AA5">
              <w:rPr>
                <w:noProof/>
                <w:webHidden/>
              </w:rPr>
              <w:instrText xml:space="preserve"> PAGEREF _Toc89157909 \h </w:instrText>
            </w:r>
            <w:r w:rsidR="00B10AA5">
              <w:rPr>
                <w:noProof/>
                <w:webHidden/>
              </w:rPr>
            </w:r>
            <w:r w:rsidR="00B10AA5">
              <w:rPr>
                <w:noProof/>
                <w:webHidden/>
              </w:rPr>
              <w:fldChar w:fldCharType="separate"/>
            </w:r>
            <w:r w:rsidR="00B10AA5">
              <w:rPr>
                <w:noProof/>
                <w:webHidden/>
              </w:rPr>
              <w:t>14</w:t>
            </w:r>
            <w:r w:rsidR="00B10AA5">
              <w:rPr>
                <w:noProof/>
                <w:webHidden/>
              </w:rPr>
              <w:fldChar w:fldCharType="end"/>
            </w:r>
          </w:hyperlink>
        </w:p>
        <w:p w14:paraId="4E548429" w14:textId="79D5101B" w:rsidR="00840176" w:rsidRDefault="00840176" w:rsidP="00BF473E">
          <w:pPr>
            <w:spacing w:line="360" w:lineRule="auto"/>
          </w:pPr>
          <w:r w:rsidRPr="00D243A7">
            <w:rPr>
              <w:b/>
              <w:bCs/>
              <w:noProof/>
              <w:szCs w:val="24"/>
            </w:rPr>
            <w:fldChar w:fldCharType="end"/>
          </w:r>
        </w:p>
      </w:sdtContent>
    </w:sdt>
    <w:p w14:paraId="1B5EF0F0" w14:textId="77777777" w:rsidR="00CF75EE" w:rsidRDefault="00CF75EE" w:rsidP="00A5704C">
      <w:pPr>
        <w:pStyle w:val="NoSpacing"/>
      </w:pPr>
    </w:p>
    <w:p w14:paraId="244DEB13" w14:textId="77777777" w:rsidR="00840176" w:rsidRDefault="00840176" w:rsidP="00A5704C">
      <w:pPr>
        <w:pStyle w:val="NoSpacing"/>
      </w:pPr>
    </w:p>
    <w:p w14:paraId="5C40011B" w14:textId="77777777" w:rsidR="00840176" w:rsidRDefault="00840176" w:rsidP="00A5704C">
      <w:pPr>
        <w:pStyle w:val="NoSpacing"/>
      </w:pPr>
    </w:p>
    <w:p w14:paraId="1E775468" w14:textId="77777777" w:rsidR="00840176" w:rsidRDefault="00840176" w:rsidP="00A5704C">
      <w:pPr>
        <w:pStyle w:val="NoSpacing"/>
      </w:pPr>
    </w:p>
    <w:p w14:paraId="62EDED53" w14:textId="77777777" w:rsidR="00840176" w:rsidRDefault="00840176" w:rsidP="00A5704C">
      <w:pPr>
        <w:pStyle w:val="NoSpacing"/>
      </w:pPr>
    </w:p>
    <w:p w14:paraId="5CB6774C" w14:textId="77777777" w:rsidR="00840176" w:rsidRDefault="00840176" w:rsidP="00A5704C">
      <w:pPr>
        <w:pStyle w:val="NoSpacing"/>
      </w:pPr>
    </w:p>
    <w:p w14:paraId="5F0B78E5" w14:textId="77777777" w:rsidR="00840176" w:rsidRDefault="00840176" w:rsidP="00A5704C">
      <w:pPr>
        <w:pStyle w:val="NoSpacing"/>
      </w:pPr>
    </w:p>
    <w:p w14:paraId="6996D1A6" w14:textId="77777777" w:rsidR="00BF473E" w:rsidRDefault="00BF473E">
      <w:pPr>
        <w:spacing w:line="276" w:lineRule="auto"/>
        <w:rPr>
          <w:rFonts w:eastAsiaTheme="majorEastAsia" w:cstheme="majorBidi"/>
          <w:b/>
          <w:color w:val="000000" w:themeColor="text1"/>
          <w:sz w:val="32"/>
          <w:szCs w:val="32"/>
        </w:rPr>
      </w:pPr>
      <w:r>
        <w:br w:type="page"/>
      </w:r>
    </w:p>
    <w:p w14:paraId="732D381E" w14:textId="7C191711" w:rsidR="006D41C1" w:rsidRPr="006D41C1" w:rsidRDefault="006D41C1" w:rsidP="006D41C1">
      <w:pPr>
        <w:pStyle w:val="Heading1"/>
      </w:pPr>
      <w:bookmarkStart w:id="5" w:name="_Toc89157892"/>
      <w:r>
        <w:lastRenderedPageBreak/>
        <w:t>INTRODUCTION</w:t>
      </w:r>
      <w:bookmarkEnd w:id="5"/>
    </w:p>
    <w:p w14:paraId="28CED47B" w14:textId="7F3654EE" w:rsidR="006D41C1" w:rsidRDefault="006D41C1" w:rsidP="008B46BE">
      <w:pPr>
        <w:contextualSpacing/>
        <w:jc w:val="both"/>
      </w:pPr>
      <w:r w:rsidRPr="006D41C1">
        <w:t xml:space="preserve">Annual Monitoring, Periodic Review and Internal Audit are the principal mechanisms by which </w:t>
      </w:r>
      <w:r w:rsidR="00AD5883">
        <w:t>the</w:t>
      </w:r>
      <w:r w:rsidRPr="006D41C1">
        <w:t xml:space="preserve"> University ensures the continuing standards and quality of its academic provision</w:t>
      </w:r>
      <w:r w:rsidR="00AD5883">
        <w:t>.</w:t>
      </w:r>
      <w:r w:rsidRPr="006D41C1">
        <w:t xml:space="preserve"> </w:t>
      </w:r>
      <w:r w:rsidR="00FE075A">
        <w:t>The p</w:t>
      </w:r>
      <w:r w:rsidR="0027147A">
        <w:t xml:space="preserve">rocesses </w:t>
      </w:r>
      <w:r w:rsidR="001B7E18">
        <w:t xml:space="preserve">described below </w:t>
      </w:r>
      <w:r w:rsidR="0027147A">
        <w:t xml:space="preserve">are </w:t>
      </w:r>
      <w:r w:rsidR="0075203F" w:rsidRPr="003544AA">
        <w:t xml:space="preserve">fully aligned with the </w:t>
      </w:r>
      <w:r w:rsidR="003827EF" w:rsidRPr="003827EF">
        <w:t>Conditions of Registration for Quality and Standards B1-</w:t>
      </w:r>
      <w:r w:rsidR="00DF3D01">
        <w:t>B</w:t>
      </w:r>
      <w:r w:rsidR="003827EF" w:rsidRPr="003827EF">
        <w:t xml:space="preserve">5 </w:t>
      </w:r>
      <w:r w:rsidR="0075203F" w:rsidRPr="003544AA">
        <w:t xml:space="preserve">of the Office for Students’ </w:t>
      </w:r>
      <w:r w:rsidR="0075203F">
        <w:t xml:space="preserve">(OfS) </w:t>
      </w:r>
      <w:r w:rsidR="0075203F" w:rsidRPr="003544AA">
        <w:t>Regulatory Framework</w:t>
      </w:r>
      <w:r w:rsidR="0075203F">
        <w:rPr>
          <w:rStyle w:val="FootnoteReference"/>
        </w:rPr>
        <w:footnoteReference w:id="2"/>
      </w:r>
      <w:r w:rsidR="000C3E44">
        <w:t xml:space="preserve"> </w:t>
      </w:r>
      <w:r w:rsidR="002003E4">
        <w:t>thereby underpinning the key indicators upon which the University is measured.</w:t>
      </w:r>
      <w:r w:rsidR="00783EAA">
        <w:t xml:space="preserve"> Processes</w:t>
      </w:r>
      <w:r w:rsidR="0075203F">
        <w:t xml:space="preserve"> </w:t>
      </w:r>
      <w:r w:rsidR="00783EAA">
        <w:t xml:space="preserve">also </w:t>
      </w:r>
      <w:r w:rsidR="0075203F">
        <w:t>informed by</w:t>
      </w:r>
      <w:r w:rsidR="0075203F" w:rsidRPr="003544AA">
        <w:t xml:space="preserve"> the supporting Advice and Guidance on </w:t>
      </w:r>
      <w:r w:rsidR="00634C75">
        <w:t>Monitoring and Evaluation</w:t>
      </w:r>
      <w:r w:rsidR="0075203F" w:rsidRPr="003544AA">
        <w:t xml:space="preserve"> contained within the UK Quality Code</w:t>
      </w:r>
      <w:r w:rsidR="00F05F36">
        <w:rPr>
          <w:rStyle w:val="FootnoteReference"/>
        </w:rPr>
        <w:footnoteReference w:id="3"/>
      </w:r>
      <w:r w:rsidR="0075203F" w:rsidRPr="003544AA">
        <w:t xml:space="preserve"> (published November 2018)</w:t>
      </w:r>
      <w:r w:rsidR="00A57C22">
        <w:t>.</w:t>
      </w:r>
    </w:p>
    <w:p w14:paraId="4F615A1C" w14:textId="77777777" w:rsidR="008B46BE" w:rsidRPr="006D41C1" w:rsidRDefault="008B46BE" w:rsidP="008B46BE">
      <w:pPr>
        <w:contextualSpacing/>
        <w:jc w:val="both"/>
      </w:pPr>
    </w:p>
    <w:p w14:paraId="53285EC8" w14:textId="04FCFD66" w:rsidR="008B46BE" w:rsidRDefault="00591004" w:rsidP="008B46BE">
      <w:pPr>
        <w:contextualSpacing/>
        <w:jc w:val="both"/>
      </w:pPr>
      <w:r w:rsidRPr="00591004">
        <w:rPr>
          <w:b/>
          <w:bCs/>
        </w:rPr>
        <w:t>Annual Monitoring</w:t>
      </w:r>
      <w:r>
        <w:t xml:space="preserve"> </w:t>
      </w:r>
      <w:r w:rsidRPr="006D41C1">
        <w:t xml:space="preserve">considers comprehensive </w:t>
      </w:r>
      <w:r w:rsidR="00F00079">
        <w:t>quantitative and qualitative</w:t>
      </w:r>
      <w:r w:rsidR="00EB5FFC">
        <w:t xml:space="preserve"> </w:t>
      </w:r>
      <w:r w:rsidRPr="006D41C1">
        <w:t>evidence on programme performance and the student</w:t>
      </w:r>
      <w:r w:rsidR="00BE4A01">
        <w:t>s’</w:t>
      </w:r>
      <w:r w:rsidRPr="006D41C1">
        <w:t xml:space="preserve"> </w:t>
      </w:r>
      <w:r w:rsidR="00BE4A01">
        <w:t>academic</w:t>
      </w:r>
      <w:r w:rsidRPr="006D41C1">
        <w:t xml:space="preserve"> experience and alerts the Academic Quality Enhancement Committee (AQEC)</w:t>
      </w:r>
      <w:r>
        <w:rPr>
          <w:rStyle w:val="FootnoteReference"/>
        </w:rPr>
        <w:footnoteReference w:id="4"/>
      </w:r>
      <w:r w:rsidRPr="006D41C1">
        <w:t xml:space="preserve"> - and through it, the Academic Board - to any internal or external factors that could place academic provision including academic partnerships</w:t>
      </w:r>
      <w:r>
        <w:rPr>
          <w:rStyle w:val="FootnoteReference"/>
        </w:rPr>
        <w:footnoteReference w:id="5"/>
      </w:r>
      <w:r w:rsidRPr="006D41C1">
        <w:t xml:space="preserve"> at risk. </w:t>
      </w:r>
      <w:r w:rsidR="00964E0D">
        <w:t>It</w:t>
      </w:r>
      <w:r w:rsidR="00FF7926">
        <w:t xml:space="preserve"> provides an opportunity to look holistically at performance data</w:t>
      </w:r>
      <w:r w:rsidR="000520E3">
        <w:t>, typically</w:t>
      </w:r>
      <w:r w:rsidR="00FF7926">
        <w:t xml:space="preserve"> from </w:t>
      </w:r>
      <w:r w:rsidR="004F1A19">
        <w:t>the preceding</w:t>
      </w:r>
      <w:r w:rsidR="00FF7926">
        <w:t xml:space="preserve"> academic year, and because it is carried out at a fixed point </w:t>
      </w:r>
      <w:r w:rsidR="00F26F14">
        <w:t>each year</w:t>
      </w:r>
      <w:r w:rsidR="00E65E14">
        <w:rPr>
          <w:rStyle w:val="FootnoteReference"/>
        </w:rPr>
        <w:footnoteReference w:id="6"/>
      </w:r>
      <w:r w:rsidR="00FF7926">
        <w:t xml:space="preserve">, allows us to </w:t>
      </w:r>
      <w:r w:rsidR="004F1A19">
        <w:t>identify any emerging</w:t>
      </w:r>
      <w:r w:rsidR="00FF7926">
        <w:t xml:space="preserve"> trends.</w:t>
      </w:r>
      <w:r w:rsidR="00FF7926" w:rsidRPr="006D41C1">
        <w:t xml:space="preserve"> </w:t>
      </w:r>
    </w:p>
    <w:p w14:paraId="124A8B46" w14:textId="77777777" w:rsidR="008B46BE" w:rsidRDefault="008B46BE" w:rsidP="008B46BE">
      <w:pPr>
        <w:contextualSpacing/>
        <w:jc w:val="both"/>
      </w:pPr>
    </w:p>
    <w:p w14:paraId="1492F0CC" w14:textId="0C3473D1" w:rsidR="00A94769" w:rsidRDefault="00A94769" w:rsidP="008B46BE">
      <w:pPr>
        <w:contextualSpacing/>
        <w:jc w:val="both"/>
      </w:pPr>
      <w:r w:rsidRPr="00FF7926">
        <w:rPr>
          <w:bCs/>
        </w:rPr>
        <w:t>Annual Monitoring</w:t>
      </w:r>
      <w:r w:rsidRPr="006D41C1">
        <w:t xml:space="preserve"> </w:t>
      </w:r>
      <w:r>
        <w:t>confirm</w:t>
      </w:r>
      <w:r w:rsidR="00FF7926">
        <w:t xml:space="preserve">s </w:t>
      </w:r>
      <w:r>
        <w:t xml:space="preserve">that: </w:t>
      </w:r>
    </w:p>
    <w:p w14:paraId="642C8458" w14:textId="3B800A8C" w:rsidR="00A94769" w:rsidRDefault="00A94769" w:rsidP="008B46BE">
      <w:pPr>
        <w:pStyle w:val="ListParagraph"/>
        <w:numPr>
          <w:ilvl w:val="0"/>
          <w:numId w:val="23"/>
        </w:numPr>
        <w:jc w:val="both"/>
      </w:pPr>
      <w:r>
        <w:t xml:space="preserve">academic standards, as set at validation, remain secure; </w:t>
      </w:r>
    </w:p>
    <w:p w14:paraId="1ADE13B0" w14:textId="01B08FE3" w:rsidR="00A94769" w:rsidRDefault="00A94769" w:rsidP="008B46BE">
      <w:pPr>
        <w:pStyle w:val="ListParagraph"/>
        <w:numPr>
          <w:ilvl w:val="0"/>
          <w:numId w:val="23"/>
        </w:numPr>
        <w:jc w:val="both"/>
      </w:pPr>
      <w:r>
        <w:t>the students’ academic experience is being evaluated and enhanced effectively; and,</w:t>
      </w:r>
    </w:p>
    <w:p w14:paraId="54A61A1B" w14:textId="5CBD1DED" w:rsidR="00A94769" w:rsidRDefault="00A94769" w:rsidP="008B46BE">
      <w:pPr>
        <w:pStyle w:val="ListParagraph"/>
        <w:numPr>
          <w:ilvl w:val="0"/>
          <w:numId w:val="23"/>
        </w:numPr>
        <w:jc w:val="both"/>
      </w:pPr>
      <w:r>
        <w:t xml:space="preserve">the department has the ability and capacity to identify and manage risk. </w:t>
      </w:r>
    </w:p>
    <w:p w14:paraId="21BA36A5" w14:textId="5E83CD9F" w:rsidR="006D41C1" w:rsidRDefault="006D41C1" w:rsidP="0081545D">
      <w:pPr>
        <w:contextualSpacing/>
        <w:jc w:val="both"/>
      </w:pPr>
      <w:r w:rsidRPr="006D41C1">
        <w:t>It also enables the identification of good practice for wider dissemination within the University for the purpose of quality enhancement</w:t>
      </w:r>
      <w:r>
        <w:rPr>
          <w:rStyle w:val="FootnoteReference"/>
        </w:rPr>
        <w:footnoteReference w:id="7"/>
      </w:r>
      <w:r w:rsidRPr="006D41C1">
        <w:t>. Outputs from departmental annual monitoring are used to inform the University’s academic planning</w:t>
      </w:r>
      <w:r w:rsidR="00363C21">
        <w:rPr>
          <w:rStyle w:val="FootnoteReference"/>
        </w:rPr>
        <w:footnoteReference w:id="8"/>
      </w:r>
      <w:r w:rsidRPr="006D41C1">
        <w:t xml:space="preserve"> and budget-setting processes.</w:t>
      </w:r>
    </w:p>
    <w:p w14:paraId="0174451A" w14:textId="77777777" w:rsidR="0081545D" w:rsidRPr="006D41C1" w:rsidRDefault="0081545D" w:rsidP="0081545D">
      <w:pPr>
        <w:contextualSpacing/>
        <w:jc w:val="both"/>
      </w:pPr>
    </w:p>
    <w:p w14:paraId="7FCF281C" w14:textId="62DBDA99" w:rsidR="006D41C1" w:rsidRDefault="006D41C1" w:rsidP="0081545D">
      <w:pPr>
        <w:contextualSpacing/>
        <w:jc w:val="both"/>
      </w:pPr>
      <w:r w:rsidRPr="006D41C1">
        <w:t xml:space="preserve">The purpose of </w:t>
      </w:r>
      <w:r w:rsidRPr="006D41C1">
        <w:rPr>
          <w:b/>
        </w:rPr>
        <w:t>Periodic Review</w:t>
      </w:r>
      <w:r w:rsidRPr="006D41C1">
        <w:t xml:space="preserve"> is to review and evaluate all taught </w:t>
      </w:r>
      <w:r w:rsidR="00AA2012">
        <w:t>curriculum</w:t>
      </w:r>
      <w:r w:rsidRPr="006D41C1">
        <w:t xml:space="preserve"> within an academic department or other grouping of cognate programmes in the context of its performance, aims and aspirations in a broader University, regional and national context. Each academic department undergoes Periodic Review once every five years.</w:t>
      </w:r>
    </w:p>
    <w:p w14:paraId="275DFBD2" w14:textId="77777777" w:rsidR="0081545D" w:rsidRPr="006D41C1" w:rsidRDefault="0081545D" w:rsidP="0081545D">
      <w:pPr>
        <w:contextualSpacing/>
        <w:jc w:val="both"/>
      </w:pPr>
    </w:p>
    <w:p w14:paraId="4942C803" w14:textId="350A350F" w:rsidR="006D41C1" w:rsidRPr="006D41C1" w:rsidRDefault="006D41C1" w:rsidP="0081545D">
      <w:pPr>
        <w:contextualSpacing/>
        <w:jc w:val="both"/>
      </w:pPr>
      <w:r w:rsidRPr="006D41C1">
        <w:t xml:space="preserve">The purpose and process of </w:t>
      </w:r>
      <w:r w:rsidRPr="006D41C1">
        <w:rPr>
          <w:b/>
        </w:rPr>
        <w:t>Internal Audit</w:t>
      </w:r>
      <w:r w:rsidRPr="006D41C1">
        <w:t xml:space="preserve"> varies according to </w:t>
      </w:r>
      <w:proofErr w:type="gramStart"/>
      <w:r w:rsidRPr="006D41C1">
        <w:t>particular requirements</w:t>
      </w:r>
      <w:proofErr w:type="gramEnd"/>
      <w:r w:rsidRPr="006D41C1">
        <w:t xml:space="preserve"> and may </w:t>
      </w:r>
      <w:r w:rsidRPr="006D41C1">
        <w:rPr>
          <w:i/>
        </w:rPr>
        <w:t>risk-focused</w:t>
      </w:r>
      <w:r w:rsidRPr="006D41C1">
        <w:t>, e.g.</w:t>
      </w:r>
      <w:r w:rsidR="00D47D4E">
        <w:t xml:space="preserve">, </w:t>
      </w:r>
      <w:r w:rsidRPr="006D41C1">
        <w:t xml:space="preserve">Departmental Risk Assessment or Extraordinary Audit; or </w:t>
      </w:r>
      <w:r w:rsidRPr="006D41C1">
        <w:rPr>
          <w:i/>
        </w:rPr>
        <w:t>enhancement-focused</w:t>
      </w:r>
      <w:r w:rsidRPr="006D41C1">
        <w:t>, e.g. Developmental Enquiry.</w:t>
      </w:r>
    </w:p>
    <w:p w14:paraId="21FFEF16" w14:textId="0BCD2F29" w:rsidR="006D41C1" w:rsidRPr="006D41C1" w:rsidRDefault="006D41C1" w:rsidP="006D41C1"/>
    <w:p w14:paraId="3D984818" w14:textId="77777777" w:rsidR="006D41C1" w:rsidRDefault="00FC09D9" w:rsidP="00E7663C">
      <w:pPr>
        <w:pStyle w:val="Heading2"/>
      </w:pPr>
      <w:bookmarkStart w:id="6" w:name="_Toc89157893"/>
      <w:r>
        <w:lastRenderedPageBreak/>
        <w:t>ANNUAL MONITORING</w:t>
      </w:r>
      <w:bookmarkEnd w:id="6"/>
    </w:p>
    <w:p w14:paraId="161284AE" w14:textId="6B4CA2BD" w:rsidR="00FC09D9" w:rsidRPr="00FC09D9" w:rsidRDefault="00FC09D9" w:rsidP="00FC09D9">
      <w:r w:rsidRPr="00FC09D9">
        <w:t>Annual monitoring is based on the premise that:</w:t>
      </w:r>
    </w:p>
    <w:p w14:paraId="5F78D762" w14:textId="06F18661" w:rsidR="00FC09D9" w:rsidRPr="00FC09D9" w:rsidRDefault="00D11B4D" w:rsidP="00D47D4E">
      <w:pPr>
        <w:pStyle w:val="ListParagraph"/>
        <w:numPr>
          <w:ilvl w:val="0"/>
          <w:numId w:val="2"/>
        </w:numPr>
        <w:jc w:val="both"/>
      </w:pPr>
      <w:r>
        <w:t>S</w:t>
      </w:r>
      <w:r w:rsidR="00FC09D9">
        <w:t>taff at all levels of the Institution are responsible and accountable for maintaining standards and enhancing the quality of students’ learning opportunities</w:t>
      </w:r>
      <w:r>
        <w:t>.</w:t>
      </w:r>
    </w:p>
    <w:p w14:paraId="39EBB214" w14:textId="0FE468C1" w:rsidR="00FC09D9" w:rsidRPr="00FC09D9" w:rsidRDefault="00D11B4D" w:rsidP="00D47D4E">
      <w:pPr>
        <w:pStyle w:val="ListParagraph"/>
        <w:numPr>
          <w:ilvl w:val="0"/>
          <w:numId w:val="2"/>
        </w:numPr>
        <w:jc w:val="both"/>
      </w:pPr>
      <w:r>
        <w:t>S</w:t>
      </w:r>
      <w:r w:rsidR="00FC09D9">
        <w:t>hared responsibility and accountability require frank and open exchanges between departments, Faculties, support services and the University (Directorate)</w:t>
      </w:r>
      <w:r>
        <w:t>.</w:t>
      </w:r>
    </w:p>
    <w:p w14:paraId="221B7D30" w14:textId="5C83804C" w:rsidR="00FC09D9" w:rsidRPr="00FC09D9" w:rsidRDefault="00D11B4D" w:rsidP="00D47D4E">
      <w:pPr>
        <w:pStyle w:val="ListParagraph"/>
        <w:numPr>
          <w:ilvl w:val="0"/>
          <w:numId w:val="2"/>
        </w:numPr>
        <w:jc w:val="both"/>
      </w:pPr>
      <w:r>
        <w:t>T</w:t>
      </w:r>
      <w:r w:rsidR="00FC09D9">
        <w:t xml:space="preserve">he processes by which both opportunities and threats to standards and quality are defined, identified and assessed should draw fully on a range of expertise and experience from within and </w:t>
      </w:r>
      <w:proofErr w:type="spellStart"/>
      <w:r w:rsidR="00FC09D9">
        <w:t>outwith</w:t>
      </w:r>
      <w:proofErr w:type="spellEnd"/>
      <w:r w:rsidR="00FC09D9">
        <w:t xml:space="preserve"> the University’s executive and deliberative structures.</w:t>
      </w:r>
    </w:p>
    <w:p w14:paraId="139E5EB3" w14:textId="52058439" w:rsidR="00FC09D9" w:rsidRPr="00FC09D9" w:rsidRDefault="00D11B4D" w:rsidP="00D47D4E">
      <w:pPr>
        <w:jc w:val="both"/>
      </w:pPr>
      <w:r>
        <w:t>K</w:t>
      </w:r>
      <w:r w:rsidR="00FC09D9" w:rsidRPr="00FC09D9">
        <w:t xml:space="preserve">ey </w:t>
      </w:r>
      <w:r w:rsidR="00964430">
        <w:t>features</w:t>
      </w:r>
      <w:r w:rsidR="00FC09D9" w:rsidRPr="00FC09D9">
        <w:t xml:space="preserve"> of Annual Monitoring </w:t>
      </w:r>
      <w:r w:rsidR="00964430">
        <w:t xml:space="preserve">(see figure 1) </w:t>
      </w:r>
      <w:r w:rsidR="00FC09D9" w:rsidRPr="00FC09D9">
        <w:t>are that it is:</w:t>
      </w:r>
    </w:p>
    <w:p w14:paraId="2F9885DA" w14:textId="742ABAF0" w:rsidR="00FC09D9" w:rsidRPr="00FC09D9" w:rsidRDefault="00FC09D9" w:rsidP="00D47D4E">
      <w:pPr>
        <w:pStyle w:val="ListParagraph"/>
        <w:numPr>
          <w:ilvl w:val="0"/>
          <w:numId w:val="3"/>
        </w:numPr>
        <w:jc w:val="both"/>
        <w:rPr>
          <w:rFonts w:asciiTheme="minorHAnsi" w:eastAsiaTheme="minorEastAsia" w:hAnsiTheme="minorHAnsi"/>
          <w:b/>
          <w:bCs/>
          <w:szCs w:val="24"/>
        </w:rPr>
      </w:pPr>
      <w:r w:rsidRPr="7BC32EF9">
        <w:rPr>
          <w:b/>
          <w:bCs/>
        </w:rPr>
        <w:t>Evidence-based</w:t>
      </w:r>
      <w:r w:rsidRPr="00FC09D9">
        <w:t xml:space="preserve"> – this </w:t>
      </w:r>
      <w:r w:rsidR="4E82704A" w:rsidRPr="00FC09D9">
        <w:t xml:space="preserve">typically </w:t>
      </w:r>
      <w:r w:rsidRPr="00FC09D9">
        <w:t xml:space="preserve">includes staff and student feedback </w:t>
      </w:r>
      <w:r w:rsidR="004D3465">
        <w:t>(</w:t>
      </w:r>
      <w:r w:rsidRPr="00FC09D9">
        <w:t xml:space="preserve">e.g. module leader reports, </w:t>
      </w:r>
      <w:r w:rsidR="00363C21">
        <w:t xml:space="preserve">Student </w:t>
      </w:r>
      <w:r w:rsidR="006B0B1E">
        <w:t>Pulse Survey</w:t>
      </w:r>
      <w:r w:rsidR="00363C21">
        <w:t>s</w:t>
      </w:r>
      <w:r w:rsidRPr="00FC09D9">
        <w:t>, minutes of Programme Boards and Student-Staff Consultative Fora (SSCFs)</w:t>
      </w:r>
      <w:r w:rsidR="00F43AB0">
        <w:rPr>
          <w:rStyle w:val="FootnoteReference"/>
        </w:rPr>
        <w:footnoteReference w:id="9"/>
      </w:r>
      <w:r w:rsidRPr="00FC09D9">
        <w:t xml:space="preserve"> and other evidence of feedback as appropriate</w:t>
      </w:r>
      <w:r w:rsidR="004D3465">
        <w:t>)</w:t>
      </w:r>
      <w:r w:rsidRPr="00FC09D9">
        <w:t>; reports of external examiners</w:t>
      </w:r>
      <w:r w:rsidR="00F43AB0">
        <w:rPr>
          <w:rStyle w:val="FootnoteReference"/>
        </w:rPr>
        <w:footnoteReference w:id="10"/>
      </w:r>
      <w:r w:rsidRPr="00FC09D9">
        <w:t xml:space="preserve"> and Professional Statutory and Regulatory Bodies (PSRBs); statistical data on recruitment</w:t>
      </w:r>
      <w:r w:rsidR="00F43AB0">
        <w:rPr>
          <w:rStyle w:val="FootnoteReference"/>
        </w:rPr>
        <w:footnoteReference w:id="11"/>
      </w:r>
      <w:r w:rsidRPr="00FC09D9">
        <w:t>, retention</w:t>
      </w:r>
      <w:r w:rsidR="00F43AB0">
        <w:rPr>
          <w:rStyle w:val="FootnoteReference"/>
        </w:rPr>
        <w:footnoteReference w:id="12"/>
      </w:r>
      <w:r w:rsidRPr="00FC09D9">
        <w:t>, progression</w:t>
      </w:r>
      <w:r w:rsidR="00F43AB0">
        <w:rPr>
          <w:rStyle w:val="FootnoteReference"/>
        </w:rPr>
        <w:footnoteReference w:id="13"/>
      </w:r>
      <w:r w:rsidRPr="00FC09D9">
        <w:t xml:space="preserve"> </w:t>
      </w:r>
      <w:r w:rsidR="003D1543">
        <w:t xml:space="preserve">, </w:t>
      </w:r>
      <w:r w:rsidR="004D3465">
        <w:t>degree outcomes</w:t>
      </w:r>
      <w:r w:rsidR="00F43AB0">
        <w:rPr>
          <w:rStyle w:val="FootnoteReference"/>
        </w:rPr>
        <w:footnoteReference w:id="14"/>
      </w:r>
      <w:r w:rsidR="003D1543">
        <w:t>,</w:t>
      </w:r>
      <w:r w:rsidRPr="00FC09D9">
        <w:t xml:space="preserve"> </w:t>
      </w:r>
      <w:r w:rsidR="003D1543">
        <w:t xml:space="preserve">the </w:t>
      </w:r>
      <w:r w:rsidRPr="00FC09D9">
        <w:t>National Student Survey (NSS)</w:t>
      </w:r>
      <w:r w:rsidR="00F43AB0">
        <w:rPr>
          <w:rStyle w:val="FootnoteReference"/>
        </w:rPr>
        <w:footnoteReference w:id="15"/>
      </w:r>
      <w:r w:rsidR="3D42DBD0" w:rsidRPr="00FC09D9">
        <w:t xml:space="preserve"> and </w:t>
      </w:r>
      <w:r w:rsidRPr="00FC09D9">
        <w:t>Graduate Outcomes</w:t>
      </w:r>
      <w:r w:rsidR="00F43AB0">
        <w:rPr>
          <w:rStyle w:val="FootnoteReference"/>
        </w:rPr>
        <w:footnoteReference w:id="16"/>
      </w:r>
      <w:r w:rsidR="5E4DBA1B" w:rsidRPr="00FC09D9">
        <w:t xml:space="preserve">. </w:t>
      </w:r>
      <w:r w:rsidR="004D3465">
        <w:t xml:space="preserve"> </w:t>
      </w:r>
    </w:p>
    <w:p w14:paraId="44E78364" w14:textId="604C5CBB" w:rsidR="00FC09D9" w:rsidRPr="00FC09D9" w:rsidRDefault="00FC09D9" w:rsidP="00D47D4E">
      <w:pPr>
        <w:pStyle w:val="ListParagraph"/>
        <w:numPr>
          <w:ilvl w:val="0"/>
          <w:numId w:val="3"/>
        </w:numPr>
        <w:jc w:val="both"/>
        <w:rPr>
          <w:b/>
          <w:bCs/>
          <w:szCs w:val="24"/>
        </w:rPr>
      </w:pPr>
      <w:r w:rsidRPr="7BC32EF9">
        <w:rPr>
          <w:b/>
          <w:bCs/>
        </w:rPr>
        <w:t>Risk-</w:t>
      </w:r>
      <w:r w:rsidR="00791ECD">
        <w:rPr>
          <w:b/>
          <w:bCs/>
        </w:rPr>
        <w:t>based</w:t>
      </w:r>
      <w:r w:rsidR="00F43AB0" w:rsidRPr="7BC32EF9">
        <w:rPr>
          <w:rStyle w:val="FootnoteReference"/>
          <w:b/>
          <w:bCs/>
        </w:rPr>
        <w:footnoteReference w:id="17"/>
      </w:r>
      <w:r w:rsidRPr="00FC09D9">
        <w:t xml:space="preserve"> - </w:t>
      </w:r>
      <w:r w:rsidR="00D11B4D">
        <w:t>d</w:t>
      </w:r>
      <w:r w:rsidRPr="00FC09D9">
        <w:t>rawing upon the experience and expertise of staff and other stakeholders</w:t>
      </w:r>
      <w:r w:rsidR="00F43AB0">
        <w:rPr>
          <w:rStyle w:val="FootnoteReference"/>
        </w:rPr>
        <w:footnoteReference w:id="18"/>
      </w:r>
      <w:r w:rsidRPr="00FC09D9">
        <w:t xml:space="preserve"> to identify</w:t>
      </w:r>
      <w:r w:rsidR="004701DA">
        <w:t xml:space="preserve"> and</w:t>
      </w:r>
      <w:r w:rsidRPr="00FC09D9">
        <w:t xml:space="preserve"> evaluate</w:t>
      </w:r>
      <w:r w:rsidR="004701DA">
        <w:t xml:space="preserve"> potential</w:t>
      </w:r>
      <w:r w:rsidR="00863BD6">
        <w:t xml:space="preserve"> opportunities and threats,</w:t>
      </w:r>
      <w:r w:rsidRPr="00FC09D9">
        <w:t xml:space="preserve"> </w:t>
      </w:r>
      <w:r w:rsidR="001225E9">
        <w:t xml:space="preserve">and </w:t>
      </w:r>
      <w:r w:rsidR="00863BD6">
        <w:t xml:space="preserve">to </w:t>
      </w:r>
      <w:r w:rsidR="004701DA" w:rsidRPr="00213557">
        <w:t>propos</w:t>
      </w:r>
      <w:r w:rsidR="00863BD6">
        <w:t>e targeted and proportionate</w:t>
      </w:r>
      <w:r w:rsidR="004701DA" w:rsidRPr="00213557">
        <w:t xml:space="preserve"> actions to </w:t>
      </w:r>
      <w:r w:rsidR="004701DA" w:rsidRPr="07FE1F7C">
        <w:rPr>
          <w:i/>
          <w:iCs/>
        </w:rPr>
        <w:t>mitigate</w:t>
      </w:r>
      <w:r w:rsidR="004701DA" w:rsidRPr="00213557">
        <w:t xml:space="preserve"> risk</w:t>
      </w:r>
      <w:r w:rsidRPr="00FC09D9">
        <w:t>. In helping AQEC to form a view about a department’s ability and capacity to manage risk</w:t>
      </w:r>
      <w:r w:rsidR="0050174E">
        <w:t>,</w:t>
      </w:r>
      <w:r w:rsidRPr="00FC09D9">
        <w:t xml:space="preserve"> Annual Monitoring plays an important part in confirming confidence in the University’s managers and staff.</w:t>
      </w:r>
      <w:r w:rsidR="00213557" w:rsidRPr="00213557">
        <w:t xml:space="preserve"> </w:t>
      </w:r>
    </w:p>
    <w:p w14:paraId="01A13566" w14:textId="25DD9651" w:rsidR="0076074D" w:rsidRPr="00964430" w:rsidRDefault="004D3465" w:rsidP="0076074D">
      <w:pPr>
        <w:pStyle w:val="ListParagraph"/>
        <w:numPr>
          <w:ilvl w:val="0"/>
          <w:numId w:val="3"/>
        </w:numPr>
      </w:pPr>
      <w:r w:rsidRPr="7BC32EF9">
        <w:rPr>
          <w:b/>
          <w:bCs/>
        </w:rPr>
        <w:lastRenderedPageBreak/>
        <w:t>Enhancement-focused</w:t>
      </w:r>
      <w:r w:rsidRPr="7BC32EF9">
        <w:rPr>
          <w:rStyle w:val="FootnoteReference"/>
          <w:b/>
          <w:bCs/>
        </w:rPr>
        <w:footnoteReference w:id="19"/>
      </w:r>
      <w:r>
        <w:t xml:space="preserve"> – enabling the </w:t>
      </w:r>
      <w:r w:rsidR="005B4E4F">
        <w:t xml:space="preserve">systematic </w:t>
      </w:r>
      <w:r>
        <w:t>identification and evaluation of good practice that is suitable for general dissemination for the purpose of enhancing quality across the Institution.</w:t>
      </w:r>
    </w:p>
    <w:p w14:paraId="5AF58044" w14:textId="3F497F30" w:rsidR="00FC09D9" w:rsidRPr="0076074D" w:rsidRDefault="0076074D" w:rsidP="0076074D">
      <w:pPr>
        <w:rPr>
          <w:b/>
          <w:iCs/>
          <w:sz w:val="20"/>
          <w:szCs w:val="20"/>
        </w:rPr>
      </w:pPr>
      <w:r w:rsidRPr="0076074D">
        <w:rPr>
          <w:b/>
          <w:iCs/>
          <w:sz w:val="20"/>
          <w:szCs w:val="20"/>
        </w:rPr>
        <w:t xml:space="preserve">Figure 1: </w:t>
      </w:r>
      <w:r w:rsidR="00FC09D9" w:rsidRPr="0076074D">
        <w:rPr>
          <w:b/>
          <w:iCs/>
          <w:sz w:val="20"/>
          <w:szCs w:val="20"/>
        </w:rPr>
        <w:t xml:space="preserve">Key </w:t>
      </w:r>
      <w:r w:rsidRPr="0076074D">
        <w:rPr>
          <w:b/>
          <w:iCs/>
          <w:sz w:val="20"/>
          <w:szCs w:val="20"/>
        </w:rPr>
        <w:t>Features</w:t>
      </w:r>
      <w:r w:rsidR="00FC09D9" w:rsidRPr="0076074D">
        <w:rPr>
          <w:b/>
          <w:iCs/>
          <w:sz w:val="20"/>
          <w:szCs w:val="20"/>
        </w:rPr>
        <w:t xml:space="preserve"> of Annual Monitoring</w:t>
      </w:r>
    </w:p>
    <w:p w14:paraId="5682376D" w14:textId="116FA376" w:rsidR="00777F9F" w:rsidRDefault="0076074D" w:rsidP="0076074D">
      <w:r>
        <w:rPr>
          <w:noProof/>
        </w:rPr>
        <w:drawing>
          <wp:inline distT="0" distB="0" distL="0" distR="0" wp14:anchorId="02DE8FE8" wp14:editId="55F4AFB8">
            <wp:extent cx="5683250" cy="254000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E6DE03" w14:textId="17DCDDBB" w:rsidR="00FC09D9" w:rsidRPr="00FC09D9" w:rsidRDefault="00FC09D9" w:rsidP="00D47D4E">
      <w:pPr>
        <w:jc w:val="both"/>
      </w:pPr>
      <w:r w:rsidRPr="00FC09D9">
        <w:t xml:space="preserve">The Annual Monitoring process described in this chapter is focused primarily on academic departments, however the engagement of Faculties and academic-related professional support services enables full and holistic consideration of issues affecting academic standards and quality at Institutional level; for example, outputs from Annual Monitoring can be used to inform Directorate decisions on </w:t>
      </w:r>
      <w:r w:rsidR="00D11B4D">
        <w:t xml:space="preserve">academic </w:t>
      </w:r>
      <w:r w:rsidRPr="00FC09D9">
        <w:t xml:space="preserve">strategy and resources. The </w:t>
      </w:r>
      <w:proofErr w:type="spellStart"/>
      <w:r w:rsidRPr="00FC09D9">
        <w:t>minuted</w:t>
      </w:r>
      <w:proofErr w:type="spellEnd"/>
      <w:r w:rsidRPr="00FC09D9">
        <w:t xml:space="preserve"> discussions of Faculty Boards (or their </w:t>
      </w:r>
      <w:r w:rsidR="006F0ED3">
        <w:t>sub-</w:t>
      </w:r>
      <w:r w:rsidRPr="00FC09D9">
        <w:t>committees) and AQEC help assure staff and students that issues raised by them during Annual Monitoring have received appropriate</w:t>
      </w:r>
      <w:r w:rsidR="00F43AB0">
        <w:t xml:space="preserve"> </w:t>
      </w:r>
      <w:r w:rsidRPr="00FC09D9">
        <w:t>consideration. While fixed-point Annual Monitoring</w:t>
      </w:r>
      <w:r w:rsidR="00171DFB">
        <w:t xml:space="preserve"> </w:t>
      </w:r>
      <w:r w:rsidRPr="00FC09D9">
        <w:t xml:space="preserve">provides a clear focus for identifying and resolving risks, monitoring itself </w:t>
      </w:r>
      <w:r w:rsidR="009C3203">
        <w:t>is</w:t>
      </w:r>
      <w:r w:rsidRPr="00FC09D9">
        <w:t xml:space="preserve"> continuous</w:t>
      </w:r>
      <w:r w:rsidR="00DB142B">
        <w:rPr>
          <w:rStyle w:val="FootnoteReference"/>
        </w:rPr>
        <w:footnoteReference w:id="20"/>
      </w:r>
      <w:r w:rsidR="00EC6E9A">
        <w:t>. I</w:t>
      </w:r>
      <w:r w:rsidRPr="00FC09D9">
        <w:t>t is inevitable that some matters will require action out</w:t>
      </w:r>
      <w:r w:rsidR="00D11B4D">
        <w:t xml:space="preserve">side </w:t>
      </w:r>
      <w:r w:rsidRPr="00FC09D9">
        <w:t xml:space="preserve">the </w:t>
      </w:r>
      <w:r w:rsidR="00D11B4D">
        <w:t>annual reporting</w:t>
      </w:r>
      <w:r w:rsidRPr="00FC09D9">
        <w:t xml:space="preserve"> cycle. </w:t>
      </w:r>
      <w:r w:rsidR="00D11B4D">
        <w:t>To this end</w:t>
      </w:r>
      <w:r w:rsidRPr="00FC09D9">
        <w:t xml:space="preserve">, all staff are made aware of their responsibility to alert managers to any issues affecting standards and quality that require the immediate attention of the Directorate, PVC Deans of Faculty, the </w:t>
      </w:r>
      <w:r w:rsidR="00D47D4E">
        <w:t>Governance, Quality Assurance and Student Casework unit</w:t>
      </w:r>
      <w:r w:rsidRPr="00FC09D9">
        <w:t>, AQEC or other relevant Academic Board committees.</w:t>
      </w:r>
    </w:p>
    <w:p w14:paraId="32DFCB5E" w14:textId="5DCEB2DC" w:rsidR="00FC09D9" w:rsidRDefault="00DB142B" w:rsidP="00DB142B">
      <w:pPr>
        <w:pStyle w:val="Heading3"/>
      </w:pPr>
      <w:bookmarkStart w:id="7" w:name="_Toc89157894"/>
      <w:r>
        <w:t xml:space="preserve">Annual Monitoring of </w:t>
      </w:r>
      <w:r w:rsidR="00D11B4D">
        <w:t>m</w:t>
      </w:r>
      <w:r>
        <w:t>odules</w:t>
      </w:r>
      <w:r>
        <w:rPr>
          <w:rStyle w:val="FootnoteReference"/>
        </w:rPr>
        <w:footnoteReference w:id="21"/>
      </w:r>
      <w:r>
        <w:t xml:space="preserve"> and programmes</w:t>
      </w:r>
      <w:bookmarkEnd w:id="7"/>
    </w:p>
    <w:p w14:paraId="4E89AA6B" w14:textId="0AF80973" w:rsidR="00DB142B" w:rsidRPr="00DB142B" w:rsidRDefault="00DB142B" w:rsidP="00D12600">
      <w:pPr>
        <w:contextualSpacing/>
        <w:jc w:val="both"/>
      </w:pPr>
      <w:r w:rsidRPr="00DB142B">
        <w:t xml:space="preserve">Academic departments are responsible for the detailed evaluation of module performance and holistic consideration of issues affecting standards and quality at programme level. </w:t>
      </w:r>
      <w:r w:rsidRPr="00DB142B">
        <w:lastRenderedPageBreak/>
        <w:t>Faculties have oversight of module and programme monitoring occurring within departments</w:t>
      </w:r>
      <w:r>
        <w:rPr>
          <w:rStyle w:val="FootnoteReference"/>
        </w:rPr>
        <w:footnoteReference w:id="22"/>
      </w:r>
      <w:r w:rsidR="00D11B4D">
        <w:t xml:space="preserve"> - </w:t>
      </w:r>
      <w:r w:rsidR="00D11B4D" w:rsidRPr="00D11B4D">
        <w:rPr>
          <w:b/>
          <w:bCs/>
        </w:rPr>
        <w:t>a</w:t>
      </w:r>
      <w:r w:rsidRPr="4C084DA4">
        <w:rPr>
          <w:b/>
          <w:bCs/>
        </w:rPr>
        <w:t>s a minimum</w:t>
      </w:r>
      <w:r w:rsidRPr="00DB142B">
        <w:t>, this considers:</w:t>
      </w:r>
    </w:p>
    <w:p w14:paraId="125B9979" w14:textId="15F8DDA8" w:rsidR="00DB142B" w:rsidRPr="00DB142B" w:rsidRDefault="00DB142B" w:rsidP="00D12600">
      <w:pPr>
        <w:pStyle w:val="ListParagraph"/>
        <w:numPr>
          <w:ilvl w:val="0"/>
          <w:numId w:val="4"/>
        </w:numPr>
        <w:jc w:val="both"/>
      </w:pPr>
      <w:r w:rsidRPr="00DB142B">
        <w:t>Module first-time</w:t>
      </w:r>
      <w:r w:rsidR="00A2094B">
        <w:t xml:space="preserve"> and overall</w:t>
      </w:r>
      <w:r w:rsidRPr="00DB142B">
        <w:t xml:space="preserve"> pass rates</w:t>
      </w:r>
      <w:r>
        <w:rPr>
          <w:rStyle w:val="FootnoteReference"/>
        </w:rPr>
        <w:footnoteReference w:id="23"/>
      </w:r>
      <w:r>
        <w:t>;</w:t>
      </w:r>
    </w:p>
    <w:p w14:paraId="5F1B7F30" w14:textId="3367868D" w:rsidR="00DB142B" w:rsidRPr="00DB142B" w:rsidRDefault="00A07635" w:rsidP="00D12600">
      <w:pPr>
        <w:pStyle w:val="ListParagraph"/>
        <w:numPr>
          <w:ilvl w:val="0"/>
          <w:numId w:val="4"/>
        </w:numPr>
        <w:jc w:val="both"/>
      </w:pPr>
      <w:r>
        <w:t xml:space="preserve">Student </w:t>
      </w:r>
      <w:r w:rsidR="006B0B1E">
        <w:t>Pulse Survey data</w:t>
      </w:r>
      <w:r w:rsidR="00DB142B">
        <w:rPr>
          <w:rStyle w:val="FootnoteReference"/>
        </w:rPr>
        <w:footnoteReference w:id="24"/>
      </w:r>
      <w:r w:rsidR="00410DE5">
        <w:t xml:space="preserve"> </w:t>
      </w:r>
      <w:r w:rsidR="00464F71">
        <w:t xml:space="preserve">and </w:t>
      </w:r>
      <w:r w:rsidR="00410DE5">
        <w:t>module and programme evaluations</w:t>
      </w:r>
      <w:r w:rsidR="00DB142B">
        <w:t>;</w:t>
      </w:r>
    </w:p>
    <w:p w14:paraId="3CEB322C" w14:textId="43D1FCF0" w:rsidR="00DB142B" w:rsidRPr="00DB142B" w:rsidRDefault="00DB142B" w:rsidP="00D12600">
      <w:pPr>
        <w:pStyle w:val="ListParagraph"/>
        <w:numPr>
          <w:ilvl w:val="0"/>
          <w:numId w:val="4"/>
        </w:numPr>
        <w:jc w:val="both"/>
      </w:pPr>
      <w:r w:rsidRPr="00DB142B">
        <w:t xml:space="preserve">Retention, progression and </w:t>
      </w:r>
      <w:r w:rsidR="00464F71">
        <w:t>degree outcomes</w:t>
      </w:r>
      <w:r w:rsidRPr="00DB142B">
        <w:t xml:space="preserve"> data disaggregated by relevant protected characteristics</w:t>
      </w:r>
      <w:r w:rsidR="000E3F98">
        <w:t>, where appropriate</w:t>
      </w:r>
      <w:r>
        <w:rPr>
          <w:rStyle w:val="FootnoteReference"/>
        </w:rPr>
        <w:footnoteReference w:id="25"/>
      </w:r>
      <w:r w:rsidRPr="00DB142B">
        <w:t>;</w:t>
      </w:r>
    </w:p>
    <w:p w14:paraId="25F0A4BE" w14:textId="77777777" w:rsidR="00DB142B" w:rsidRPr="00DB142B" w:rsidRDefault="00DB142B" w:rsidP="00D12600">
      <w:pPr>
        <w:pStyle w:val="ListParagraph"/>
        <w:numPr>
          <w:ilvl w:val="0"/>
          <w:numId w:val="4"/>
        </w:numPr>
        <w:jc w:val="both"/>
      </w:pPr>
      <w:r w:rsidRPr="00DB142B">
        <w:t>External examiner reports and programme teams’ responses</w:t>
      </w:r>
      <w:r>
        <w:rPr>
          <w:rStyle w:val="FootnoteReference"/>
        </w:rPr>
        <w:footnoteReference w:id="26"/>
      </w:r>
    </w:p>
    <w:p w14:paraId="1BECCFF0" w14:textId="77777777" w:rsidR="00DB142B" w:rsidRPr="00DB142B" w:rsidRDefault="00DB142B" w:rsidP="00DB142B">
      <w:pPr>
        <w:pStyle w:val="Heading3"/>
      </w:pPr>
      <w:bookmarkStart w:id="8" w:name="_Toc89157895"/>
      <w:r w:rsidRPr="00DB142B">
        <w:t>Departmental Annual Monitoring</w:t>
      </w:r>
      <w:bookmarkEnd w:id="8"/>
    </w:p>
    <w:p w14:paraId="66F1E587" w14:textId="7EF539EE" w:rsidR="00DB142B" w:rsidRPr="00DB142B" w:rsidRDefault="00DB142B" w:rsidP="00D12600">
      <w:pPr>
        <w:contextualSpacing/>
        <w:jc w:val="both"/>
      </w:pPr>
      <w:r w:rsidRPr="00DB142B">
        <w:t xml:space="preserve">Departmental Annual Monitoring </w:t>
      </w:r>
      <w:r w:rsidR="00D11B4D">
        <w:t>is informed by programme</w:t>
      </w:r>
      <w:r w:rsidR="00BB23B8">
        <w:t>-</w:t>
      </w:r>
      <w:r w:rsidR="00D11B4D">
        <w:t>level monitoring and assesses</w:t>
      </w:r>
      <w:r w:rsidRPr="00DB142B">
        <w:t xml:space="preserve"> an academic department’s ability and capacity to manage risk associated with </w:t>
      </w:r>
      <w:r w:rsidR="00BB23B8">
        <w:t xml:space="preserve">academic </w:t>
      </w:r>
      <w:r w:rsidRPr="00DB142B">
        <w:t>standards</w:t>
      </w:r>
      <w:r w:rsidR="00BB23B8">
        <w:t xml:space="preserve"> and the</w:t>
      </w:r>
      <w:r w:rsidRPr="00DB142B">
        <w:t xml:space="preserve"> quality</w:t>
      </w:r>
      <w:r w:rsidR="00BB23B8">
        <w:t xml:space="preserve"> of students’ learning opportunities</w:t>
      </w:r>
      <w:r w:rsidRPr="00DB142B">
        <w:t xml:space="preserve">. The annual monitoring process at department level is managed centrally by the </w:t>
      </w:r>
      <w:r w:rsidR="00D47D4E">
        <w:t>Governance, Quality Assurance and Student Casework</w:t>
      </w:r>
      <w:r w:rsidR="00ED4315">
        <w:t xml:space="preserve"> </w:t>
      </w:r>
      <w:r w:rsidR="00D47D4E">
        <w:t>u</w:t>
      </w:r>
      <w:r w:rsidR="00ED4315">
        <w:t xml:space="preserve">nit </w:t>
      </w:r>
      <w:r w:rsidRPr="00DB142B">
        <w:t xml:space="preserve">and consists of a Desk-Based Assessment (DBA) of Academic Standards </w:t>
      </w:r>
      <w:r w:rsidR="00BB23B8">
        <w:t xml:space="preserve">and </w:t>
      </w:r>
      <w:r w:rsidRPr="00DB142B">
        <w:t>Quality for all departments listed in Table 1</w:t>
      </w:r>
      <w:r w:rsidR="00BB23B8">
        <w:t xml:space="preserve"> below:</w:t>
      </w:r>
    </w:p>
    <w:p w14:paraId="0B5421CF" w14:textId="3B38B5F8" w:rsidR="00F10D34" w:rsidRDefault="00F10D34" w:rsidP="00F10D34">
      <w:pPr>
        <w:pStyle w:val="Heading4"/>
      </w:pPr>
      <w:bookmarkStart w:id="9" w:name="_Toc89157896"/>
      <w:r>
        <w:t xml:space="preserve">Table 1: Departmental Planning Units (updated October </w:t>
      </w:r>
      <w:r w:rsidR="003D249D">
        <w:t>202</w:t>
      </w:r>
      <w:r w:rsidR="00770F89">
        <w:t>1</w:t>
      </w:r>
      <w:r>
        <w:t>)</w:t>
      </w:r>
      <w:bookmarkEnd w:id="9"/>
    </w:p>
    <w:p w14:paraId="35A1B84C" w14:textId="77777777" w:rsidR="00F10D34" w:rsidRPr="00DB142B" w:rsidRDefault="00F10D34" w:rsidP="00F10D34">
      <w:pPr>
        <w:pStyle w:val="Heading3"/>
      </w:pPr>
    </w:p>
    <w:tbl>
      <w:tblPr>
        <w:tblStyle w:val="TableGrid"/>
        <w:tblW w:w="0" w:type="auto"/>
        <w:tblLook w:val="04A0" w:firstRow="1" w:lastRow="0" w:firstColumn="1" w:lastColumn="0" w:noHBand="0" w:noVBand="1"/>
      </w:tblPr>
      <w:tblGrid>
        <w:gridCol w:w="4508"/>
        <w:gridCol w:w="4508"/>
      </w:tblGrid>
      <w:tr w:rsidR="00F10D34" w14:paraId="054AE714" w14:textId="77777777" w:rsidTr="4C084DA4">
        <w:trPr>
          <w:tblHeader/>
        </w:trPr>
        <w:tc>
          <w:tcPr>
            <w:tcW w:w="4508" w:type="dxa"/>
          </w:tcPr>
          <w:p w14:paraId="18281AFF" w14:textId="77777777" w:rsidR="00F10D34" w:rsidRPr="00F10D34" w:rsidRDefault="00F10D34" w:rsidP="00DB142B">
            <w:pPr>
              <w:rPr>
                <w:b/>
              </w:rPr>
            </w:pPr>
            <w:bookmarkStart w:id="10" w:name="_Hlk89161847"/>
            <w:r>
              <w:rPr>
                <w:b/>
              </w:rPr>
              <w:t>Planning Unit</w:t>
            </w:r>
          </w:p>
        </w:tc>
        <w:tc>
          <w:tcPr>
            <w:tcW w:w="4508" w:type="dxa"/>
          </w:tcPr>
          <w:p w14:paraId="55A064E1" w14:textId="77777777" w:rsidR="00F10D34" w:rsidRPr="00F10D34" w:rsidRDefault="00F10D34" w:rsidP="00DB142B">
            <w:pPr>
              <w:rPr>
                <w:b/>
              </w:rPr>
            </w:pPr>
            <w:r>
              <w:rPr>
                <w:b/>
              </w:rPr>
              <w:t>Department</w:t>
            </w:r>
          </w:p>
        </w:tc>
      </w:tr>
      <w:tr w:rsidR="00F10D34" w14:paraId="714B7B35" w14:textId="77777777" w:rsidTr="4C084DA4">
        <w:tc>
          <w:tcPr>
            <w:tcW w:w="4508" w:type="dxa"/>
          </w:tcPr>
          <w:p w14:paraId="258FADDA" w14:textId="77777777" w:rsidR="00F10D34" w:rsidRDefault="00F10D34" w:rsidP="00DB142B">
            <w:r>
              <w:t>Faculty of Arts and Sciences</w:t>
            </w:r>
          </w:p>
        </w:tc>
        <w:tc>
          <w:tcPr>
            <w:tcW w:w="4508" w:type="dxa"/>
          </w:tcPr>
          <w:p w14:paraId="140D57E5" w14:textId="77777777" w:rsidR="00F10D34" w:rsidRPr="001223E0" w:rsidRDefault="00F10D34" w:rsidP="002176A3">
            <w:pPr>
              <w:pStyle w:val="ListParagraph"/>
              <w:numPr>
                <w:ilvl w:val="0"/>
                <w:numId w:val="10"/>
              </w:numPr>
              <w:ind w:left="483" w:hanging="425"/>
            </w:pPr>
            <w:r w:rsidRPr="001223E0">
              <w:t>Biology</w:t>
            </w:r>
          </w:p>
          <w:p w14:paraId="5EF19B8B" w14:textId="77777777" w:rsidR="00F10D34" w:rsidRPr="001223E0" w:rsidRDefault="00F10D34" w:rsidP="002176A3">
            <w:pPr>
              <w:pStyle w:val="ListParagraph"/>
              <w:numPr>
                <w:ilvl w:val="0"/>
                <w:numId w:val="10"/>
              </w:numPr>
              <w:ind w:left="483" w:hanging="425"/>
            </w:pPr>
            <w:r w:rsidRPr="001223E0">
              <w:t>Business School</w:t>
            </w:r>
            <w:r w:rsidR="001223E0">
              <w:rPr>
                <w:rStyle w:val="FootnoteReference"/>
              </w:rPr>
              <w:footnoteReference w:id="27"/>
            </w:r>
          </w:p>
          <w:p w14:paraId="75E91BE7" w14:textId="05AEBAB5" w:rsidR="00F10D34" w:rsidRDefault="00F10D34" w:rsidP="002176A3">
            <w:pPr>
              <w:pStyle w:val="ListParagraph"/>
              <w:numPr>
                <w:ilvl w:val="0"/>
                <w:numId w:val="10"/>
              </w:numPr>
              <w:ind w:left="483" w:hanging="425"/>
            </w:pPr>
            <w:r w:rsidRPr="001223E0">
              <w:t>Computer Science</w:t>
            </w:r>
          </w:p>
          <w:p w14:paraId="20BEE33E" w14:textId="77777777" w:rsidR="00B8358E" w:rsidRPr="001223E0" w:rsidRDefault="482BABF2" w:rsidP="002176A3">
            <w:pPr>
              <w:pStyle w:val="ListParagraph"/>
              <w:numPr>
                <w:ilvl w:val="0"/>
                <w:numId w:val="10"/>
              </w:numPr>
              <w:ind w:left="483" w:hanging="425"/>
            </w:pPr>
            <w:r>
              <w:t>Creative Arts</w:t>
            </w:r>
            <w:r w:rsidR="00B8358E">
              <w:rPr>
                <w:rStyle w:val="FootnoteReference"/>
              </w:rPr>
              <w:footnoteReference w:id="28"/>
            </w:r>
          </w:p>
          <w:p w14:paraId="7FFDCDB6" w14:textId="54951F6C" w:rsidR="004C6BEC" w:rsidRPr="001223E0" w:rsidRDefault="5195B2EE" w:rsidP="002176A3">
            <w:pPr>
              <w:pStyle w:val="ListParagraph"/>
              <w:numPr>
                <w:ilvl w:val="0"/>
                <w:numId w:val="10"/>
              </w:numPr>
              <w:ind w:left="483" w:hanging="425"/>
            </w:pPr>
            <w:r w:rsidRPr="001223E0">
              <w:t>Edge Hill Language Centre</w:t>
            </w:r>
            <w:r w:rsidR="004C6BEC">
              <w:rPr>
                <w:rStyle w:val="FootnoteReference"/>
              </w:rPr>
              <w:footnoteReference w:id="29"/>
            </w:r>
          </w:p>
          <w:p w14:paraId="46C9C490" w14:textId="77777777" w:rsidR="004C6BEC" w:rsidRPr="001223E0" w:rsidRDefault="004C6BEC" w:rsidP="002176A3">
            <w:pPr>
              <w:pStyle w:val="ListParagraph"/>
              <w:numPr>
                <w:ilvl w:val="0"/>
                <w:numId w:val="10"/>
              </w:numPr>
              <w:ind w:left="483" w:hanging="425"/>
            </w:pPr>
            <w:r w:rsidRPr="001223E0">
              <w:t>English, History and Creative Writing</w:t>
            </w:r>
          </w:p>
          <w:p w14:paraId="5BED2279" w14:textId="77777777" w:rsidR="004C6BEC" w:rsidRPr="001223E0" w:rsidRDefault="004C6BEC" w:rsidP="002176A3">
            <w:pPr>
              <w:pStyle w:val="ListParagraph"/>
              <w:numPr>
                <w:ilvl w:val="0"/>
                <w:numId w:val="10"/>
              </w:numPr>
              <w:ind w:left="483" w:hanging="425"/>
            </w:pPr>
            <w:r w:rsidRPr="001223E0">
              <w:t>Geography and Geology</w:t>
            </w:r>
          </w:p>
          <w:p w14:paraId="3350604A" w14:textId="77777777" w:rsidR="004C6BEC" w:rsidRPr="001223E0" w:rsidRDefault="004C6BEC" w:rsidP="002176A3">
            <w:pPr>
              <w:pStyle w:val="ListParagraph"/>
              <w:numPr>
                <w:ilvl w:val="0"/>
                <w:numId w:val="10"/>
              </w:numPr>
              <w:ind w:left="483" w:hanging="425"/>
            </w:pPr>
            <w:r w:rsidRPr="001223E0">
              <w:t>Law and Criminology</w:t>
            </w:r>
          </w:p>
          <w:p w14:paraId="3CF56EBD" w14:textId="77777777" w:rsidR="004C6BEC" w:rsidRPr="001223E0" w:rsidRDefault="004C6BEC" w:rsidP="002176A3">
            <w:pPr>
              <w:pStyle w:val="ListParagraph"/>
              <w:numPr>
                <w:ilvl w:val="0"/>
                <w:numId w:val="10"/>
              </w:numPr>
              <w:ind w:left="483" w:hanging="425"/>
            </w:pPr>
            <w:r w:rsidRPr="001223E0">
              <w:t>Psychology</w:t>
            </w:r>
          </w:p>
          <w:p w14:paraId="2EA624F9" w14:textId="77777777" w:rsidR="004C6BEC" w:rsidRPr="001223E0" w:rsidRDefault="004C6BEC" w:rsidP="002176A3">
            <w:pPr>
              <w:pStyle w:val="ListParagraph"/>
              <w:numPr>
                <w:ilvl w:val="0"/>
                <w:numId w:val="10"/>
              </w:numPr>
              <w:ind w:left="483" w:hanging="425"/>
            </w:pPr>
            <w:r w:rsidRPr="001223E0">
              <w:t>Social Sciences</w:t>
            </w:r>
          </w:p>
          <w:p w14:paraId="5CEC537B" w14:textId="6496ABC6" w:rsidR="00F10D34" w:rsidRPr="00F10D34" w:rsidRDefault="004C6BEC" w:rsidP="002176A3">
            <w:pPr>
              <w:pStyle w:val="ListParagraph"/>
              <w:numPr>
                <w:ilvl w:val="0"/>
                <w:numId w:val="10"/>
              </w:numPr>
              <w:ind w:left="483" w:hanging="425"/>
            </w:pPr>
            <w:r w:rsidRPr="001223E0">
              <w:t>Sport and Physical Activity</w:t>
            </w:r>
          </w:p>
        </w:tc>
      </w:tr>
      <w:tr w:rsidR="00F10D34" w14:paraId="2598DA8A" w14:textId="77777777" w:rsidTr="4C084DA4">
        <w:tc>
          <w:tcPr>
            <w:tcW w:w="4508" w:type="dxa"/>
          </w:tcPr>
          <w:p w14:paraId="77C2A52C" w14:textId="77777777" w:rsidR="00F10D34" w:rsidRDefault="00F10D34" w:rsidP="00DB142B">
            <w:r>
              <w:t>Faculty of Health Social Care and Medicine</w:t>
            </w:r>
            <w:r>
              <w:rPr>
                <w:rStyle w:val="FootnoteReference"/>
              </w:rPr>
              <w:footnoteReference w:id="30"/>
            </w:r>
          </w:p>
        </w:tc>
        <w:tc>
          <w:tcPr>
            <w:tcW w:w="4508" w:type="dxa"/>
          </w:tcPr>
          <w:p w14:paraId="0147922F" w14:textId="77777777" w:rsidR="00F10D34" w:rsidRPr="00F10D34" w:rsidRDefault="00F10D34" w:rsidP="002176A3">
            <w:pPr>
              <w:pStyle w:val="ListParagraph"/>
              <w:numPr>
                <w:ilvl w:val="0"/>
                <w:numId w:val="8"/>
              </w:numPr>
              <w:ind w:left="483" w:hanging="425"/>
            </w:pPr>
            <w:r w:rsidRPr="00F10D34">
              <w:t>Allied Health Professions</w:t>
            </w:r>
          </w:p>
          <w:p w14:paraId="31BFB8AB" w14:textId="77777777" w:rsidR="00F10D34" w:rsidRPr="00F10D34" w:rsidRDefault="00F10D34" w:rsidP="002176A3">
            <w:pPr>
              <w:pStyle w:val="ListParagraph"/>
              <w:numPr>
                <w:ilvl w:val="0"/>
                <w:numId w:val="8"/>
              </w:numPr>
              <w:ind w:left="483" w:hanging="425"/>
            </w:pPr>
            <w:r w:rsidRPr="00F10D34">
              <w:t>Applied Health and Social Care</w:t>
            </w:r>
          </w:p>
          <w:p w14:paraId="231C3651" w14:textId="18A17B98" w:rsidR="00F10D34" w:rsidRDefault="00F10D34" w:rsidP="002176A3">
            <w:pPr>
              <w:pStyle w:val="ListParagraph"/>
              <w:numPr>
                <w:ilvl w:val="0"/>
                <w:numId w:val="8"/>
              </w:numPr>
              <w:ind w:left="483" w:hanging="425"/>
            </w:pPr>
            <w:r w:rsidRPr="00F10D34">
              <w:lastRenderedPageBreak/>
              <w:t>Medical Education</w:t>
            </w:r>
          </w:p>
          <w:p w14:paraId="52581F84" w14:textId="207B9EB8" w:rsidR="00F10D34" w:rsidRPr="00F10D34" w:rsidRDefault="00F10D34" w:rsidP="002176A3">
            <w:pPr>
              <w:pStyle w:val="ListParagraph"/>
              <w:numPr>
                <w:ilvl w:val="0"/>
                <w:numId w:val="8"/>
              </w:numPr>
              <w:ind w:left="483" w:hanging="425"/>
            </w:pPr>
            <w:r w:rsidRPr="00F10D34">
              <w:t>Nurs</w:t>
            </w:r>
            <w:r w:rsidR="70E7B41B">
              <w:t>ing and</w:t>
            </w:r>
            <w:r w:rsidR="0F5AC5CB">
              <w:t xml:space="preserve"> </w:t>
            </w:r>
            <w:r w:rsidR="70E7B41B">
              <w:t xml:space="preserve">Midwifery </w:t>
            </w:r>
            <w:r w:rsidRPr="00F10D34">
              <w:t>Education</w:t>
            </w:r>
            <w:r>
              <w:rPr>
                <w:rStyle w:val="FootnoteReference"/>
              </w:rPr>
              <w:footnoteReference w:id="31"/>
            </w:r>
          </w:p>
          <w:p w14:paraId="19BDE8CE" w14:textId="77777777" w:rsidR="00F10D34" w:rsidRPr="00F10D34" w:rsidRDefault="00F10D34" w:rsidP="002176A3">
            <w:pPr>
              <w:pStyle w:val="ListParagraph"/>
              <w:numPr>
                <w:ilvl w:val="0"/>
                <w:numId w:val="8"/>
              </w:numPr>
              <w:ind w:left="483" w:hanging="425"/>
            </w:pPr>
            <w:r w:rsidRPr="00F10D34">
              <w:t>Social Work</w:t>
            </w:r>
          </w:p>
        </w:tc>
      </w:tr>
      <w:tr w:rsidR="00F10D34" w14:paraId="77541D03" w14:textId="77777777" w:rsidTr="4C084DA4">
        <w:tc>
          <w:tcPr>
            <w:tcW w:w="4508" w:type="dxa"/>
          </w:tcPr>
          <w:p w14:paraId="7404A058" w14:textId="77777777" w:rsidR="00F10D34" w:rsidRDefault="00F10D34" w:rsidP="00DB142B">
            <w:r>
              <w:lastRenderedPageBreak/>
              <w:t>Faculty of Education</w:t>
            </w:r>
          </w:p>
        </w:tc>
        <w:tc>
          <w:tcPr>
            <w:tcW w:w="4508" w:type="dxa"/>
          </w:tcPr>
          <w:p w14:paraId="3BCE5A3F" w14:textId="40F23F18" w:rsidR="00000C13" w:rsidRDefault="00000C13" w:rsidP="7BC32EF9">
            <w:pPr>
              <w:pStyle w:val="ListParagraph"/>
              <w:numPr>
                <w:ilvl w:val="0"/>
                <w:numId w:val="9"/>
              </w:numPr>
              <w:ind w:left="483" w:hanging="425"/>
              <w:rPr>
                <w:rFonts w:asciiTheme="minorHAnsi" w:eastAsiaTheme="minorEastAsia" w:hAnsiTheme="minorHAnsi"/>
                <w:szCs w:val="24"/>
              </w:rPr>
            </w:pPr>
            <w:r>
              <w:t xml:space="preserve">Primary and Childhood Education </w:t>
            </w:r>
          </w:p>
          <w:p w14:paraId="57D74031" w14:textId="37B31D22" w:rsidR="00F10D34" w:rsidRPr="00F10D34" w:rsidRDefault="00F10D34" w:rsidP="002176A3">
            <w:pPr>
              <w:pStyle w:val="ListParagraph"/>
              <w:numPr>
                <w:ilvl w:val="0"/>
                <w:numId w:val="9"/>
              </w:numPr>
              <w:ind w:left="483" w:hanging="425"/>
            </w:pPr>
            <w:r>
              <w:t>Early Years Education</w:t>
            </w:r>
          </w:p>
          <w:p w14:paraId="1436046A" w14:textId="77777777" w:rsidR="00F10D34" w:rsidRDefault="00F10D34" w:rsidP="002176A3">
            <w:pPr>
              <w:pStyle w:val="ListParagraph"/>
              <w:numPr>
                <w:ilvl w:val="0"/>
                <w:numId w:val="9"/>
              </w:numPr>
              <w:ind w:left="483" w:hanging="425"/>
            </w:pPr>
            <w:bookmarkStart w:id="12" w:name="_Hlk52201052"/>
            <w:r>
              <w:t>Secondary and Further Education</w:t>
            </w:r>
            <w:bookmarkEnd w:id="12"/>
          </w:p>
        </w:tc>
      </w:tr>
      <w:bookmarkEnd w:id="10"/>
    </w:tbl>
    <w:p w14:paraId="70E9F95E" w14:textId="5806190F" w:rsidR="00DB142B" w:rsidRDefault="00DB142B" w:rsidP="00DB142B"/>
    <w:p w14:paraId="7778F3AB" w14:textId="6F4DC458" w:rsidR="00BB23B8" w:rsidRDefault="00BB23B8" w:rsidP="00DA4195">
      <w:pPr>
        <w:contextualSpacing/>
        <w:jc w:val="both"/>
      </w:pPr>
      <w:r w:rsidRPr="00DB142B">
        <w:t>A factual DBA report summarising the Department’s performance during the previous academic year is prepared in partnership with the Head of Department and a representative from the Strategic Planning and Policy Unit (SPPU).</w:t>
      </w:r>
    </w:p>
    <w:p w14:paraId="15726765" w14:textId="77777777" w:rsidR="00DA4195" w:rsidRPr="00DB142B" w:rsidRDefault="00DA4195" w:rsidP="00DA4195">
      <w:pPr>
        <w:contextualSpacing/>
        <w:jc w:val="both"/>
      </w:pPr>
    </w:p>
    <w:p w14:paraId="661B5A08" w14:textId="684F56CE" w:rsidR="00AC756D" w:rsidRPr="00AC756D" w:rsidRDefault="00AC756D" w:rsidP="00DA4195">
      <w:pPr>
        <w:spacing w:after="160"/>
        <w:contextualSpacing/>
        <w:jc w:val="both"/>
        <w:rPr>
          <w:rFonts w:eastAsia="Calibri" w:cs="Times New Roman"/>
          <w:szCs w:val="24"/>
        </w:rPr>
      </w:pPr>
      <w:r w:rsidRPr="00AC756D">
        <w:rPr>
          <w:rFonts w:eastAsia="Calibri" w:cs="Times New Roman"/>
          <w:b/>
          <w:bCs/>
          <w:szCs w:val="24"/>
        </w:rPr>
        <w:t xml:space="preserve">In </w:t>
      </w:r>
      <w:r w:rsidR="00D12600">
        <w:rPr>
          <w:rFonts w:eastAsia="Calibri" w:cs="Times New Roman"/>
          <w:b/>
          <w:bCs/>
          <w:szCs w:val="24"/>
        </w:rPr>
        <w:t>confirming</w:t>
      </w:r>
      <w:r w:rsidRPr="00AC756D">
        <w:rPr>
          <w:rFonts w:eastAsia="Calibri" w:cs="Times New Roman"/>
          <w:b/>
          <w:bCs/>
          <w:szCs w:val="24"/>
        </w:rPr>
        <w:t xml:space="preserve"> that </w:t>
      </w:r>
      <w:r w:rsidR="000A6C5E">
        <w:rPr>
          <w:rFonts w:eastAsia="Calibri" w:cs="Times New Roman"/>
          <w:b/>
          <w:bCs/>
          <w:szCs w:val="24"/>
        </w:rPr>
        <w:t>s</w:t>
      </w:r>
      <w:r w:rsidRPr="00AC756D">
        <w:rPr>
          <w:rFonts w:eastAsia="Calibri" w:cs="Times New Roman"/>
          <w:b/>
          <w:bCs/>
          <w:szCs w:val="24"/>
        </w:rPr>
        <w:t>tandards</w:t>
      </w:r>
      <w:r w:rsidRPr="00AC756D">
        <w:rPr>
          <w:rFonts w:eastAsia="Calibri" w:cs="Times New Roman"/>
          <w:szCs w:val="24"/>
        </w:rPr>
        <w:t xml:space="preserve"> remain secure, the DBA report will consider: </w:t>
      </w:r>
    </w:p>
    <w:p w14:paraId="4259CE1B" w14:textId="77777777" w:rsidR="00AC756D" w:rsidRPr="00AC756D" w:rsidRDefault="00AC756D" w:rsidP="4C084DA4">
      <w:pPr>
        <w:numPr>
          <w:ilvl w:val="3"/>
          <w:numId w:val="24"/>
        </w:numPr>
        <w:spacing w:after="160"/>
        <w:ind w:left="709"/>
        <w:contextualSpacing/>
        <w:jc w:val="both"/>
        <w:rPr>
          <w:rFonts w:eastAsia="Calibri" w:cs="Times New Roman"/>
        </w:rPr>
      </w:pPr>
      <w:r w:rsidRPr="07FE1F7C">
        <w:rPr>
          <w:rFonts w:eastAsia="Calibri" w:cs="Times New Roman"/>
        </w:rPr>
        <w:t xml:space="preserve">academic and professional benchmarking; </w:t>
      </w:r>
    </w:p>
    <w:p w14:paraId="0A44BC8D" w14:textId="77777777" w:rsidR="00AC756D" w:rsidRPr="00AC756D" w:rsidRDefault="00AC756D" w:rsidP="4C084DA4">
      <w:pPr>
        <w:numPr>
          <w:ilvl w:val="3"/>
          <w:numId w:val="24"/>
        </w:numPr>
        <w:spacing w:after="160"/>
        <w:ind w:left="709"/>
        <w:contextualSpacing/>
        <w:jc w:val="both"/>
        <w:rPr>
          <w:rFonts w:eastAsia="Calibri" w:cs="Times New Roman"/>
        </w:rPr>
      </w:pPr>
      <w:r w:rsidRPr="07FE1F7C">
        <w:rPr>
          <w:rFonts w:eastAsia="Calibri" w:cs="Times New Roman"/>
        </w:rPr>
        <w:t>PSRB Reports (where applicable and available)</w:t>
      </w:r>
    </w:p>
    <w:p w14:paraId="0A021F6E" w14:textId="77777777" w:rsidR="00AC756D" w:rsidRPr="00AC756D" w:rsidRDefault="00AC756D" w:rsidP="4C084DA4">
      <w:pPr>
        <w:numPr>
          <w:ilvl w:val="0"/>
          <w:numId w:val="24"/>
        </w:numPr>
        <w:spacing w:after="160"/>
        <w:contextualSpacing/>
        <w:jc w:val="both"/>
        <w:rPr>
          <w:rFonts w:eastAsia="Calibri" w:cs="Times New Roman"/>
        </w:rPr>
      </w:pPr>
      <w:r w:rsidRPr="07FE1F7C">
        <w:rPr>
          <w:rFonts w:eastAsia="Calibri" w:cs="Times New Roman"/>
        </w:rPr>
        <w:t>external examiners’ reports.</w:t>
      </w:r>
    </w:p>
    <w:p w14:paraId="3F1FC95B" w14:textId="77777777" w:rsidR="00BB23B8" w:rsidRDefault="00BB23B8" w:rsidP="00DA4195">
      <w:pPr>
        <w:spacing w:after="0"/>
        <w:contextualSpacing/>
        <w:jc w:val="both"/>
        <w:rPr>
          <w:b/>
        </w:rPr>
      </w:pPr>
    </w:p>
    <w:p w14:paraId="509C29A7" w14:textId="4AAB7D9C" w:rsidR="00BB23B8" w:rsidRPr="00DB142B" w:rsidRDefault="00BB23B8" w:rsidP="00DA4195">
      <w:pPr>
        <w:spacing w:after="0"/>
        <w:contextualSpacing/>
        <w:jc w:val="both"/>
      </w:pPr>
      <w:r w:rsidRPr="4C084DA4">
        <w:rPr>
          <w:b/>
          <w:bCs/>
        </w:rPr>
        <w:t xml:space="preserve">In assessing indicators of </w:t>
      </w:r>
      <w:proofErr w:type="gramStart"/>
      <w:r w:rsidR="000A6C5E" w:rsidRPr="4C084DA4">
        <w:rPr>
          <w:b/>
          <w:bCs/>
        </w:rPr>
        <w:t>q</w:t>
      </w:r>
      <w:r w:rsidRPr="4C084DA4">
        <w:rPr>
          <w:b/>
          <w:bCs/>
        </w:rPr>
        <w:t>uality</w:t>
      </w:r>
      <w:proofErr w:type="gramEnd"/>
      <w:r w:rsidRPr="00DB142B">
        <w:t xml:space="preserve"> the report </w:t>
      </w:r>
      <w:r>
        <w:t>reviews 3-year data against K</w:t>
      </w:r>
      <w:r w:rsidRPr="00DB142B">
        <w:t>ey Performance Indicators</w:t>
      </w:r>
      <w:r>
        <w:rPr>
          <w:rStyle w:val="FootnoteReference"/>
        </w:rPr>
        <w:footnoteReference w:id="32"/>
      </w:r>
      <w:r>
        <w:t xml:space="preserve"> for:</w:t>
      </w:r>
    </w:p>
    <w:p w14:paraId="4683F269" w14:textId="2C325784" w:rsidR="00995235" w:rsidRPr="00995235" w:rsidRDefault="00995235" w:rsidP="4C084DA4">
      <w:pPr>
        <w:numPr>
          <w:ilvl w:val="0"/>
          <w:numId w:val="25"/>
        </w:numPr>
        <w:spacing w:after="160"/>
        <w:contextualSpacing/>
        <w:jc w:val="both"/>
        <w:rPr>
          <w:rFonts w:eastAsia="Calibri" w:cs="Times New Roman"/>
        </w:rPr>
      </w:pPr>
      <w:r w:rsidRPr="07FE1F7C">
        <w:rPr>
          <w:rFonts w:eastAsia="Calibri" w:cs="Times New Roman"/>
        </w:rPr>
        <w:t xml:space="preserve">Recruitment </w:t>
      </w:r>
      <w:r w:rsidR="00BE2185" w:rsidRPr="07FE1F7C">
        <w:rPr>
          <w:rFonts w:eastAsia="Calibri" w:cs="Times New Roman"/>
        </w:rPr>
        <w:t>i.e., the conversion rate and enrolments at programme level including</w:t>
      </w:r>
      <w:r w:rsidRPr="07FE1F7C">
        <w:rPr>
          <w:rFonts w:eastAsia="Calibri" w:cs="Times New Roman"/>
        </w:rPr>
        <w:t xml:space="preserve"> any programmes that </w:t>
      </w:r>
      <w:r w:rsidR="00BE2185" w:rsidRPr="07FE1F7C">
        <w:rPr>
          <w:rFonts w:eastAsia="Calibri" w:cs="Times New Roman"/>
        </w:rPr>
        <w:t xml:space="preserve">failed to </w:t>
      </w:r>
      <w:r w:rsidRPr="07FE1F7C">
        <w:rPr>
          <w:rFonts w:eastAsia="Calibri" w:cs="Times New Roman"/>
        </w:rPr>
        <w:t>recruit;</w:t>
      </w:r>
    </w:p>
    <w:p w14:paraId="4EF776D7" w14:textId="5EA62202" w:rsidR="00995235" w:rsidRPr="00995235" w:rsidRDefault="00995235" w:rsidP="4C084DA4">
      <w:pPr>
        <w:numPr>
          <w:ilvl w:val="0"/>
          <w:numId w:val="25"/>
        </w:numPr>
        <w:spacing w:after="160"/>
        <w:contextualSpacing/>
        <w:jc w:val="both"/>
        <w:rPr>
          <w:rFonts w:eastAsia="Calibri" w:cs="Times New Roman"/>
        </w:rPr>
      </w:pPr>
      <w:r w:rsidRPr="07FE1F7C">
        <w:rPr>
          <w:rFonts w:eastAsia="Calibri" w:cs="Times New Roman"/>
        </w:rPr>
        <w:t>A list of Programme modifications undertaken</w:t>
      </w:r>
      <w:r w:rsidR="00F54EE6" w:rsidRPr="07FE1F7C">
        <w:rPr>
          <w:rFonts w:eastAsia="Calibri" w:cs="Times New Roman"/>
        </w:rPr>
        <w:t xml:space="preserve"> in the preceding year</w:t>
      </w:r>
      <w:r w:rsidRPr="07FE1F7C">
        <w:rPr>
          <w:rFonts w:eastAsia="Calibri" w:cs="Times New Roman"/>
        </w:rPr>
        <w:t>;</w:t>
      </w:r>
    </w:p>
    <w:p w14:paraId="06970800" w14:textId="77777777" w:rsidR="00995235" w:rsidRPr="00995235" w:rsidRDefault="00995235" w:rsidP="4C084DA4">
      <w:pPr>
        <w:numPr>
          <w:ilvl w:val="0"/>
          <w:numId w:val="25"/>
        </w:numPr>
        <w:spacing w:after="160"/>
        <w:contextualSpacing/>
        <w:jc w:val="both"/>
        <w:rPr>
          <w:rFonts w:eastAsia="Calibri" w:cs="Times New Roman"/>
        </w:rPr>
      </w:pPr>
      <w:r w:rsidRPr="07FE1F7C">
        <w:rPr>
          <w:rFonts w:eastAsia="Calibri" w:cs="Times New Roman"/>
        </w:rPr>
        <w:t>Instances of academic malpractice;</w:t>
      </w:r>
    </w:p>
    <w:p w14:paraId="6B1A9F12" w14:textId="7D1D6229" w:rsidR="00995235" w:rsidRPr="00995235" w:rsidRDefault="00995235" w:rsidP="4C084DA4">
      <w:pPr>
        <w:numPr>
          <w:ilvl w:val="0"/>
          <w:numId w:val="25"/>
        </w:numPr>
        <w:spacing w:after="160"/>
        <w:contextualSpacing/>
        <w:jc w:val="both"/>
        <w:rPr>
          <w:rFonts w:eastAsia="Calibri" w:cs="Times New Roman"/>
        </w:rPr>
      </w:pPr>
      <w:r w:rsidRPr="07FE1F7C">
        <w:rPr>
          <w:rFonts w:eastAsia="Calibri" w:cs="Times New Roman"/>
        </w:rPr>
        <w:t xml:space="preserve">Student academic outcomes (e.g., module pass rates (first-time and overall), progression, retention and degree </w:t>
      </w:r>
      <w:r w:rsidR="0032315D" w:rsidRPr="07FE1F7C">
        <w:rPr>
          <w:rFonts w:eastAsia="Calibri" w:cs="Times New Roman"/>
        </w:rPr>
        <w:t>outcome</w:t>
      </w:r>
      <w:r w:rsidRPr="07FE1F7C">
        <w:rPr>
          <w:rFonts w:eastAsia="Calibri" w:cs="Times New Roman"/>
        </w:rPr>
        <w:t>s;</w:t>
      </w:r>
    </w:p>
    <w:p w14:paraId="775562C8" w14:textId="215BB96F" w:rsidR="00995235" w:rsidRPr="00995235" w:rsidRDefault="00995235" w:rsidP="4C084DA4">
      <w:pPr>
        <w:numPr>
          <w:ilvl w:val="0"/>
          <w:numId w:val="25"/>
        </w:numPr>
        <w:spacing w:after="160"/>
        <w:contextualSpacing/>
        <w:jc w:val="both"/>
        <w:rPr>
          <w:rFonts w:eastAsia="Calibri" w:cs="Times New Roman"/>
        </w:rPr>
      </w:pPr>
      <w:r w:rsidRPr="07FE1F7C">
        <w:rPr>
          <w:rFonts w:eastAsia="Calibri" w:cs="Times New Roman"/>
        </w:rPr>
        <w:t xml:space="preserve">Student satisfaction – National Student Survey and internal survey data; </w:t>
      </w:r>
      <w:r w:rsidR="308B1880" w:rsidRPr="07FE1F7C">
        <w:rPr>
          <w:rFonts w:eastAsia="Calibri" w:cs="Times New Roman"/>
        </w:rPr>
        <w:t>and,</w:t>
      </w:r>
    </w:p>
    <w:p w14:paraId="6A2B69E0" w14:textId="14549F89" w:rsidR="0032315D" w:rsidRDefault="00995235" w:rsidP="4C084DA4">
      <w:pPr>
        <w:numPr>
          <w:ilvl w:val="0"/>
          <w:numId w:val="25"/>
        </w:numPr>
        <w:spacing w:after="160"/>
        <w:contextualSpacing/>
        <w:jc w:val="both"/>
        <w:rPr>
          <w:rFonts w:eastAsia="Calibri" w:cs="Times New Roman"/>
        </w:rPr>
      </w:pPr>
      <w:r w:rsidRPr="07FE1F7C">
        <w:rPr>
          <w:rFonts w:eastAsia="Calibri" w:cs="Times New Roman"/>
        </w:rPr>
        <w:t>Graduate Outcomes – employment, highly skilled employment or further study</w:t>
      </w:r>
      <w:r w:rsidR="3C2D3AE9" w:rsidRPr="07FE1F7C">
        <w:rPr>
          <w:rFonts w:eastAsia="Calibri" w:cs="Times New Roman"/>
        </w:rPr>
        <w:t>.</w:t>
      </w:r>
    </w:p>
    <w:p w14:paraId="5E2BEF36" w14:textId="64035719" w:rsidR="00BE2185" w:rsidRDefault="00BE2185" w:rsidP="00DA4195">
      <w:pPr>
        <w:spacing w:after="160"/>
        <w:contextualSpacing/>
        <w:jc w:val="both"/>
        <w:rPr>
          <w:rFonts w:eastAsia="Calibri" w:cs="Times New Roman"/>
          <w:szCs w:val="24"/>
        </w:rPr>
      </w:pPr>
    </w:p>
    <w:p w14:paraId="7A049034" w14:textId="13007EBB" w:rsidR="00B55F5E" w:rsidRPr="00B55F5E" w:rsidRDefault="00B55F5E" w:rsidP="00DA4195">
      <w:pPr>
        <w:spacing w:after="160"/>
        <w:contextualSpacing/>
        <w:jc w:val="both"/>
        <w:rPr>
          <w:rFonts w:eastAsia="Calibri" w:cs="Times New Roman"/>
          <w:szCs w:val="24"/>
        </w:rPr>
      </w:pPr>
      <w:r w:rsidRPr="00B55F5E">
        <w:rPr>
          <w:rFonts w:eastAsia="Calibri" w:cs="Times New Roman"/>
          <w:b/>
          <w:bCs/>
          <w:szCs w:val="24"/>
        </w:rPr>
        <w:t>In assessing departments’ ability and capacity to manage risk</w:t>
      </w:r>
      <w:r w:rsidRPr="00B55F5E">
        <w:rPr>
          <w:rFonts w:eastAsia="Calibri" w:cs="Times New Roman"/>
          <w:szCs w:val="24"/>
        </w:rPr>
        <w:t>, the report consider</w:t>
      </w:r>
      <w:r>
        <w:rPr>
          <w:rFonts w:eastAsia="Calibri" w:cs="Times New Roman"/>
          <w:szCs w:val="24"/>
        </w:rPr>
        <w:t>s</w:t>
      </w:r>
      <w:r w:rsidRPr="00B55F5E">
        <w:rPr>
          <w:rFonts w:eastAsia="Calibri" w:cs="Times New Roman"/>
          <w:szCs w:val="24"/>
        </w:rPr>
        <w:t>:</w:t>
      </w:r>
    </w:p>
    <w:p w14:paraId="6F3157CF" w14:textId="77777777" w:rsidR="00B55F5E" w:rsidRPr="00995235" w:rsidRDefault="00B55F5E" w:rsidP="00DA4195">
      <w:pPr>
        <w:spacing w:after="160"/>
        <w:contextualSpacing/>
        <w:jc w:val="both"/>
        <w:rPr>
          <w:rFonts w:eastAsia="Calibri" w:cs="Times New Roman"/>
          <w:szCs w:val="24"/>
        </w:rPr>
      </w:pPr>
    </w:p>
    <w:p w14:paraId="0B1DA0F1" w14:textId="6D59F6DD" w:rsidR="0047541D" w:rsidRPr="0047541D" w:rsidRDefault="0047541D" w:rsidP="4C084DA4">
      <w:pPr>
        <w:numPr>
          <w:ilvl w:val="0"/>
          <w:numId w:val="26"/>
        </w:numPr>
        <w:spacing w:after="160"/>
        <w:contextualSpacing/>
        <w:jc w:val="both"/>
        <w:rPr>
          <w:rFonts w:eastAsia="Calibri" w:cs="Times New Roman"/>
        </w:rPr>
      </w:pPr>
      <w:r w:rsidRPr="4C084DA4">
        <w:rPr>
          <w:rFonts w:eastAsia="Calibri" w:cs="Times New Roman"/>
        </w:rPr>
        <w:t xml:space="preserve">The content of the department’s ‘strategic-level’ Quality Enhancement (action) Plan, separated by programme as necessary, based on </w:t>
      </w:r>
      <w:r w:rsidR="00B55F5E" w:rsidRPr="07FE1F7C">
        <w:rPr>
          <w:rFonts w:eastAsia="Calibri" w:cs="Times New Roman"/>
          <w:i/>
          <w:iCs/>
          <w:u w:val="single"/>
        </w:rPr>
        <w:t>the department</w:t>
      </w:r>
      <w:r w:rsidR="00DA4195" w:rsidRPr="07FE1F7C">
        <w:rPr>
          <w:rFonts w:eastAsia="Calibri" w:cs="Times New Roman"/>
          <w:i/>
          <w:iCs/>
          <w:u w:val="single"/>
        </w:rPr>
        <w:t>’</w:t>
      </w:r>
      <w:r w:rsidR="00B55F5E" w:rsidRPr="07FE1F7C">
        <w:rPr>
          <w:rFonts w:eastAsia="Calibri" w:cs="Times New Roman"/>
          <w:i/>
          <w:iCs/>
          <w:u w:val="single"/>
        </w:rPr>
        <w:t>s</w:t>
      </w:r>
      <w:r w:rsidR="00DA4195" w:rsidRPr="07FE1F7C">
        <w:rPr>
          <w:rFonts w:eastAsia="Calibri" w:cs="Times New Roman"/>
          <w:i/>
          <w:iCs/>
        </w:rPr>
        <w:t xml:space="preserve"> </w:t>
      </w:r>
      <w:r w:rsidRPr="4C084DA4">
        <w:rPr>
          <w:rFonts w:eastAsia="Calibri" w:cs="Times New Roman"/>
        </w:rPr>
        <w:t>evaluation</w:t>
      </w:r>
      <w:r w:rsidR="00B73C62" w:rsidRPr="4C084DA4">
        <w:rPr>
          <w:rStyle w:val="FootnoteReference"/>
          <w:rFonts w:eastAsia="Calibri" w:cs="Times New Roman"/>
        </w:rPr>
        <w:footnoteReference w:id="33"/>
      </w:r>
      <w:r w:rsidRPr="4C084DA4">
        <w:rPr>
          <w:rFonts w:eastAsia="Calibri" w:cs="Times New Roman"/>
        </w:rPr>
        <w:t xml:space="preserve"> of the above indicators of Quality.</w:t>
      </w:r>
    </w:p>
    <w:p w14:paraId="17F14D19" w14:textId="3509E5DB" w:rsidR="00372B48" w:rsidRPr="004D6AF8" w:rsidRDefault="0047541D" w:rsidP="00BB23B8">
      <w:pPr>
        <w:numPr>
          <w:ilvl w:val="0"/>
          <w:numId w:val="26"/>
        </w:numPr>
        <w:spacing w:after="160"/>
        <w:contextualSpacing/>
        <w:jc w:val="both"/>
        <w:rPr>
          <w:rFonts w:eastAsia="Calibri" w:cs="Times New Roman"/>
        </w:rPr>
      </w:pPr>
      <w:r w:rsidRPr="07FE1F7C">
        <w:rPr>
          <w:rFonts w:eastAsia="Calibri" w:cs="Times New Roman"/>
        </w:rPr>
        <w:t>A progress update on the previous year’s Quality Enhancement Plan.</w:t>
      </w:r>
    </w:p>
    <w:p w14:paraId="5B107FF6" w14:textId="46395513" w:rsidR="001223E0" w:rsidRDefault="001223E0" w:rsidP="001223E0">
      <w:pPr>
        <w:pStyle w:val="Heading4"/>
      </w:pPr>
      <w:bookmarkStart w:id="13" w:name="_Toc89157897"/>
      <w:r>
        <w:lastRenderedPageBreak/>
        <w:t>Affirmation of Standards and Quality</w:t>
      </w:r>
      <w:bookmarkEnd w:id="13"/>
    </w:p>
    <w:p w14:paraId="60F43E02" w14:textId="5167C889" w:rsidR="00316C2F" w:rsidRDefault="001223E0" w:rsidP="007E4A93">
      <w:pPr>
        <w:spacing w:before="240"/>
      </w:pPr>
      <w:r w:rsidRPr="001223E0">
        <w:t>DBA reports contain a judgement on threshold Standards and Quality</w:t>
      </w:r>
      <w:r>
        <w:rPr>
          <w:rStyle w:val="FootnoteReference"/>
        </w:rPr>
        <w:footnoteReference w:id="34"/>
      </w:r>
      <w:r w:rsidRPr="001223E0">
        <w:t xml:space="preserve">. Reports are required to affirm, based on consideration of the evidence, that the Department continues to meet the </w:t>
      </w:r>
      <w:r w:rsidR="00732713">
        <w:t>ongoing conditions for Quality</w:t>
      </w:r>
      <w:r w:rsidR="002E406E">
        <w:t xml:space="preserve"> </w:t>
      </w:r>
      <w:r w:rsidR="002E406E" w:rsidRPr="002E406E">
        <w:t xml:space="preserve">(B1 – B4) </w:t>
      </w:r>
      <w:r w:rsidR="00732713">
        <w:t>and Standards</w:t>
      </w:r>
      <w:r w:rsidR="002E406E">
        <w:t xml:space="preserve"> (B5)</w:t>
      </w:r>
      <w:r w:rsidR="00DB393B">
        <w:t>,</w:t>
      </w:r>
      <w:r w:rsidR="00043960">
        <w:t xml:space="preserve"> as follows:</w:t>
      </w:r>
    </w:p>
    <w:p w14:paraId="559FC9AD" w14:textId="65501ECA" w:rsidR="007E4A93" w:rsidRDefault="007E4A93" w:rsidP="0089316C">
      <w:pPr>
        <w:pStyle w:val="ListParagraph"/>
        <w:numPr>
          <w:ilvl w:val="0"/>
          <w:numId w:val="27"/>
        </w:numPr>
        <w:spacing w:before="240"/>
        <w:jc w:val="both"/>
      </w:pPr>
      <w:r>
        <w:t>B1</w:t>
      </w:r>
      <w:r w:rsidR="0089316C">
        <w:t xml:space="preserve">: </w:t>
      </w:r>
      <w:r>
        <w:t>Deliver well designed courses that provide a high-quality academic experience for all students and enable a student’s achievement to be reliably assessed</w:t>
      </w:r>
      <w:r w:rsidR="0089316C">
        <w:t>.</w:t>
      </w:r>
    </w:p>
    <w:p w14:paraId="6E08CB03" w14:textId="500EDD64" w:rsidR="007E4A93" w:rsidRDefault="007E4A93" w:rsidP="0089316C">
      <w:pPr>
        <w:pStyle w:val="ListParagraph"/>
        <w:numPr>
          <w:ilvl w:val="0"/>
          <w:numId w:val="27"/>
        </w:numPr>
        <w:spacing w:before="240"/>
        <w:jc w:val="both"/>
      </w:pPr>
      <w:r>
        <w:t>B2</w:t>
      </w:r>
      <w:r w:rsidR="0089316C">
        <w:t xml:space="preserve">: </w:t>
      </w:r>
      <w:r>
        <w:t>Provide all students, from admission through to completion, with the support that they need to succeed in and benefit from higher education</w:t>
      </w:r>
      <w:r w:rsidR="0089316C">
        <w:t>.</w:t>
      </w:r>
    </w:p>
    <w:p w14:paraId="626111C6" w14:textId="16F50007" w:rsidR="007E4A93" w:rsidRDefault="007E4A93" w:rsidP="0089316C">
      <w:pPr>
        <w:pStyle w:val="ListParagraph"/>
        <w:numPr>
          <w:ilvl w:val="0"/>
          <w:numId w:val="27"/>
        </w:numPr>
        <w:spacing w:before="240"/>
        <w:jc w:val="both"/>
      </w:pPr>
      <w:r>
        <w:t>B3</w:t>
      </w:r>
      <w:r w:rsidR="0089316C">
        <w:t xml:space="preserve">: </w:t>
      </w:r>
      <w:r>
        <w:t xml:space="preserve">Deliver successful outcomes for </w:t>
      </w:r>
      <w:proofErr w:type="gramStart"/>
      <w:r>
        <w:t>all of</w:t>
      </w:r>
      <w:proofErr w:type="gramEnd"/>
      <w:r>
        <w:t xml:space="preserve"> its students, which are recognised and valued by employers and/or enable further study</w:t>
      </w:r>
      <w:r w:rsidR="0089316C">
        <w:t>.</w:t>
      </w:r>
    </w:p>
    <w:p w14:paraId="40F3B11F" w14:textId="785CB0BB" w:rsidR="007E4A93" w:rsidRDefault="007E4A93" w:rsidP="0089316C">
      <w:pPr>
        <w:pStyle w:val="ListParagraph"/>
        <w:numPr>
          <w:ilvl w:val="0"/>
          <w:numId w:val="27"/>
        </w:numPr>
        <w:spacing w:before="240"/>
        <w:jc w:val="both"/>
      </w:pPr>
      <w:r>
        <w:t>B4</w:t>
      </w:r>
      <w:r w:rsidR="0089316C">
        <w:t xml:space="preserve">: </w:t>
      </w:r>
      <w:r>
        <w:t>Ensure that qualifications awarded to students hold their value at the point of qualification and over time, in line with sector recognised standards</w:t>
      </w:r>
      <w:r w:rsidR="0089316C">
        <w:t>.</w:t>
      </w:r>
    </w:p>
    <w:p w14:paraId="69D349CA" w14:textId="4DBA26F0" w:rsidR="007E4A93" w:rsidRDefault="007E4A93" w:rsidP="0083770D">
      <w:pPr>
        <w:pStyle w:val="ListParagraph"/>
        <w:numPr>
          <w:ilvl w:val="0"/>
          <w:numId w:val="27"/>
        </w:numPr>
        <w:spacing w:before="240"/>
        <w:ind w:left="714" w:hanging="357"/>
        <w:jc w:val="both"/>
      </w:pPr>
      <w:r>
        <w:t>B5</w:t>
      </w:r>
      <w:r w:rsidR="0089316C">
        <w:t xml:space="preserve">: </w:t>
      </w:r>
      <w:r>
        <w:t>Deliver courses that meet the academic standards as they are described in the Framework for Higher Education Qualifications at level 4 or higher</w:t>
      </w:r>
      <w:r w:rsidR="0089316C">
        <w:t>.</w:t>
      </w:r>
    </w:p>
    <w:p w14:paraId="683BD566" w14:textId="77777777" w:rsidR="0089316C" w:rsidRPr="00316C2F" w:rsidRDefault="0089316C" w:rsidP="0083770D">
      <w:pPr>
        <w:spacing w:before="240"/>
        <w:contextualSpacing/>
        <w:jc w:val="both"/>
      </w:pPr>
    </w:p>
    <w:p w14:paraId="537FEF76" w14:textId="560EB5AD" w:rsidR="001223E0" w:rsidRDefault="00BB23B8" w:rsidP="0083770D">
      <w:pPr>
        <w:contextualSpacing/>
        <w:jc w:val="both"/>
      </w:pPr>
      <w:r>
        <w:t>J</w:t>
      </w:r>
      <w:r w:rsidR="001223E0" w:rsidRPr="001223E0">
        <w:t>udgement</w:t>
      </w:r>
      <w:r>
        <w:t>s are</w:t>
      </w:r>
      <w:r w:rsidR="001223E0" w:rsidRPr="001223E0">
        <w:t xml:space="preserve"> reached by triangulating external examiner reports and responses, PSRB reports (where available) and </w:t>
      </w:r>
      <w:r w:rsidR="002176A3">
        <w:t>‘</w:t>
      </w:r>
      <w:r w:rsidR="001223E0" w:rsidRPr="001223E0">
        <w:t>contextualised</w:t>
      </w:r>
      <w:r w:rsidR="002176A3">
        <w:t>’</w:t>
      </w:r>
      <w:r w:rsidR="001223E0" w:rsidRPr="001223E0">
        <w:t xml:space="preserve"> performance data. Beyond threshold, comparisons are made between programme performance data and a set of Institutional benchmarks set by the Directorate. Any data which falls below Institutional benchmark is contextualised </w:t>
      </w:r>
      <w:r w:rsidR="00DB393B">
        <w:t>and commented upon by</w:t>
      </w:r>
      <w:r w:rsidR="001223E0" w:rsidRPr="001223E0">
        <w:t xml:space="preserve"> the Head of Department as part of the DBA process and actions formally recorded in a Quality Enhancement Plan (below).</w:t>
      </w:r>
    </w:p>
    <w:p w14:paraId="6E1275C7" w14:textId="3A77646C" w:rsidR="001223E0" w:rsidRDefault="001223E0" w:rsidP="00135141">
      <w:pPr>
        <w:pStyle w:val="Heading4"/>
        <w:jc w:val="both"/>
      </w:pPr>
      <w:bookmarkStart w:id="14" w:name="_Toc89157898"/>
      <w:r>
        <w:t>Quality Enhancement Plans</w:t>
      </w:r>
      <w:bookmarkEnd w:id="14"/>
    </w:p>
    <w:p w14:paraId="553D536B" w14:textId="2C57A85D" w:rsidR="001223E0" w:rsidRPr="001223E0" w:rsidRDefault="001223E0" w:rsidP="00135141">
      <w:pPr>
        <w:spacing w:before="240"/>
        <w:jc w:val="both"/>
      </w:pPr>
      <w:r w:rsidRPr="001223E0">
        <w:t>The Quality Enhancement Plan (QEP) is divided into two sections:</w:t>
      </w:r>
    </w:p>
    <w:p w14:paraId="2CB62117" w14:textId="77777777" w:rsidR="001223E0" w:rsidRPr="001223E0" w:rsidRDefault="001223E0" w:rsidP="00135141">
      <w:pPr>
        <w:pStyle w:val="ListParagraph"/>
        <w:numPr>
          <w:ilvl w:val="0"/>
          <w:numId w:val="12"/>
        </w:numPr>
        <w:jc w:val="both"/>
      </w:pPr>
      <w:r w:rsidRPr="001223E0">
        <w:t>Agreed actions in response to indicators of Standards and Quality (performance data); and</w:t>
      </w:r>
    </w:p>
    <w:p w14:paraId="62203470" w14:textId="7DE8FD25" w:rsidR="001223E0" w:rsidRPr="001223E0" w:rsidRDefault="001223E0" w:rsidP="00135141">
      <w:pPr>
        <w:pStyle w:val="ListParagraph"/>
        <w:numPr>
          <w:ilvl w:val="0"/>
          <w:numId w:val="12"/>
        </w:numPr>
        <w:jc w:val="both"/>
      </w:pPr>
      <w:r w:rsidRPr="001223E0">
        <w:t>A summary of good practice linked to evidenced improvements/ exemplary performance against Institutional benchmarks.</w:t>
      </w:r>
    </w:p>
    <w:p w14:paraId="088898AA" w14:textId="570B6941" w:rsidR="001223E0" w:rsidRPr="001223E0" w:rsidRDefault="001223E0" w:rsidP="00135141">
      <w:pPr>
        <w:jc w:val="both"/>
      </w:pPr>
      <w:r w:rsidRPr="001223E0">
        <w:t>In part 1 of the QEP, Heads of Department state concisely what is being done and / or will be done to improve performance (in the spirit of SMART action planning). This means that actions are linked directly to programmes or areas where performance has fallen below the benchmark set by the University. Actions are set at an appropriate, departmental level and need not contain operational details.</w:t>
      </w:r>
    </w:p>
    <w:p w14:paraId="7B555B6A" w14:textId="4500A455" w:rsidR="001223E0" w:rsidRPr="001223E0" w:rsidRDefault="001223E0" w:rsidP="004F602A">
      <w:pPr>
        <w:contextualSpacing/>
        <w:jc w:val="both"/>
      </w:pPr>
      <w:r w:rsidRPr="001223E0">
        <w:t>Part 2 of the QEP provides a summary of specific features of good practice with the potential for wider dissemination across departments and/ or Faculties. Good practice citations are linked to external examiners’ reports, previous validation and/ or periodic review reports, evidenced improvements in performance data between academic years or programmes/</w:t>
      </w:r>
      <w:r w:rsidR="005B3446">
        <w:t xml:space="preserve"> subject</w:t>
      </w:r>
      <w:r w:rsidRPr="001223E0">
        <w:t xml:space="preserve"> areas which show exemplary performance against </w:t>
      </w:r>
      <w:r w:rsidR="002176A3">
        <w:t>I</w:t>
      </w:r>
      <w:r w:rsidRPr="001223E0">
        <w:t>nstitutional benchmarks.</w:t>
      </w:r>
    </w:p>
    <w:p w14:paraId="14A0F16A" w14:textId="1035546A" w:rsidR="001223E0" w:rsidRDefault="005B3446" w:rsidP="004F602A">
      <w:pPr>
        <w:contextualSpacing/>
        <w:jc w:val="both"/>
      </w:pPr>
      <w:r w:rsidRPr="001223E0">
        <w:lastRenderedPageBreak/>
        <w:t>Facult</w:t>
      </w:r>
      <w:r>
        <w:t>ies consider</w:t>
      </w:r>
      <w:r w:rsidR="001223E0" w:rsidRPr="001223E0">
        <w:t xml:space="preserve"> if the issues raised by the data have been addressed sufficiently </w:t>
      </w:r>
      <w:r w:rsidR="000D4773">
        <w:t>within the report and in the QEP. W</w:t>
      </w:r>
      <w:r w:rsidR="001223E0" w:rsidRPr="001223E0">
        <w:t xml:space="preserve">here this is deemed not to be the case, </w:t>
      </w:r>
      <w:r w:rsidR="00A727E1">
        <w:t xml:space="preserve">reports and / or </w:t>
      </w:r>
      <w:r w:rsidR="001223E0" w:rsidRPr="001223E0">
        <w:t xml:space="preserve">plans are </w:t>
      </w:r>
      <w:proofErr w:type="gramStart"/>
      <w:r w:rsidR="001223E0" w:rsidRPr="001223E0">
        <w:t>referred back</w:t>
      </w:r>
      <w:proofErr w:type="gramEnd"/>
      <w:r w:rsidR="001223E0" w:rsidRPr="001223E0">
        <w:t xml:space="preserve"> for further work. </w:t>
      </w:r>
      <w:r w:rsidR="00A727E1">
        <w:t>Completed reports (including the QEP)</w:t>
      </w:r>
      <w:r w:rsidR="001223E0" w:rsidRPr="001223E0">
        <w:t xml:space="preserve"> are submitted to </w:t>
      </w:r>
      <w:r w:rsidR="00A727E1">
        <w:t xml:space="preserve">the </w:t>
      </w:r>
      <w:r w:rsidR="00D47D4E">
        <w:t>GQASC</w:t>
      </w:r>
      <w:r w:rsidR="001223E0" w:rsidRPr="001223E0">
        <w:t xml:space="preserve"> for </w:t>
      </w:r>
      <w:r w:rsidR="009E4AA4">
        <w:t>‘in principle’</w:t>
      </w:r>
      <w:r w:rsidR="009E4AA4" w:rsidRPr="001223E0">
        <w:t xml:space="preserve"> </w:t>
      </w:r>
      <w:r w:rsidR="001223E0" w:rsidRPr="001223E0">
        <w:t>approval.</w:t>
      </w:r>
      <w:bookmarkStart w:id="15" w:name="_Hlk52199460"/>
      <w:r w:rsidR="009E4AA4">
        <w:t xml:space="preserve"> Final approval is granted by AQEC</w:t>
      </w:r>
      <w:r w:rsidR="009E4AA4">
        <w:rPr>
          <w:rStyle w:val="FootnoteReference"/>
        </w:rPr>
        <w:footnoteReference w:id="35"/>
      </w:r>
      <w:r w:rsidR="009E4AA4">
        <w:t>.</w:t>
      </w:r>
    </w:p>
    <w:p w14:paraId="17AF16E7" w14:textId="77777777" w:rsidR="004F602A" w:rsidRPr="001223E0" w:rsidRDefault="004F602A" w:rsidP="004F602A">
      <w:pPr>
        <w:contextualSpacing/>
        <w:jc w:val="both"/>
      </w:pPr>
    </w:p>
    <w:bookmarkEnd w:id="15"/>
    <w:p w14:paraId="7D5A2561" w14:textId="59C23C74" w:rsidR="001223E0" w:rsidRDefault="001223E0" w:rsidP="004F602A">
      <w:pPr>
        <w:contextualSpacing/>
        <w:jc w:val="both"/>
      </w:pPr>
      <w:r>
        <w:t>Part 1 of the QEP is considered a live document which can be updated by departments</w:t>
      </w:r>
      <w:r w:rsidR="005B3446">
        <w:t xml:space="preserve"> </w:t>
      </w:r>
      <w:r>
        <w:t xml:space="preserve">at any time during the academic year when data becomes </w:t>
      </w:r>
      <w:r w:rsidR="00D47D4E">
        <w:t>available,</w:t>
      </w:r>
      <w:r>
        <w:t xml:space="preserve"> or progress has been made. Faculties monitor progress against the actions contained within part 1 of the </w:t>
      </w:r>
      <w:r w:rsidR="005B3446">
        <w:t xml:space="preserve">QEP.  </w:t>
      </w:r>
      <w:r w:rsidR="00BC364B">
        <w:t>Faculties</w:t>
      </w:r>
      <w:r>
        <w:t xml:space="preserve"> receive updated plans for discussion, exploring where updates have not been provided or if updates require more detail. All progress updates are expected to be completed by the end of the academic year</w:t>
      </w:r>
      <w:r w:rsidR="00347792">
        <w:t>.</w:t>
      </w:r>
      <w:r w:rsidR="004F602A">
        <w:t xml:space="preserve"> </w:t>
      </w:r>
      <w:r>
        <w:t xml:space="preserve">The </w:t>
      </w:r>
      <w:r w:rsidR="00D47D4E">
        <w:t>Governance, Quality Assurance and Student Casework</w:t>
      </w:r>
      <w:r>
        <w:t xml:space="preserve"> </w:t>
      </w:r>
      <w:r w:rsidR="00D47D4E">
        <w:t>u</w:t>
      </w:r>
      <w:r>
        <w:t>nit</w:t>
      </w:r>
      <w:r w:rsidR="00D47D4E">
        <w:t xml:space="preserve"> (GQASC)</w:t>
      </w:r>
      <w:r>
        <w:t xml:space="preserve"> uses the final versions </w:t>
      </w:r>
      <w:r w:rsidR="00D47D4E">
        <w:t>of the</w:t>
      </w:r>
      <w:r w:rsidR="004F602A">
        <w:t xml:space="preserve"> </w:t>
      </w:r>
      <w:r>
        <w:t xml:space="preserve">QEPs as part of the evidence for the next </w:t>
      </w:r>
      <w:r w:rsidR="002176A3">
        <w:t>A</w:t>
      </w:r>
      <w:r>
        <w:t xml:space="preserve">nnual </w:t>
      </w:r>
      <w:r w:rsidR="002176A3">
        <w:t>M</w:t>
      </w:r>
      <w:r>
        <w:t>onitoring round.</w:t>
      </w:r>
    </w:p>
    <w:p w14:paraId="6EB258EC" w14:textId="77777777" w:rsidR="004F602A" w:rsidRPr="001223E0" w:rsidRDefault="004F602A" w:rsidP="004F602A">
      <w:pPr>
        <w:contextualSpacing/>
        <w:jc w:val="both"/>
      </w:pPr>
    </w:p>
    <w:p w14:paraId="0658EB16" w14:textId="77777777" w:rsidR="001223E0" w:rsidRPr="005B3446" w:rsidRDefault="00AB3248" w:rsidP="002176A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B3446">
        <w:rPr>
          <w:b/>
        </w:rPr>
        <w:t>Departmental Annual Monitoring Reports (AMRs) comprise a Desk-Based Assessment Report and a Quality Enhancement Plan.</w:t>
      </w:r>
    </w:p>
    <w:p w14:paraId="1C3F4D63" w14:textId="02AF96C7" w:rsidR="00AB3248" w:rsidRDefault="00AB3248" w:rsidP="00C168C4">
      <w:pPr>
        <w:contextualSpacing/>
        <w:jc w:val="both"/>
      </w:pPr>
      <w:bookmarkStart w:id="16" w:name="_Hlk52810128"/>
      <w:r w:rsidRPr="00AB3248">
        <w:t>Department AMRs are made available to staff and students via the AQDU Wiki page</w:t>
      </w:r>
      <w:r>
        <w:rPr>
          <w:rStyle w:val="FootnoteReference"/>
        </w:rPr>
        <w:footnoteReference w:id="36"/>
      </w:r>
      <w:bookmarkEnd w:id="16"/>
      <w:r w:rsidRPr="00AB3248">
        <w:t xml:space="preserve"> and Programme and/ or Faculty Boards</w:t>
      </w:r>
      <w:r>
        <w:rPr>
          <w:rStyle w:val="FootnoteReference"/>
        </w:rPr>
        <w:footnoteReference w:id="37"/>
      </w:r>
      <w:r w:rsidRPr="00AB3248">
        <w:t xml:space="preserve"> respectively.</w:t>
      </w:r>
    </w:p>
    <w:p w14:paraId="2537FAC7" w14:textId="77777777" w:rsidR="00C168C4" w:rsidRPr="00AB3248" w:rsidRDefault="00C168C4" w:rsidP="00C168C4">
      <w:pPr>
        <w:contextualSpacing/>
        <w:jc w:val="both"/>
      </w:pPr>
    </w:p>
    <w:p w14:paraId="438890C1" w14:textId="781E3F6F" w:rsidR="00AB3248" w:rsidRPr="00AB3248" w:rsidRDefault="0003066E" w:rsidP="00C168C4">
      <w:pPr>
        <w:contextualSpacing/>
        <w:jc w:val="both"/>
      </w:pPr>
      <w:r>
        <w:t>GQASC</w:t>
      </w:r>
      <w:r w:rsidR="00AB3248" w:rsidRPr="00AB3248">
        <w:t xml:space="preserve"> produces an overview document which highlights key themes from departmental annual monitoring. As well as providing the basis of discussion by AQEC</w:t>
      </w:r>
      <w:r w:rsidR="001621DD">
        <w:rPr>
          <w:rStyle w:val="FootnoteReference"/>
        </w:rPr>
        <w:footnoteReference w:id="38"/>
      </w:r>
      <w:r w:rsidR="00AB3248" w:rsidRPr="00AB3248">
        <w:t>, th</w:t>
      </w:r>
      <w:r w:rsidR="002176A3">
        <w:t>is</w:t>
      </w:r>
      <w:r w:rsidR="00AB3248" w:rsidRPr="00AB3248">
        <w:t xml:space="preserve"> overview also informs production of the University </w:t>
      </w:r>
      <w:r w:rsidR="002176A3">
        <w:t>Annual Monitoring Report</w:t>
      </w:r>
      <w:r w:rsidR="00AB3248" w:rsidRPr="00AB3248">
        <w:t xml:space="preserve"> (below).</w:t>
      </w:r>
    </w:p>
    <w:p w14:paraId="69260205" w14:textId="77777777" w:rsidR="001223E0" w:rsidRDefault="00AB3248" w:rsidP="00AB3248">
      <w:pPr>
        <w:pStyle w:val="Heading3"/>
      </w:pPr>
      <w:bookmarkStart w:id="17" w:name="_Toc89157899"/>
      <w:r>
        <w:t>Annual Monitoring for PSRBs</w:t>
      </w:r>
      <w:bookmarkEnd w:id="17"/>
    </w:p>
    <w:p w14:paraId="7AB92DD8" w14:textId="020548BB" w:rsidR="00C168C4" w:rsidRPr="00AB3248" w:rsidRDefault="00AB3248" w:rsidP="00C168C4">
      <w:pPr>
        <w:contextualSpacing/>
        <w:jc w:val="both"/>
      </w:pPr>
      <w:r>
        <w:t>Programmes that are regulated by Professional Statutory and Regulatory Bodies (PSRBs) may be required to submit external monitoring reports to meet their specific requirements. These will normally be received for approval by Faculty Boards (or their committees) but should be referred for additional consideration by AQEC where any issues requiring University</w:t>
      </w:r>
      <w:r w:rsidR="00237C81">
        <w:t xml:space="preserve"> </w:t>
      </w:r>
      <w:r>
        <w:t xml:space="preserve">level attention are identified. </w:t>
      </w:r>
    </w:p>
    <w:p w14:paraId="478F3539" w14:textId="7EA958FE" w:rsidR="009A0AFF" w:rsidRDefault="3D5A2885" w:rsidP="4C084DA4">
      <w:pPr>
        <w:spacing w:before="240"/>
        <w:rPr>
          <w:rFonts w:eastAsia="Calibri" w:cs="Arial"/>
          <w:b/>
          <w:bCs/>
          <w:szCs w:val="24"/>
        </w:rPr>
      </w:pPr>
      <w:r w:rsidRPr="4C084DA4">
        <w:rPr>
          <w:b/>
          <w:bCs/>
        </w:rPr>
        <w:t xml:space="preserve">For further details on the annual monitoring process, please contact the </w:t>
      </w:r>
      <w:r w:rsidR="00D47D4E">
        <w:rPr>
          <w:b/>
          <w:bCs/>
        </w:rPr>
        <w:t>Governance, Quality Assurance and Student Casework unit</w:t>
      </w:r>
      <w:r w:rsidRPr="4C084DA4">
        <w:rPr>
          <w:b/>
          <w:bCs/>
        </w:rPr>
        <w:t xml:space="preserve">.  For specific queries on the quantitative data used, please </w:t>
      </w:r>
      <w:r w:rsidR="353E906A" w:rsidRPr="4C084DA4">
        <w:rPr>
          <w:b/>
          <w:bCs/>
        </w:rPr>
        <w:t>contact the Strategic Planning and Policy Unit.</w:t>
      </w:r>
    </w:p>
    <w:p w14:paraId="3FE2F381" w14:textId="5A4FEEF6" w:rsidR="00AB3248" w:rsidRPr="00AB3248" w:rsidRDefault="00AB3248" w:rsidP="00D47D4E">
      <w:pPr>
        <w:pStyle w:val="Heading3"/>
        <w:spacing w:before="0"/>
        <w:jc w:val="both"/>
      </w:pPr>
      <w:bookmarkStart w:id="18" w:name="_Toc89157900"/>
      <w:r>
        <w:t>Annual Review of Academic Partnerships</w:t>
      </w:r>
      <w:bookmarkEnd w:id="18"/>
    </w:p>
    <w:p w14:paraId="00A47E9F" w14:textId="5679E43C" w:rsidR="00AB3248" w:rsidRPr="00AB3248" w:rsidRDefault="00AB3248" w:rsidP="00D47D4E">
      <w:pPr>
        <w:jc w:val="both"/>
      </w:pPr>
      <w:r w:rsidRPr="00AB3248">
        <w:t>Edge Hill University develops academic partnerships with a wide range of third-party organisations</w:t>
      </w:r>
      <w:r w:rsidR="00237C81">
        <w:t>,</w:t>
      </w:r>
      <w:r w:rsidRPr="00AB3248">
        <w:t xml:space="preserve"> from UK-based employers, colleges and awarding bodies to overseas higher education providers, for the delivery of modules or programmes leading to the award of University credit or qualifications; or the provision of </w:t>
      </w:r>
      <w:r w:rsidR="00237C81" w:rsidRPr="00AB3248">
        <w:t xml:space="preserve">student </w:t>
      </w:r>
      <w:r w:rsidRPr="00AB3248">
        <w:t xml:space="preserve">learning opportunities including work placements, international exchanges and arrangements for entry with advanced standing (articulation). The Annual Review of Academic Partnerships operates in conjunction </w:t>
      </w:r>
      <w:r w:rsidRPr="00AB3248">
        <w:lastRenderedPageBreak/>
        <w:t>with Departmental Annual Monitoring but is a separate process reflecting the level of risk</w:t>
      </w:r>
      <w:r w:rsidR="00237C81" w:rsidRPr="00237C81">
        <w:t xml:space="preserve"> </w:t>
      </w:r>
      <w:r w:rsidR="00237C81" w:rsidRPr="00AB3248">
        <w:t>associated</w:t>
      </w:r>
      <w:r w:rsidR="00237C81">
        <w:t xml:space="preserve"> with partnership working</w:t>
      </w:r>
      <w:r w:rsidRPr="00AB3248">
        <w:t>. Full details are provided elsewhere in this Handbook</w:t>
      </w:r>
      <w:r>
        <w:rPr>
          <w:rStyle w:val="FootnoteReference"/>
        </w:rPr>
        <w:footnoteReference w:id="39"/>
      </w:r>
      <w:r w:rsidRPr="00AB3248">
        <w:t>, however for partnerships in Category C and above including Higher and Degree Apprenticeships this entails</w:t>
      </w:r>
      <w:r w:rsidR="00237C81">
        <w:t xml:space="preserve"> the</w:t>
      </w:r>
      <w:r w:rsidRPr="00AB3248">
        <w:t xml:space="preserve"> completion of an </w:t>
      </w:r>
      <w:r w:rsidRPr="4C084DA4">
        <w:rPr>
          <w:b/>
          <w:bCs/>
        </w:rPr>
        <w:t>Annual Review Form</w:t>
      </w:r>
      <w:r w:rsidRPr="00AB3248">
        <w:t xml:space="preserve"> at the start of each new academic year for any provision delivered in the previous academic year. This is usually </w:t>
      </w:r>
      <w:r w:rsidR="00237C81">
        <w:t>completed</w:t>
      </w:r>
      <w:r w:rsidRPr="00AB3248">
        <w:t xml:space="preserve"> by the Academic Partnership Liaison Tutor with support and input from the Faculty Partnership Lead, and supporting evidence includes external examiner reports, retention and other performance data, and student feedback. Annual Review may also revisit current programme Delivery Plans, due diligence, online marketing materials and staffing arrangements. Completed forms receive Faculty</w:t>
      </w:r>
      <w:r w:rsidR="00237C81">
        <w:t>-</w:t>
      </w:r>
      <w:r w:rsidRPr="00AB3248">
        <w:t>level scrutiny and approval</w:t>
      </w:r>
      <w:r>
        <w:rPr>
          <w:rStyle w:val="FootnoteReference"/>
        </w:rPr>
        <w:footnoteReference w:id="40"/>
      </w:r>
      <w:r w:rsidRPr="00AB3248">
        <w:t xml:space="preserve"> prior to their submission to AQEC</w:t>
      </w:r>
      <w:r>
        <w:rPr>
          <w:rStyle w:val="FootnoteReference"/>
        </w:rPr>
        <w:footnoteReference w:id="41"/>
      </w:r>
      <w:r w:rsidRPr="00AB3248">
        <w:t>, which:</w:t>
      </w:r>
    </w:p>
    <w:p w14:paraId="419A5CAC" w14:textId="766B545B" w:rsidR="00AB3248" w:rsidRPr="00AB3248" w:rsidRDefault="00237C81" w:rsidP="00D47D4E">
      <w:pPr>
        <w:pStyle w:val="ListParagraph"/>
        <w:numPr>
          <w:ilvl w:val="0"/>
          <w:numId w:val="13"/>
        </w:numPr>
        <w:jc w:val="both"/>
      </w:pPr>
      <w:r>
        <w:t>a</w:t>
      </w:r>
      <w:r w:rsidR="00AB3248">
        <w:t xml:space="preserve">ssesses, </w:t>
      </w:r>
      <w:proofErr w:type="gramStart"/>
      <w:r w:rsidR="00AB3248">
        <w:t>on the basis of</w:t>
      </w:r>
      <w:proofErr w:type="gramEnd"/>
      <w:r w:rsidR="00AB3248">
        <w:t xml:space="preserve"> the evidence provided, the ability and capacity of the partner organisation (working with the University) to identify and manage academic risk</w:t>
      </w:r>
      <w:r>
        <w:t>;</w:t>
      </w:r>
    </w:p>
    <w:p w14:paraId="59E21431" w14:textId="4AEBAAE9" w:rsidR="00AB3248" w:rsidRPr="00AB3248" w:rsidRDefault="00237C81" w:rsidP="00D47D4E">
      <w:pPr>
        <w:pStyle w:val="ListParagraph"/>
        <w:numPr>
          <w:ilvl w:val="0"/>
          <w:numId w:val="13"/>
        </w:numPr>
        <w:jc w:val="both"/>
      </w:pPr>
      <w:r>
        <w:t>p</w:t>
      </w:r>
      <w:r w:rsidR="00AB3248">
        <w:t>rovides feedback to Faculties, departments and partners or, where necessary and appropriate, requests additional information from them; and</w:t>
      </w:r>
    </w:p>
    <w:p w14:paraId="512D7BB5" w14:textId="3ACB15CF" w:rsidR="00AB3248" w:rsidRPr="00AB3248" w:rsidRDefault="00237C81" w:rsidP="00D47D4E">
      <w:pPr>
        <w:pStyle w:val="ListParagraph"/>
        <w:numPr>
          <w:ilvl w:val="0"/>
          <w:numId w:val="13"/>
        </w:numPr>
        <w:jc w:val="both"/>
      </w:pPr>
      <w:r>
        <w:t>c</w:t>
      </w:r>
      <w:r w:rsidR="00AB3248">
        <w:t>onsiders any additional scrutiny and/ or support for a partner or host University department that may be indicated by the Annual Review Form or other relevant evidence.</w:t>
      </w:r>
    </w:p>
    <w:p w14:paraId="58EFBBC6" w14:textId="09779106" w:rsidR="00AB3248" w:rsidRPr="00D47D4E" w:rsidRDefault="0003066E" w:rsidP="00D47D4E">
      <w:pPr>
        <w:jc w:val="both"/>
      </w:pPr>
      <w:r>
        <w:t>GQASC</w:t>
      </w:r>
      <w:r w:rsidR="0F90956B">
        <w:t xml:space="preserve"> produces an overview document</w:t>
      </w:r>
      <w:r w:rsidR="00AB3248" w:rsidRPr="4C084DA4">
        <w:rPr>
          <w:rStyle w:val="FootnoteReference"/>
        </w:rPr>
        <w:footnoteReference w:id="42"/>
      </w:r>
      <w:r w:rsidR="0F90956B">
        <w:t xml:space="preserve"> which highlights key themes </w:t>
      </w:r>
      <w:r w:rsidR="02B5E990">
        <w:t>from annual</w:t>
      </w:r>
      <w:r w:rsidR="0F90956B">
        <w:t xml:space="preserve"> monitoring of academic partnerships. As well as providing the basis of discussion by AQEC</w:t>
      </w:r>
      <w:r w:rsidR="00AB3248" w:rsidRPr="4C084DA4">
        <w:rPr>
          <w:rStyle w:val="FootnoteReference"/>
        </w:rPr>
        <w:footnoteReference w:id="43"/>
      </w:r>
      <w:r w:rsidR="0F90956B">
        <w:t>, this overview also informs production of the University Annual Monitoring Report (below).</w:t>
      </w:r>
    </w:p>
    <w:p w14:paraId="00037FCA" w14:textId="77777777" w:rsidR="00FC09D9" w:rsidRDefault="00AB3248" w:rsidP="00AB3248">
      <w:pPr>
        <w:pStyle w:val="Heading3"/>
      </w:pPr>
      <w:bookmarkStart w:id="19" w:name="_Toc89157901"/>
      <w:r>
        <w:t>University Annual Monitoring Report</w:t>
      </w:r>
      <w:bookmarkEnd w:id="19"/>
    </w:p>
    <w:p w14:paraId="214A083B" w14:textId="46895ACD" w:rsidR="00AB3248" w:rsidRPr="00AB3248" w:rsidRDefault="00AB3248" w:rsidP="00D47D4E">
      <w:pPr>
        <w:jc w:val="both"/>
      </w:pPr>
      <w:r w:rsidRPr="00AB3248">
        <w:t>The University Annual Monitoring Report, which is received by AQEC</w:t>
      </w:r>
      <w:r>
        <w:rPr>
          <w:rStyle w:val="FootnoteReference"/>
        </w:rPr>
        <w:footnoteReference w:id="44"/>
      </w:r>
      <w:r w:rsidRPr="00AB3248">
        <w:t xml:space="preserve"> and approved by the Academic Board</w:t>
      </w:r>
      <w:r>
        <w:rPr>
          <w:rStyle w:val="FootnoteReference"/>
        </w:rPr>
        <w:footnoteReference w:id="45"/>
      </w:r>
      <w:r w:rsidRPr="00AB3248">
        <w:t>, assesses and evaluates the key risks identified through the annual monitoring of departments and their programmes including the annual review of academic partnerships. It is presented in the context of Faculty Academic Development Plans</w:t>
      </w:r>
      <w:r>
        <w:rPr>
          <w:rStyle w:val="FootnoteReference"/>
        </w:rPr>
        <w:footnoteReference w:id="46"/>
      </w:r>
      <w:r w:rsidRPr="00AB3248">
        <w:t xml:space="preserve"> and the outcomes of annual budget-setting in so far as </w:t>
      </w:r>
      <w:proofErr w:type="gramStart"/>
      <w:r w:rsidRPr="00AB3248">
        <w:t>these impact</w:t>
      </w:r>
      <w:proofErr w:type="gramEnd"/>
      <w:r w:rsidRPr="00AB3248">
        <w:t xml:space="preserve"> the delivery and quality of both current and planned provision. Drafted by </w:t>
      </w:r>
      <w:r w:rsidR="0003066E">
        <w:t>GQASC</w:t>
      </w:r>
      <w:r w:rsidR="5C4CE288">
        <w:t xml:space="preserve"> </w:t>
      </w:r>
      <w:r w:rsidRPr="00AB3248">
        <w:t>on behalf of the PVC (Student Experience) &amp; University Secretary</w:t>
      </w:r>
      <w:r>
        <w:rPr>
          <w:rStyle w:val="FootnoteReference"/>
        </w:rPr>
        <w:footnoteReference w:id="47"/>
      </w:r>
      <w:r w:rsidRPr="00AB3248">
        <w:t xml:space="preserve">, the University AMR highlights issues for attention by the Academic Board, Faculties and professional support services, giving </w:t>
      </w:r>
      <w:proofErr w:type="gramStart"/>
      <w:r w:rsidRPr="00AB3248">
        <w:t>particular emphasis</w:t>
      </w:r>
      <w:proofErr w:type="gramEnd"/>
      <w:r w:rsidRPr="00AB3248">
        <w:t xml:space="preserve"> to the longer-term and strategic implications of its assessment of risk</w:t>
      </w:r>
      <w:r w:rsidR="00237C81">
        <w:t xml:space="preserve"> in the context of external market and regulatory conditions</w:t>
      </w:r>
      <w:r w:rsidRPr="00AB3248">
        <w:t>. The University AMR is a key mechanism in promoting a culture of mutual accountability for the maintenance of standards and enhancement of quality and in so doing addresses the following audiences:</w:t>
      </w:r>
    </w:p>
    <w:p w14:paraId="302A7A7B" w14:textId="77777777" w:rsidR="00AB3248" w:rsidRPr="00AB3248" w:rsidRDefault="00AB3248" w:rsidP="00D47D4E">
      <w:pPr>
        <w:pStyle w:val="ListParagraph"/>
        <w:numPr>
          <w:ilvl w:val="0"/>
          <w:numId w:val="14"/>
        </w:numPr>
        <w:jc w:val="both"/>
      </w:pPr>
      <w:r w:rsidRPr="07FE1F7C">
        <w:rPr>
          <w:b/>
          <w:bCs/>
        </w:rPr>
        <w:lastRenderedPageBreak/>
        <w:t>Academic departments and academic partner organisations</w:t>
      </w:r>
      <w:r>
        <w:t>, which expect to see the broad concerns raised by them through the Annual Monitoring process have been considered and responded to; and</w:t>
      </w:r>
    </w:p>
    <w:p w14:paraId="68A98714" w14:textId="2DD8EB85" w:rsidR="00AB3248" w:rsidRDefault="00AB3248" w:rsidP="00D47D4E">
      <w:pPr>
        <w:pStyle w:val="ListParagraph"/>
        <w:numPr>
          <w:ilvl w:val="0"/>
          <w:numId w:val="14"/>
        </w:numPr>
        <w:jc w:val="both"/>
      </w:pPr>
      <w:r w:rsidRPr="07FE1F7C">
        <w:rPr>
          <w:b/>
          <w:bCs/>
        </w:rPr>
        <w:t>AQEC and Academic Board</w:t>
      </w:r>
      <w:r>
        <w:t>, which require assurance that the University’s academic governance is being managed appropriately.</w:t>
      </w:r>
    </w:p>
    <w:p w14:paraId="4AAFE9E9" w14:textId="11296B59" w:rsidR="00AB3248" w:rsidRPr="00AB3248" w:rsidRDefault="00AB3248" w:rsidP="00AB3248">
      <w:pPr>
        <w:pStyle w:val="Heading3"/>
      </w:pPr>
      <w:bookmarkStart w:id="20" w:name="_Toc89157902"/>
      <w:r>
        <w:t>Academic Assurance Report</w:t>
      </w:r>
      <w:bookmarkEnd w:id="20"/>
      <w:r>
        <w:t xml:space="preserve"> </w:t>
      </w:r>
    </w:p>
    <w:p w14:paraId="4751DC21" w14:textId="2447F900" w:rsidR="00AB3248" w:rsidRPr="00AB3248" w:rsidRDefault="00AB3248" w:rsidP="00D47D4E">
      <w:pPr>
        <w:jc w:val="both"/>
      </w:pPr>
      <w:r w:rsidRPr="00AB3248">
        <w:t xml:space="preserve">The Academic Assurance Report (AAR) </w:t>
      </w:r>
      <w:r w:rsidR="636132F4" w:rsidRPr="00AB3248">
        <w:t xml:space="preserve">is authored </w:t>
      </w:r>
      <w:r w:rsidR="636132F4">
        <w:t xml:space="preserve">by </w:t>
      </w:r>
      <w:r w:rsidR="0003066E">
        <w:t>GQASC</w:t>
      </w:r>
      <w:r w:rsidR="636132F4">
        <w:t xml:space="preserve"> on behalf of Academic Board and</w:t>
      </w:r>
      <w:r w:rsidR="636132F4" w:rsidRPr="00AB3248">
        <w:t xml:space="preserve"> </w:t>
      </w:r>
      <w:r w:rsidR="366AAAE7" w:rsidRPr="00AB3248">
        <w:t xml:space="preserve">it </w:t>
      </w:r>
      <w:r w:rsidR="366AAAE7">
        <w:t>is informed by the University AMR.  It</w:t>
      </w:r>
      <w:r w:rsidR="366AAAE7" w:rsidRPr="00AB3248">
        <w:t xml:space="preserve"> </w:t>
      </w:r>
      <w:r w:rsidRPr="00AB3248">
        <w:t>provides supporting evidence of the maintenance of standards and quality for the Board of Governors’ annual accountability return to the Office for Students (</w:t>
      </w:r>
      <w:r w:rsidR="00683A02">
        <w:rPr>
          <w:rStyle w:val="FootnoteReference"/>
        </w:rPr>
        <w:footnoteReference w:id="48"/>
      </w:r>
      <w:r w:rsidRPr="00AB3248">
        <w:t>)</w:t>
      </w:r>
      <w:r>
        <w:t xml:space="preserve">￼. </w:t>
      </w:r>
      <w:r w:rsidR="47DC8961" w:rsidRPr="00AB3248">
        <w:t>The</w:t>
      </w:r>
      <w:r w:rsidRPr="00AB3248">
        <w:t xml:space="preserve"> AAR maps current Institutional processes and outcomes to the </w:t>
      </w:r>
      <w:proofErr w:type="spellStart"/>
      <w:r>
        <w:t>OfS’s</w:t>
      </w:r>
      <w:proofErr w:type="spellEnd"/>
      <w:r w:rsidRPr="00AB3248">
        <w:t xml:space="preserve"> </w:t>
      </w:r>
      <w:r w:rsidR="00BF6E78" w:rsidRPr="00AB3248">
        <w:t>General O</w:t>
      </w:r>
      <w:r>
        <w:t>ngoing Conditions of Registration, specifically Conditions B1-5 for Quality and Standards</w:t>
      </w:r>
      <w:r w:rsidR="1ED9E981">
        <w:t xml:space="preserve">. </w:t>
      </w:r>
      <w:r>
        <w:t>A draft AAR is approved by Academic Board</w:t>
      </w:r>
      <w:r w:rsidRPr="4C084DA4">
        <w:rPr>
          <w:rStyle w:val="FootnoteReference"/>
        </w:rPr>
        <w:footnoteReference w:id="49"/>
      </w:r>
      <w:r>
        <w:t xml:space="preserve"> with the final version received for consideration by the Board of Governors.</w:t>
      </w:r>
    </w:p>
    <w:p w14:paraId="2A76C4DE" w14:textId="77777777" w:rsidR="006D41C1" w:rsidRDefault="00821642" w:rsidP="00E7663C">
      <w:pPr>
        <w:pStyle w:val="Heading2"/>
      </w:pPr>
      <w:bookmarkStart w:id="21" w:name="_Toc89157903"/>
      <w:r>
        <w:t>PERIODIC REVIEW</w:t>
      </w:r>
      <w:bookmarkEnd w:id="21"/>
    </w:p>
    <w:p w14:paraId="296B3B30" w14:textId="7499A894" w:rsidR="00821642" w:rsidRPr="00821642" w:rsidRDefault="00821642" w:rsidP="00D47D4E">
      <w:pPr>
        <w:jc w:val="both"/>
      </w:pPr>
      <w:r w:rsidRPr="00821642">
        <w:t xml:space="preserve">The purpose of Periodic Review is to review and evaluate all taught </w:t>
      </w:r>
      <w:r w:rsidR="76CEF074" w:rsidRPr="00821642">
        <w:t>curriculum</w:t>
      </w:r>
      <w:r w:rsidRPr="00821642">
        <w:t xml:space="preserve"> in a </w:t>
      </w:r>
      <w:proofErr w:type="gramStart"/>
      <w:r w:rsidRPr="00821642">
        <w:t>particular department</w:t>
      </w:r>
      <w:proofErr w:type="gramEnd"/>
      <w:r w:rsidRPr="00821642">
        <w:t xml:space="preserve"> or other cognate grouping of programmes (planning unit</w:t>
      </w:r>
      <w:r>
        <w:rPr>
          <w:rStyle w:val="FootnoteReference"/>
        </w:rPr>
        <w:footnoteReference w:id="50"/>
      </w:r>
      <w:r w:rsidRPr="00821642">
        <w:t>), in order to:</w:t>
      </w:r>
    </w:p>
    <w:p w14:paraId="11CA5F4E" w14:textId="77777777" w:rsidR="00821642" w:rsidRPr="00821642" w:rsidRDefault="00821642" w:rsidP="00D47D4E">
      <w:pPr>
        <w:pStyle w:val="ListParagraph"/>
        <w:numPr>
          <w:ilvl w:val="0"/>
          <w:numId w:val="16"/>
        </w:numPr>
        <w:jc w:val="both"/>
      </w:pPr>
      <w:r>
        <w:t>Confirm that the academic standards set at programme validation remain appropriate and are being demonstrated by students through assessment and achievement of their awards.</w:t>
      </w:r>
    </w:p>
    <w:p w14:paraId="1BB6F606" w14:textId="77777777" w:rsidR="00821642" w:rsidRPr="00821642" w:rsidRDefault="00821642" w:rsidP="00D47D4E">
      <w:pPr>
        <w:pStyle w:val="ListParagraph"/>
        <w:numPr>
          <w:ilvl w:val="0"/>
          <w:numId w:val="16"/>
        </w:numPr>
        <w:jc w:val="both"/>
      </w:pPr>
      <w:r>
        <w:t>Confirm that the quality of the student learning experience is being maintained and enhanced.</w:t>
      </w:r>
    </w:p>
    <w:p w14:paraId="550910FB" w14:textId="77777777" w:rsidR="00821642" w:rsidRPr="00821642" w:rsidRDefault="00821642" w:rsidP="00D47D4E">
      <w:pPr>
        <w:pStyle w:val="ListParagraph"/>
        <w:numPr>
          <w:ilvl w:val="0"/>
          <w:numId w:val="16"/>
        </w:numPr>
        <w:jc w:val="both"/>
      </w:pPr>
      <w:r>
        <w:t xml:space="preserve">Address, in </w:t>
      </w:r>
      <w:proofErr w:type="gramStart"/>
      <w:r>
        <w:t>an</w:t>
      </w:r>
      <w:proofErr w:type="gramEnd"/>
      <w:r>
        <w:t xml:space="preserve"> holistic way, any issues concerning curricula, teaching, learning and assessment, student support, staffing and resources, course organisation and quality assurance that apply to the department’s whole provision.</w:t>
      </w:r>
    </w:p>
    <w:p w14:paraId="57DD4DFD" w14:textId="77777777" w:rsidR="00821642" w:rsidRPr="00821642" w:rsidRDefault="00821642" w:rsidP="00D47D4E">
      <w:pPr>
        <w:pStyle w:val="ListParagraph"/>
        <w:numPr>
          <w:ilvl w:val="0"/>
          <w:numId w:val="16"/>
        </w:numPr>
        <w:jc w:val="both"/>
      </w:pPr>
      <w:r w:rsidRPr="00821642">
        <w:t>Consider the department’s academic strategy and direction in the context of the University’s mission, provision and students as well as national and regional agendas, exploring new areas for programme development or the re-focusing or closure of existing provision</w:t>
      </w:r>
      <w:r w:rsidR="001523A2">
        <w:rPr>
          <w:rStyle w:val="FootnoteReference"/>
        </w:rPr>
        <w:footnoteReference w:id="51"/>
      </w:r>
      <w:r w:rsidRPr="00821642">
        <w:t>.</w:t>
      </w:r>
    </w:p>
    <w:p w14:paraId="6005D6D3" w14:textId="57E8A3AD" w:rsidR="00821642" w:rsidRPr="00821642" w:rsidRDefault="00821642" w:rsidP="00D47D4E">
      <w:pPr>
        <w:pStyle w:val="ListParagraph"/>
        <w:numPr>
          <w:ilvl w:val="0"/>
          <w:numId w:val="16"/>
        </w:numPr>
        <w:jc w:val="both"/>
      </w:pPr>
      <w:r>
        <w:t xml:space="preserve">Consider trends in student recruitment, </w:t>
      </w:r>
      <w:r w:rsidR="00D47D4E">
        <w:t>retention, progression</w:t>
      </w:r>
      <w:r w:rsidR="6DB22473">
        <w:t xml:space="preserve"> and completion</w:t>
      </w:r>
      <w:r>
        <w:t xml:space="preserve">, including graduate employment, across the whole of the department’s portfolio from sub-degree to </w:t>
      </w:r>
      <w:proofErr w:type="gramStart"/>
      <w:r>
        <w:t>Masters</w:t>
      </w:r>
      <w:proofErr w:type="gramEnd"/>
      <w:r>
        <w:t xml:space="preserve"> level.</w:t>
      </w:r>
    </w:p>
    <w:p w14:paraId="5B0F366A" w14:textId="77777777" w:rsidR="00821642" w:rsidRPr="00821642" w:rsidRDefault="00821642" w:rsidP="00D47D4E">
      <w:pPr>
        <w:pStyle w:val="ListParagraph"/>
        <w:numPr>
          <w:ilvl w:val="0"/>
          <w:numId w:val="16"/>
        </w:numPr>
        <w:jc w:val="both"/>
      </w:pPr>
      <w:r>
        <w:t>Capture the ‘voices’ of current students, employers and alumni (through focus groups).</w:t>
      </w:r>
    </w:p>
    <w:p w14:paraId="7E921C12" w14:textId="5FA71915" w:rsidR="004D6AF8" w:rsidRDefault="00821642" w:rsidP="00D47D4E">
      <w:pPr>
        <w:pStyle w:val="ListParagraph"/>
        <w:numPr>
          <w:ilvl w:val="0"/>
          <w:numId w:val="16"/>
        </w:numPr>
        <w:jc w:val="both"/>
      </w:pPr>
      <w:r>
        <w:t>Use evidence of standards and quality to support continued approval of the department’s programmes and awards.</w:t>
      </w:r>
    </w:p>
    <w:p w14:paraId="1DF999A3" w14:textId="336F12A6" w:rsidR="00D47D4E" w:rsidRDefault="00821642" w:rsidP="00D47D4E">
      <w:pPr>
        <w:jc w:val="both"/>
      </w:pPr>
      <w:r w:rsidRPr="00821642">
        <w:lastRenderedPageBreak/>
        <w:t xml:space="preserve">Periodic reviews are programmed on a five-year cycle, the schedule and any changes to </w:t>
      </w:r>
      <w:proofErr w:type="spellStart"/>
      <w:r w:rsidRPr="00821642">
        <w:t>it</w:t>
      </w:r>
      <w:proofErr w:type="spellEnd"/>
      <w:r w:rsidRPr="00821642">
        <w:t xml:space="preserve"> being confirmed annually by AQEC</w:t>
      </w:r>
      <w:r w:rsidR="004D6AF8">
        <w:t xml:space="preserve"> (see table 2).</w:t>
      </w:r>
    </w:p>
    <w:p w14:paraId="4B4814A3" w14:textId="6C0962BB" w:rsidR="004D6AF8" w:rsidRDefault="004D6AF8" w:rsidP="00D47D4E">
      <w:pPr>
        <w:jc w:val="both"/>
      </w:pPr>
      <w:r w:rsidRPr="001523A2">
        <w:t>An Institution-level panel drawn from the membership of the Validation and Audit Standing Panel</w:t>
      </w:r>
      <w:r>
        <w:rPr>
          <w:rStyle w:val="FootnoteReference"/>
        </w:rPr>
        <w:footnoteReference w:id="52"/>
      </w:r>
      <w:r w:rsidRPr="001523A2">
        <w:t xml:space="preserve"> makes judgements on the overall academic health of the department and its programmes based on </w:t>
      </w:r>
      <w:r>
        <w:t>its</w:t>
      </w:r>
      <w:r w:rsidRPr="001523A2">
        <w:t xml:space="preserve"> reading of review documentation and separate discussions held with staff, students and employers. Periodic Review reports are received by AQEC where the review panel’s recommendations are </w:t>
      </w:r>
      <w:proofErr w:type="gramStart"/>
      <w:r w:rsidRPr="001523A2">
        <w:t>considered</w:t>
      </w:r>
      <w:proofErr w:type="gramEnd"/>
      <w:r w:rsidRPr="001523A2">
        <w:t xml:space="preserve"> and continued approval of all validated programmes</w:t>
      </w:r>
      <w:r>
        <w:t xml:space="preserve"> normally</w:t>
      </w:r>
      <w:r w:rsidRPr="001523A2">
        <w:t xml:space="preserve"> confirmed although individual programmes may be referred to the host Faculty for modification or re-validation before the next student intake.</w:t>
      </w:r>
    </w:p>
    <w:p w14:paraId="4B361952" w14:textId="77777777" w:rsidR="004D6AF8" w:rsidRDefault="004D6AF8" w:rsidP="00D47D4E">
      <w:pPr>
        <w:jc w:val="both"/>
      </w:pPr>
    </w:p>
    <w:p w14:paraId="15B3ACC0" w14:textId="0E5867D2" w:rsidR="00821642" w:rsidRPr="002D2C20" w:rsidRDefault="00821642" w:rsidP="002D2C20">
      <w:pPr>
        <w:pStyle w:val="Heading4"/>
      </w:pPr>
      <w:bookmarkStart w:id="22" w:name="_Toc89157904"/>
      <w:r>
        <w:t>Table 2: ‘</w:t>
      </w:r>
      <w:r w:rsidRPr="4C084DA4">
        <w:rPr>
          <w:i/>
        </w:rPr>
        <w:t>Edge Hill University Periodic Review Cycle’</w:t>
      </w:r>
      <w:r>
        <w:t xml:space="preserve"> (</w:t>
      </w:r>
      <w:r w:rsidR="00836BDD">
        <w:t>updated October</w:t>
      </w:r>
      <w:r w:rsidR="0038093D">
        <w:t xml:space="preserve"> 202</w:t>
      </w:r>
      <w:r w:rsidR="77EF82E3">
        <w:t>1</w:t>
      </w:r>
      <w:r>
        <w:t>)</w:t>
      </w:r>
      <w:bookmarkEnd w:id="22"/>
    </w:p>
    <w:p w14:paraId="1A48BB54" w14:textId="6EEB6176" w:rsidR="002D5C85" w:rsidRDefault="002D5C85" w:rsidP="001523A2"/>
    <w:tbl>
      <w:tblPr>
        <w:tblStyle w:val="TableGrid"/>
        <w:tblW w:w="0" w:type="auto"/>
        <w:tblLook w:val="04A0" w:firstRow="1" w:lastRow="0" w:firstColumn="1" w:lastColumn="0" w:noHBand="0" w:noVBand="1"/>
      </w:tblPr>
      <w:tblGrid>
        <w:gridCol w:w="1271"/>
        <w:gridCol w:w="1538"/>
        <w:gridCol w:w="1395"/>
        <w:gridCol w:w="4812"/>
      </w:tblGrid>
      <w:tr w:rsidR="002D5C85" w:rsidRPr="003F5C6A" w14:paraId="1757A616" w14:textId="77777777" w:rsidTr="4C084DA4">
        <w:trPr>
          <w:tblHeader/>
        </w:trPr>
        <w:tc>
          <w:tcPr>
            <w:tcW w:w="1271" w:type="dxa"/>
            <w:tcBorders>
              <w:bottom w:val="single" w:sz="4" w:space="0" w:color="auto"/>
            </w:tcBorders>
          </w:tcPr>
          <w:p w14:paraId="3D1FFCF1"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Year no. in cycle</w:t>
            </w:r>
          </w:p>
        </w:tc>
        <w:tc>
          <w:tcPr>
            <w:tcW w:w="1538" w:type="dxa"/>
            <w:tcBorders>
              <w:bottom w:val="single" w:sz="4" w:space="0" w:color="auto"/>
            </w:tcBorders>
          </w:tcPr>
          <w:p w14:paraId="0F3786EA"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Academic Year</w:t>
            </w:r>
          </w:p>
        </w:tc>
        <w:tc>
          <w:tcPr>
            <w:tcW w:w="1395" w:type="dxa"/>
          </w:tcPr>
          <w:p w14:paraId="603F7EEC"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Faculty</w:t>
            </w:r>
          </w:p>
        </w:tc>
        <w:tc>
          <w:tcPr>
            <w:tcW w:w="4812" w:type="dxa"/>
          </w:tcPr>
          <w:p w14:paraId="7EF4FB3F"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Unit of periodic review</w:t>
            </w:r>
          </w:p>
        </w:tc>
      </w:tr>
      <w:tr w:rsidR="002D5C85" w:rsidRPr="003F5C6A" w14:paraId="34BBE735" w14:textId="77777777" w:rsidTr="4C084DA4">
        <w:tc>
          <w:tcPr>
            <w:tcW w:w="1271" w:type="dxa"/>
            <w:tcBorders>
              <w:top w:val="nil"/>
              <w:bottom w:val="nil"/>
            </w:tcBorders>
          </w:tcPr>
          <w:p w14:paraId="4FA0FAC9" w14:textId="15D8A0D6" w:rsidR="002D5C85" w:rsidRPr="004D6AF8" w:rsidRDefault="00012128" w:rsidP="007F2421">
            <w:pPr>
              <w:rPr>
                <w:rFonts w:asciiTheme="minorHAnsi" w:hAnsiTheme="minorHAnsi" w:cstheme="minorHAnsi"/>
                <w:sz w:val="22"/>
              </w:rPr>
            </w:pPr>
            <w:r>
              <w:rPr>
                <w:rFonts w:asciiTheme="minorHAnsi" w:hAnsiTheme="minorHAnsi" w:cstheme="minorHAnsi"/>
                <w:sz w:val="22"/>
              </w:rPr>
              <w:t>1</w:t>
            </w:r>
          </w:p>
        </w:tc>
        <w:tc>
          <w:tcPr>
            <w:tcW w:w="1538" w:type="dxa"/>
            <w:tcBorders>
              <w:top w:val="nil"/>
              <w:bottom w:val="nil"/>
            </w:tcBorders>
          </w:tcPr>
          <w:p w14:paraId="6DC1C10A" w14:textId="68F174E7" w:rsidR="002D5C85" w:rsidRPr="004D6AF8" w:rsidRDefault="00012128" w:rsidP="007F2421">
            <w:pPr>
              <w:rPr>
                <w:rFonts w:asciiTheme="minorHAnsi" w:hAnsiTheme="minorHAnsi" w:cstheme="minorHAnsi"/>
                <w:b/>
                <w:sz w:val="22"/>
              </w:rPr>
            </w:pPr>
            <w:r>
              <w:rPr>
                <w:rFonts w:asciiTheme="minorHAnsi" w:hAnsiTheme="minorHAnsi" w:cstheme="minorHAnsi"/>
                <w:b/>
                <w:sz w:val="22"/>
              </w:rPr>
              <w:t>2021-2022</w:t>
            </w:r>
          </w:p>
        </w:tc>
        <w:tc>
          <w:tcPr>
            <w:tcW w:w="1395" w:type="dxa"/>
          </w:tcPr>
          <w:p w14:paraId="3D179C89"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4DDD1001" w14:textId="18B73FA2" w:rsidR="002D5C85" w:rsidRPr="004D6AF8" w:rsidRDefault="002D5C85" w:rsidP="4C084DA4">
            <w:pPr>
              <w:rPr>
                <w:rFonts w:asciiTheme="minorHAnsi" w:hAnsiTheme="minorHAnsi"/>
                <w:sz w:val="22"/>
              </w:rPr>
            </w:pPr>
            <w:r w:rsidRPr="004D6AF8">
              <w:rPr>
                <w:rFonts w:asciiTheme="minorHAnsi" w:hAnsiTheme="minorHAnsi"/>
                <w:sz w:val="22"/>
              </w:rPr>
              <w:t>Computer Science</w:t>
            </w:r>
            <w:r w:rsidR="79420174" w:rsidRPr="004D6AF8">
              <w:rPr>
                <w:rFonts w:asciiTheme="minorHAnsi" w:hAnsiTheme="minorHAnsi"/>
                <w:sz w:val="22"/>
              </w:rPr>
              <w:t xml:space="preserve"> – hybrid event incl. Re-</w:t>
            </w:r>
            <w:proofErr w:type="spellStart"/>
            <w:r w:rsidR="79420174" w:rsidRPr="004D6AF8">
              <w:rPr>
                <w:rFonts w:asciiTheme="minorHAnsi" w:hAnsiTheme="minorHAnsi"/>
                <w:sz w:val="22"/>
              </w:rPr>
              <w:t>val</w:t>
            </w:r>
            <w:proofErr w:type="spellEnd"/>
          </w:p>
        </w:tc>
      </w:tr>
      <w:tr w:rsidR="002D5C85" w:rsidRPr="003F5C6A" w14:paraId="0CD5895C" w14:textId="77777777" w:rsidTr="004D6AF8">
        <w:trPr>
          <w:trHeight w:val="307"/>
        </w:trPr>
        <w:tc>
          <w:tcPr>
            <w:tcW w:w="1271" w:type="dxa"/>
            <w:vMerge w:val="restart"/>
            <w:tcBorders>
              <w:top w:val="nil"/>
              <w:bottom w:val="single" w:sz="4" w:space="0" w:color="auto"/>
            </w:tcBorders>
          </w:tcPr>
          <w:p w14:paraId="0E8176A3" w14:textId="77777777" w:rsidR="002D5C85" w:rsidRPr="004D6AF8" w:rsidRDefault="002D5C85" w:rsidP="007F2421">
            <w:pPr>
              <w:rPr>
                <w:rFonts w:asciiTheme="minorHAnsi" w:hAnsiTheme="minorHAnsi" w:cstheme="minorHAnsi"/>
                <w:sz w:val="22"/>
              </w:rPr>
            </w:pPr>
          </w:p>
        </w:tc>
        <w:tc>
          <w:tcPr>
            <w:tcW w:w="1538" w:type="dxa"/>
            <w:tcBorders>
              <w:top w:val="nil"/>
              <w:bottom w:val="nil"/>
            </w:tcBorders>
          </w:tcPr>
          <w:p w14:paraId="17B0FD45" w14:textId="77777777" w:rsidR="002D5C85" w:rsidRPr="004D6AF8" w:rsidRDefault="002D5C85" w:rsidP="007F2421">
            <w:pPr>
              <w:rPr>
                <w:rFonts w:asciiTheme="minorHAnsi" w:hAnsiTheme="minorHAnsi" w:cstheme="minorHAnsi"/>
                <w:b/>
                <w:sz w:val="22"/>
              </w:rPr>
            </w:pPr>
          </w:p>
        </w:tc>
        <w:tc>
          <w:tcPr>
            <w:tcW w:w="1395" w:type="dxa"/>
          </w:tcPr>
          <w:p w14:paraId="7BF1006D" w14:textId="77777777" w:rsidR="002D5C85" w:rsidRPr="004D6AF8" w:rsidRDefault="002D5C85" w:rsidP="007F2421">
            <w:pPr>
              <w:contextualSpacing/>
              <w:rPr>
                <w:rFonts w:asciiTheme="minorHAnsi" w:hAnsiTheme="minorHAnsi" w:cstheme="minorHAnsi"/>
                <w:sz w:val="22"/>
              </w:rPr>
            </w:pPr>
            <w:r w:rsidRPr="004D6AF8">
              <w:rPr>
                <w:rFonts w:asciiTheme="minorHAnsi" w:hAnsiTheme="minorHAnsi" w:cstheme="minorHAnsi"/>
                <w:sz w:val="22"/>
              </w:rPr>
              <w:t>FAS</w:t>
            </w:r>
          </w:p>
        </w:tc>
        <w:tc>
          <w:tcPr>
            <w:tcW w:w="4812" w:type="dxa"/>
          </w:tcPr>
          <w:p w14:paraId="67AA56EC" w14:textId="610C3A82" w:rsidR="002D5C85" w:rsidRPr="004D6AF8" w:rsidRDefault="002D5C85" w:rsidP="4C084DA4">
            <w:pPr>
              <w:contextualSpacing/>
              <w:rPr>
                <w:rFonts w:asciiTheme="minorHAnsi" w:hAnsiTheme="minorHAnsi"/>
                <w:sz w:val="22"/>
              </w:rPr>
            </w:pPr>
            <w:r w:rsidRPr="004D6AF8">
              <w:rPr>
                <w:rFonts w:asciiTheme="minorHAnsi" w:hAnsiTheme="minorHAnsi"/>
                <w:sz w:val="22"/>
              </w:rPr>
              <w:t>Geography and Geology</w:t>
            </w:r>
            <w:r w:rsidRPr="004D6AF8">
              <w:rPr>
                <w:rStyle w:val="FootnoteReference"/>
                <w:rFonts w:asciiTheme="minorHAnsi" w:hAnsiTheme="minorHAnsi"/>
                <w:sz w:val="22"/>
              </w:rPr>
              <w:footnoteReference w:id="53"/>
            </w:r>
            <w:r w:rsidRPr="004D6AF8">
              <w:rPr>
                <w:rFonts w:asciiTheme="minorHAnsi" w:hAnsiTheme="minorHAnsi"/>
                <w:sz w:val="22"/>
              </w:rPr>
              <w:t xml:space="preserve"> </w:t>
            </w:r>
          </w:p>
        </w:tc>
      </w:tr>
      <w:tr w:rsidR="002D5C85" w:rsidRPr="003F5C6A" w14:paraId="55F72B49" w14:textId="77777777" w:rsidTr="4C084DA4">
        <w:tc>
          <w:tcPr>
            <w:tcW w:w="1271" w:type="dxa"/>
            <w:vMerge/>
          </w:tcPr>
          <w:p w14:paraId="770337EE" w14:textId="77777777" w:rsidR="002D5C85" w:rsidRPr="004D6AF8" w:rsidRDefault="002D5C85" w:rsidP="007F2421">
            <w:pPr>
              <w:rPr>
                <w:rFonts w:asciiTheme="minorHAnsi" w:hAnsiTheme="minorHAnsi" w:cstheme="minorHAnsi"/>
                <w:sz w:val="22"/>
              </w:rPr>
            </w:pPr>
          </w:p>
        </w:tc>
        <w:tc>
          <w:tcPr>
            <w:tcW w:w="1538" w:type="dxa"/>
            <w:vMerge w:val="restart"/>
            <w:tcBorders>
              <w:top w:val="nil"/>
              <w:bottom w:val="single" w:sz="4" w:space="0" w:color="auto"/>
            </w:tcBorders>
          </w:tcPr>
          <w:p w14:paraId="5185976D" w14:textId="77777777" w:rsidR="002D5C85" w:rsidRPr="004D6AF8" w:rsidRDefault="002D5C85" w:rsidP="007F2421">
            <w:pPr>
              <w:rPr>
                <w:rFonts w:asciiTheme="minorHAnsi" w:hAnsiTheme="minorHAnsi" w:cstheme="minorHAnsi"/>
                <w:b/>
                <w:sz w:val="22"/>
              </w:rPr>
            </w:pPr>
          </w:p>
        </w:tc>
        <w:tc>
          <w:tcPr>
            <w:tcW w:w="1395" w:type="dxa"/>
          </w:tcPr>
          <w:p w14:paraId="0D0F1514"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16A869FF" w14:textId="66079FCF" w:rsidR="002D5C85" w:rsidRPr="004D6AF8" w:rsidRDefault="002D5C85" w:rsidP="4C084DA4">
            <w:pPr>
              <w:rPr>
                <w:rFonts w:asciiTheme="minorHAnsi" w:hAnsiTheme="minorHAnsi"/>
                <w:sz w:val="22"/>
              </w:rPr>
            </w:pPr>
            <w:r w:rsidRPr="004D6AF8">
              <w:rPr>
                <w:rFonts w:asciiTheme="minorHAnsi" w:hAnsiTheme="minorHAnsi"/>
                <w:sz w:val="22"/>
              </w:rPr>
              <w:t>Social Sciences</w:t>
            </w:r>
            <w:r w:rsidRPr="004D6AF8">
              <w:rPr>
                <w:rStyle w:val="FootnoteReference"/>
                <w:rFonts w:asciiTheme="minorHAnsi" w:hAnsiTheme="minorHAnsi"/>
                <w:sz w:val="22"/>
              </w:rPr>
              <w:footnoteReference w:id="54"/>
            </w:r>
          </w:p>
        </w:tc>
      </w:tr>
      <w:tr w:rsidR="4C084DA4" w14:paraId="4D709776" w14:textId="77777777" w:rsidTr="4C084DA4">
        <w:tc>
          <w:tcPr>
            <w:tcW w:w="1271" w:type="dxa"/>
            <w:vMerge/>
            <w:tcBorders>
              <w:bottom w:val="single" w:sz="4" w:space="0" w:color="auto"/>
            </w:tcBorders>
          </w:tcPr>
          <w:p w14:paraId="6A8586CC" w14:textId="77777777" w:rsidR="00AF55A3" w:rsidRPr="004D6AF8" w:rsidRDefault="00AF55A3">
            <w:pPr>
              <w:rPr>
                <w:sz w:val="22"/>
              </w:rPr>
            </w:pPr>
          </w:p>
        </w:tc>
        <w:tc>
          <w:tcPr>
            <w:tcW w:w="1538" w:type="dxa"/>
            <w:vMerge/>
            <w:tcBorders>
              <w:bottom w:val="single" w:sz="4" w:space="0" w:color="auto"/>
            </w:tcBorders>
          </w:tcPr>
          <w:p w14:paraId="40C69767" w14:textId="77777777" w:rsidR="00AF55A3" w:rsidRPr="004D6AF8" w:rsidRDefault="00AF55A3">
            <w:pPr>
              <w:rPr>
                <w:sz w:val="22"/>
              </w:rPr>
            </w:pPr>
          </w:p>
        </w:tc>
        <w:tc>
          <w:tcPr>
            <w:tcW w:w="1395" w:type="dxa"/>
          </w:tcPr>
          <w:p w14:paraId="69C10BA9" w14:textId="1B212889" w:rsidR="2D37FEE8" w:rsidRPr="004D6AF8" w:rsidRDefault="2D37FEE8" w:rsidP="4C084DA4">
            <w:pPr>
              <w:rPr>
                <w:rFonts w:eastAsia="Calibri" w:cs="Arial"/>
                <w:sz w:val="22"/>
              </w:rPr>
            </w:pPr>
            <w:r w:rsidRPr="004D6AF8">
              <w:rPr>
                <w:rFonts w:eastAsia="Calibri" w:cs="Arial"/>
                <w:sz w:val="22"/>
              </w:rPr>
              <w:t>FHSCM</w:t>
            </w:r>
          </w:p>
        </w:tc>
        <w:tc>
          <w:tcPr>
            <w:tcW w:w="4812" w:type="dxa"/>
          </w:tcPr>
          <w:p w14:paraId="68E3D79A" w14:textId="6C97E5DB" w:rsidR="2D37FEE8" w:rsidRPr="004D6AF8" w:rsidRDefault="2D37FEE8" w:rsidP="4C084DA4">
            <w:pPr>
              <w:rPr>
                <w:rFonts w:eastAsia="Calibri" w:cs="Arial"/>
                <w:sz w:val="22"/>
              </w:rPr>
            </w:pPr>
            <w:r w:rsidRPr="004D6AF8">
              <w:rPr>
                <w:rFonts w:eastAsia="Calibri" w:cs="Arial"/>
                <w:sz w:val="22"/>
              </w:rPr>
              <w:t>Medical Education</w:t>
            </w:r>
            <w:r w:rsidRPr="004D6AF8">
              <w:rPr>
                <w:rStyle w:val="FootnoteReference"/>
                <w:rFonts w:eastAsia="Calibri" w:cs="Arial"/>
                <w:sz w:val="22"/>
              </w:rPr>
              <w:footnoteReference w:id="55"/>
            </w:r>
          </w:p>
        </w:tc>
      </w:tr>
      <w:tr w:rsidR="002D5C85" w:rsidRPr="003F5C6A" w14:paraId="69F3BF30" w14:textId="77777777" w:rsidTr="004D6AF8">
        <w:trPr>
          <w:trHeight w:val="150"/>
        </w:trPr>
        <w:tc>
          <w:tcPr>
            <w:tcW w:w="1271" w:type="dxa"/>
            <w:vMerge w:val="restart"/>
            <w:tcBorders>
              <w:bottom w:val="single" w:sz="4" w:space="0" w:color="auto"/>
            </w:tcBorders>
          </w:tcPr>
          <w:p w14:paraId="09C64C28" w14:textId="20E1229C" w:rsidR="002D5C85" w:rsidRPr="004D6AF8" w:rsidRDefault="5E1E67A4" w:rsidP="4C084DA4">
            <w:pPr>
              <w:spacing w:after="200"/>
              <w:rPr>
                <w:rFonts w:eastAsia="Calibri" w:cs="Arial"/>
                <w:b/>
                <w:bCs/>
                <w:sz w:val="22"/>
              </w:rPr>
            </w:pPr>
            <w:r w:rsidRPr="004D6AF8">
              <w:rPr>
                <w:rFonts w:asciiTheme="minorHAnsi" w:hAnsiTheme="minorHAnsi"/>
                <w:b/>
                <w:bCs/>
                <w:sz w:val="22"/>
              </w:rPr>
              <w:t>2</w:t>
            </w:r>
          </w:p>
        </w:tc>
        <w:tc>
          <w:tcPr>
            <w:tcW w:w="1538" w:type="dxa"/>
            <w:vMerge w:val="restart"/>
            <w:tcBorders>
              <w:bottom w:val="single" w:sz="4" w:space="0" w:color="auto"/>
            </w:tcBorders>
          </w:tcPr>
          <w:p w14:paraId="176458E0"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2022-2023</w:t>
            </w:r>
          </w:p>
        </w:tc>
        <w:tc>
          <w:tcPr>
            <w:tcW w:w="1395" w:type="dxa"/>
          </w:tcPr>
          <w:p w14:paraId="7FB241A5" w14:textId="77777777" w:rsidR="002D5C85" w:rsidRPr="004D6AF8" w:rsidRDefault="002D5C85" w:rsidP="007F2421">
            <w:pPr>
              <w:contextualSpacing/>
              <w:rPr>
                <w:rFonts w:asciiTheme="minorHAnsi" w:hAnsiTheme="minorHAnsi" w:cstheme="minorHAnsi"/>
                <w:sz w:val="22"/>
              </w:rPr>
            </w:pPr>
            <w:r w:rsidRPr="004D6AF8">
              <w:rPr>
                <w:rFonts w:asciiTheme="minorHAnsi" w:hAnsiTheme="minorHAnsi" w:cstheme="minorHAnsi"/>
                <w:sz w:val="22"/>
              </w:rPr>
              <w:t>FAS</w:t>
            </w:r>
          </w:p>
        </w:tc>
        <w:tc>
          <w:tcPr>
            <w:tcW w:w="4812" w:type="dxa"/>
          </w:tcPr>
          <w:p w14:paraId="748D4096" w14:textId="25CBF89D" w:rsidR="002D5C85" w:rsidRPr="004D6AF8" w:rsidRDefault="45169694" w:rsidP="4C084DA4">
            <w:pPr>
              <w:spacing w:after="200"/>
              <w:contextualSpacing/>
              <w:rPr>
                <w:rFonts w:eastAsia="Calibri" w:cs="Arial"/>
                <w:sz w:val="22"/>
              </w:rPr>
            </w:pPr>
            <w:r w:rsidRPr="004D6AF8">
              <w:rPr>
                <w:rFonts w:asciiTheme="minorHAnsi" w:hAnsiTheme="minorHAnsi"/>
                <w:sz w:val="22"/>
              </w:rPr>
              <w:t>Biology</w:t>
            </w:r>
            <w:r w:rsidR="002D5C85" w:rsidRPr="004D6AF8">
              <w:rPr>
                <w:rStyle w:val="FootnoteReference"/>
                <w:rFonts w:eastAsia="Calibri" w:cs="Arial"/>
                <w:sz w:val="22"/>
              </w:rPr>
              <w:footnoteReference w:id="56"/>
            </w:r>
          </w:p>
        </w:tc>
      </w:tr>
      <w:tr w:rsidR="00D47D4E" w14:paraId="5CCEC052" w14:textId="77777777" w:rsidTr="4C084DA4">
        <w:tc>
          <w:tcPr>
            <w:tcW w:w="1271" w:type="dxa"/>
            <w:vMerge/>
          </w:tcPr>
          <w:p w14:paraId="26223C4A" w14:textId="77777777" w:rsidR="00D47D4E" w:rsidRPr="004D6AF8" w:rsidRDefault="00D47D4E">
            <w:pPr>
              <w:rPr>
                <w:sz w:val="22"/>
              </w:rPr>
            </w:pPr>
          </w:p>
        </w:tc>
        <w:tc>
          <w:tcPr>
            <w:tcW w:w="1538" w:type="dxa"/>
            <w:vMerge/>
          </w:tcPr>
          <w:p w14:paraId="0A6FBB9A" w14:textId="77777777" w:rsidR="00D47D4E" w:rsidRPr="004D6AF8" w:rsidRDefault="00D47D4E">
            <w:pPr>
              <w:rPr>
                <w:sz w:val="22"/>
              </w:rPr>
            </w:pPr>
          </w:p>
        </w:tc>
        <w:tc>
          <w:tcPr>
            <w:tcW w:w="1395" w:type="dxa"/>
          </w:tcPr>
          <w:p w14:paraId="7B7CB8D1" w14:textId="5C1FCC94" w:rsidR="00D47D4E" w:rsidRPr="004D6AF8" w:rsidRDefault="004D6AF8" w:rsidP="4C084DA4">
            <w:pPr>
              <w:rPr>
                <w:rFonts w:eastAsia="Calibri" w:cs="Arial"/>
                <w:sz w:val="22"/>
              </w:rPr>
            </w:pPr>
            <w:r w:rsidRPr="004D6AF8">
              <w:rPr>
                <w:rFonts w:eastAsia="Calibri" w:cs="Arial"/>
                <w:sz w:val="22"/>
              </w:rPr>
              <w:t>FAS</w:t>
            </w:r>
          </w:p>
        </w:tc>
        <w:tc>
          <w:tcPr>
            <w:tcW w:w="4812" w:type="dxa"/>
          </w:tcPr>
          <w:p w14:paraId="7ACB1AC4" w14:textId="748AFE7D" w:rsidR="00D47D4E" w:rsidRPr="004D6AF8" w:rsidRDefault="00D47D4E" w:rsidP="4C084DA4">
            <w:pPr>
              <w:rPr>
                <w:rFonts w:eastAsia="Calibri" w:cs="Arial"/>
                <w:sz w:val="22"/>
              </w:rPr>
            </w:pPr>
            <w:r w:rsidRPr="004D6AF8">
              <w:rPr>
                <w:rFonts w:asciiTheme="minorHAnsi" w:hAnsiTheme="minorHAnsi"/>
                <w:sz w:val="22"/>
              </w:rPr>
              <w:t>Business School</w:t>
            </w:r>
            <w:r w:rsidRPr="004D6AF8">
              <w:rPr>
                <w:rStyle w:val="FootnoteReference"/>
                <w:rFonts w:asciiTheme="minorHAnsi" w:hAnsiTheme="minorHAnsi"/>
                <w:sz w:val="22"/>
              </w:rPr>
              <w:footnoteReference w:id="57"/>
            </w:r>
          </w:p>
        </w:tc>
      </w:tr>
      <w:tr w:rsidR="4C084DA4" w14:paraId="60099284" w14:textId="77777777" w:rsidTr="4C084DA4">
        <w:tc>
          <w:tcPr>
            <w:tcW w:w="1271" w:type="dxa"/>
            <w:vMerge/>
          </w:tcPr>
          <w:p w14:paraId="2055767E" w14:textId="77777777" w:rsidR="00AF55A3" w:rsidRPr="004D6AF8" w:rsidRDefault="00AF55A3">
            <w:pPr>
              <w:rPr>
                <w:sz w:val="22"/>
              </w:rPr>
            </w:pPr>
          </w:p>
        </w:tc>
        <w:tc>
          <w:tcPr>
            <w:tcW w:w="1538" w:type="dxa"/>
            <w:vMerge/>
          </w:tcPr>
          <w:p w14:paraId="10D584F4" w14:textId="77777777" w:rsidR="00AF55A3" w:rsidRPr="004D6AF8" w:rsidRDefault="00AF55A3">
            <w:pPr>
              <w:rPr>
                <w:sz w:val="22"/>
              </w:rPr>
            </w:pPr>
          </w:p>
        </w:tc>
        <w:tc>
          <w:tcPr>
            <w:tcW w:w="1395" w:type="dxa"/>
          </w:tcPr>
          <w:p w14:paraId="3A9C97AD" w14:textId="600D20EE" w:rsidR="45169694" w:rsidRPr="004D6AF8" w:rsidRDefault="45169694" w:rsidP="4C084DA4">
            <w:pPr>
              <w:rPr>
                <w:rFonts w:eastAsia="Calibri" w:cs="Arial"/>
                <w:sz w:val="22"/>
              </w:rPr>
            </w:pPr>
            <w:r w:rsidRPr="004D6AF8">
              <w:rPr>
                <w:rFonts w:eastAsia="Calibri" w:cs="Arial"/>
                <w:sz w:val="22"/>
              </w:rPr>
              <w:t>FAS</w:t>
            </w:r>
          </w:p>
        </w:tc>
        <w:tc>
          <w:tcPr>
            <w:tcW w:w="4812" w:type="dxa"/>
          </w:tcPr>
          <w:p w14:paraId="0EEA1923" w14:textId="77C33084" w:rsidR="3E313515" w:rsidRPr="004D6AF8" w:rsidRDefault="3E313515" w:rsidP="4C084DA4">
            <w:pPr>
              <w:rPr>
                <w:rFonts w:eastAsia="Calibri" w:cs="Arial"/>
                <w:sz w:val="22"/>
              </w:rPr>
            </w:pPr>
            <w:r w:rsidRPr="004D6AF8">
              <w:rPr>
                <w:rFonts w:eastAsia="Calibri" w:cs="Arial"/>
                <w:sz w:val="22"/>
              </w:rPr>
              <w:t>English, History and Creative Writing</w:t>
            </w:r>
            <w:r w:rsidRPr="004D6AF8">
              <w:rPr>
                <w:rStyle w:val="FootnoteReference"/>
                <w:rFonts w:eastAsia="Calibri" w:cs="Arial"/>
                <w:sz w:val="22"/>
              </w:rPr>
              <w:footnoteReference w:id="58"/>
            </w:r>
          </w:p>
        </w:tc>
      </w:tr>
      <w:tr w:rsidR="4C084DA4" w14:paraId="7F932C29" w14:textId="77777777" w:rsidTr="4C084DA4">
        <w:tc>
          <w:tcPr>
            <w:tcW w:w="1271" w:type="dxa"/>
            <w:vMerge/>
          </w:tcPr>
          <w:p w14:paraId="44CEAE6E" w14:textId="77777777" w:rsidR="00AF55A3" w:rsidRPr="004D6AF8" w:rsidRDefault="00AF55A3">
            <w:pPr>
              <w:rPr>
                <w:sz w:val="22"/>
              </w:rPr>
            </w:pPr>
          </w:p>
        </w:tc>
        <w:tc>
          <w:tcPr>
            <w:tcW w:w="1538" w:type="dxa"/>
            <w:vMerge/>
          </w:tcPr>
          <w:p w14:paraId="793B5576" w14:textId="77777777" w:rsidR="00AF55A3" w:rsidRPr="004D6AF8" w:rsidRDefault="00AF55A3">
            <w:pPr>
              <w:rPr>
                <w:sz w:val="22"/>
              </w:rPr>
            </w:pPr>
          </w:p>
        </w:tc>
        <w:tc>
          <w:tcPr>
            <w:tcW w:w="1395" w:type="dxa"/>
          </w:tcPr>
          <w:p w14:paraId="7AFED192" w14:textId="08DC2BB8" w:rsidR="45169694" w:rsidRPr="004D6AF8" w:rsidRDefault="45169694" w:rsidP="4C084DA4">
            <w:pPr>
              <w:rPr>
                <w:rFonts w:eastAsia="Calibri" w:cs="Arial"/>
                <w:sz w:val="22"/>
              </w:rPr>
            </w:pPr>
            <w:r w:rsidRPr="004D6AF8">
              <w:rPr>
                <w:rFonts w:eastAsia="Calibri" w:cs="Arial"/>
                <w:sz w:val="22"/>
              </w:rPr>
              <w:t>FAS</w:t>
            </w:r>
          </w:p>
        </w:tc>
        <w:tc>
          <w:tcPr>
            <w:tcW w:w="4812" w:type="dxa"/>
          </w:tcPr>
          <w:p w14:paraId="21192F2E" w14:textId="4C820E5B" w:rsidR="45169694" w:rsidRPr="004D6AF8" w:rsidRDefault="45169694" w:rsidP="4C084DA4">
            <w:pPr>
              <w:rPr>
                <w:rFonts w:eastAsia="Calibri" w:cs="Arial"/>
                <w:sz w:val="22"/>
              </w:rPr>
            </w:pPr>
            <w:r w:rsidRPr="004D6AF8">
              <w:rPr>
                <w:rFonts w:eastAsia="Calibri" w:cs="Arial"/>
                <w:sz w:val="22"/>
              </w:rPr>
              <w:t>Law and Criminology</w:t>
            </w:r>
          </w:p>
        </w:tc>
      </w:tr>
      <w:tr w:rsidR="004D6AF8" w:rsidRPr="003F5C6A" w14:paraId="4683996E" w14:textId="77777777" w:rsidTr="4C084DA4">
        <w:trPr>
          <w:trHeight w:val="330"/>
        </w:trPr>
        <w:tc>
          <w:tcPr>
            <w:tcW w:w="1271" w:type="dxa"/>
            <w:vMerge/>
          </w:tcPr>
          <w:p w14:paraId="2BE62627" w14:textId="77777777" w:rsidR="004D6AF8" w:rsidRPr="004D6AF8" w:rsidDel="008B678B" w:rsidRDefault="004D6AF8" w:rsidP="007F2421">
            <w:pPr>
              <w:rPr>
                <w:rFonts w:asciiTheme="minorHAnsi" w:hAnsiTheme="minorHAnsi" w:cstheme="minorHAnsi"/>
                <w:b/>
                <w:sz w:val="22"/>
              </w:rPr>
            </w:pPr>
          </w:p>
        </w:tc>
        <w:tc>
          <w:tcPr>
            <w:tcW w:w="1538" w:type="dxa"/>
            <w:vMerge/>
          </w:tcPr>
          <w:p w14:paraId="37526D6D" w14:textId="77777777" w:rsidR="004D6AF8" w:rsidRPr="004D6AF8" w:rsidRDefault="004D6AF8" w:rsidP="007F2421">
            <w:pPr>
              <w:rPr>
                <w:rFonts w:asciiTheme="minorHAnsi" w:hAnsiTheme="minorHAnsi" w:cstheme="minorHAnsi"/>
                <w:b/>
                <w:sz w:val="22"/>
              </w:rPr>
            </w:pPr>
          </w:p>
        </w:tc>
        <w:tc>
          <w:tcPr>
            <w:tcW w:w="1395" w:type="dxa"/>
          </w:tcPr>
          <w:p w14:paraId="703CBE78" w14:textId="63D7E196" w:rsidR="004D6AF8" w:rsidRPr="004D6AF8" w:rsidRDefault="004D6AF8" w:rsidP="007F2421">
            <w:pPr>
              <w:rPr>
                <w:rFonts w:asciiTheme="minorHAnsi" w:hAnsiTheme="minorHAnsi" w:cstheme="minorHAnsi"/>
                <w:sz w:val="22"/>
              </w:rPr>
            </w:pPr>
            <w:r w:rsidRPr="004D6AF8">
              <w:rPr>
                <w:rFonts w:asciiTheme="minorHAnsi" w:hAnsiTheme="minorHAnsi" w:cstheme="minorHAnsi"/>
                <w:sz w:val="22"/>
              </w:rPr>
              <w:t>FOE</w:t>
            </w:r>
          </w:p>
        </w:tc>
        <w:tc>
          <w:tcPr>
            <w:tcW w:w="4812" w:type="dxa"/>
          </w:tcPr>
          <w:p w14:paraId="6563F38F" w14:textId="4AF8374F" w:rsidR="004D6AF8" w:rsidRPr="004D6AF8" w:rsidRDefault="004D6AF8" w:rsidP="4C084DA4">
            <w:pPr>
              <w:rPr>
                <w:rFonts w:eastAsia="Calibri"/>
                <w:sz w:val="22"/>
              </w:rPr>
            </w:pPr>
            <w:r w:rsidRPr="004D6AF8">
              <w:rPr>
                <w:rFonts w:asciiTheme="minorHAnsi" w:hAnsiTheme="minorHAnsi"/>
                <w:sz w:val="22"/>
              </w:rPr>
              <w:t>Early Years Education</w:t>
            </w:r>
            <w:r w:rsidRPr="004D6AF8">
              <w:rPr>
                <w:rStyle w:val="FootnoteReference"/>
                <w:rFonts w:asciiTheme="minorHAnsi" w:hAnsiTheme="minorHAnsi"/>
                <w:sz w:val="22"/>
              </w:rPr>
              <w:footnoteReference w:id="59"/>
            </w:r>
          </w:p>
        </w:tc>
      </w:tr>
      <w:tr w:rsidR="002D5C85" w:rsidRPr="003F5C6A" w14:paraId="06AF098E" w14:textId="77777777" w:rsidTr="4C084DA4">
        <w:trPr>
          <w:trHeight w:val="330"/>
        </w:trPr>
        <w:tc>
          <w:tcPr>
            <w:tcW w:w="1271" w:type="dxa"/>
            <w:vMerge/>
          </w:tcPr>
          <w:p w14:paraId="46FA88A7" w14:textId="77777777" w:rsidR="002D5C85" w:rsidRPr="004D6AF8" w:rsidDel="008B678B" w:rsidRDefault="002D5C85" w:rsidP="007F2421">
            <w:pPr>
              <w:rPr>
                <w:rFonts w:asciiTheme="minorHAnsi" w:hAnsiTheme="minorHAnsi" w:cstheme="minorHAnsi"/>
                <w:b/>
                <w:sz w:val="22"/>
              </w:rPr>
            </w:pPr>
          </w:p>
        </w:tc>
        <w:tc>
          <w:tcPr>
            <w:tcW w:w="1538" w:type="dxa"/>
            <w:vMerge/>
          </w:tcPr>
          <w:p w14:paraId="14593DF2" w14:textId="77777777" w:rsidR="002D5C85" w:rsidRPr="004D6AF8" w:rsidRDefault="002D5C85" w:rsidP="007F2421">
            <w:pPr>
              <w:rPr>
                <w:rFonts w:asciiTheme="minorHAnsi" w:hAnsiTheme="minorHAnsi" w:cstheme="minorHAnsi"/>
                <w:b/>
                <w:sz w:val="22"/>
              </w:rPr>
            </w:pPr>
          </w:p>
        </w:tc>
        <w:tc>
          <w:tcPr>
            <w:tcW w:w="1395" w:type="dxa"/>
          </w:tcPr>
          <w:p w14:paraId="3EAA2722"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FOE</w:t>
            </w:r>
          </w:p>
        </w:tc>
        <w:tc>
          <w:tcPr>
            <w:tcW w:w="4812" w:type="dxa"/>
          </w:tcPr>
          <w:p w14:paraId="20AC225D" w14:textId="121E9F82" w:rsidR="002D5C85" w:rsidRPr="004D6AF8" w:rsidRDefault="5A97EE7F" w:rsidP="4C084DA4">
            <w:pPr>
              <w:rPr>
                <w:rFonts w:asciiTheme="minorHAnsi" w:hAnsiTheme="minorHAnsi"/>
                <w:sz w:val="22"/>
              </w:rPr>
            </w:pPr>
            <w:r w:rsidRPr="004D6AF8">
              <w:rPr>
                <w:rFonts w:eastAsia="Calibri"/>
                <w:sz w:val="22"/>
              </w:rPr>
              <w:t>Primary and Childhood Education</w:t>
            </w:r>
            <w:r w:rsidRPr="004D6AF8">
              <w:rPr>
                <w:rStyle w:val="FootnoteReference"/>
                <w:rFonts w:eastAsia="Calibri"/>
                <w:sz w:val="22"/>
              </w:rPr>
              <w:footnoteReference w:id="60"/>
            </w:r>
            <w:r w:rsidRPr="004D6AF8">
              <w:rPr>
                <w:rFonts w:eastAsia="Calibri"/>
                <w:sz w:val="22"/>
              </w:rPr>
              <w:t xml:space="preserve">   </w:t>
            </w:r>
          </w:p>
        </w:tc>
      </w:tr>
      <w:tr w:rsidR="002D5C85" w:rsidRPr="003F5C6A" w14:paraId="167CC954" w14:textId="77777777" w:rsidTr="00012128">
        <w:trPr>
          <w:trHeight w:val="311"/>
        </w:trPr>
        <w:tc>
          <w:tcPr>
            <w:tcW w:w="1271" w:type="dxa"/>
            <w:tcBorders>
              <w:bottom w:val="nil"/>
            </w:tcBorders>
          </w:tcPr>
          <w:p w14:paraId="51CA4D1E" w14:textId="6997C711" w:rsidR="002D5C85" w:rsidRPr="004D6AF8" w:rsidRDefault="172F0420" w:rsidP="4C084DA4">
            <w:pPr>
              <w:spacing w:after="200"/>
              <w:rPr>
                <w:rFonts w:eastAsia="Calibri" w:cs="Arial"/>
                <w:b/>
                <w:bCs/>
                <w:sz w:val="22"/>
              </w:rPr>
            </w:pPr>
            <w:r w:rsidRPr="004D6AF8">
              <w:rPr>
                <w:rFonts w:asciiTheme="minorHAnsi" w:hAnsiTheme="minorHAnsi"/>
                <w:b/>
                <w:bCs/>
                <w:sz w:val="22"/>
              </w:rPr>
              <w:t>3</w:t>
            </w:r>
          </w:p>
        </w:tc>
        <w:tc>
          <w:tcPr>
            <w:tcW w:w="1538" w:type="dxa"/>
            <w:tcBorders>
              <w:bottom w:val="nil"/>
            </w:tcBorders>
          </w:tcPr>
          <w:p w14:paraId="58FD684A"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2023-2024</w:t>
            </w:r>
          </w:p>
        </w:tc>
        <w:tc>
          <w:tcPr>
            <w:tcW w:w="1395" w:type="dxa"/>
          </w:tcPr>
          <w:p w14:paraId="0C96CA69"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0FDFC45C" w14:textId="77777777" w:rsidR="002D5C85" w:rsidRPr="004D6AF8" w:rsidRDefault="002D5C85" w:rsidP="007F2421">
            <w:pPr>
              <w:rPr>
                <w:rFonts w:asciiTheme="minorHAnsi" w:hAnsiTheme="minorHAnsi" w:cstheme="minorHAnsi"/>
                <w:sz w:val="22"/>
              </w:rPr>
            </w:pPr>
            <w:r w:rsidRPr="004D6AF8">
              <w:rPr>
                <w:rFonts w:asciiTheme="minorHAnsi" w:hAnsiTheme="minorHAnsi"/>
                <w:sz w:val="22"/>
              </w:rPr>
              <w:t>Creative Arts</w:t>
            </w:r>
            <w:r w:rsidRPr="004D6AF8">
              <w:rPr>
                <w:rStyle w:val="FootnoteReference"/>
                <w:rFonts w:asciiTheme="minorHAnsi" w:hAnsiTheme="minorHAnsi"/>
                <w:sz w:val="22"/>
              </w:rPr>
              <w:footnoteReference w:id="61"/>
            </w:r>
          </w:p>
        </w:tc>
      </w:tr>
      <w:tr w:rsidR="002D5C85" w:rsidRPr="003F5C6A" w14:paraId="15479541" w14:textId="77777777" w:rsidTr="4C084DA4">
        <w:tc>
          <w:tcPr>
            <w:tcW w:w="1271" w:type="dxa"/>
            <w:tcBorders>
              <w:top w:val="nil"/>
              <w:bottom w:val="nil"/>
            </w:tcBorders>
          </w:tcPr>
          <w:p w14:paraId="4C444F11" w14:textId="77777777" w:rsidR="002D5C85" w:rsidRPr="004D6AF8" w:rsidRDefault="002D5C85" w:rsidP="007F2421">
            <w:pPr>
              <w:rPr>
                <w:rFonts w:asciiTheme="minorHAnsi" w:hAnsiTheme="minorHAnsi" w:cstheme="minorHAnsi"/>
                <w:b/>
                <w:sz w:val="22"/>
              </w:rPr>
            </w:pPr>
          </w:p>
        </w:tc>
        <w:tc>
          <w:tcPr>
            <w:tcW w:w="1538" w:type="dxa"/>
            <w:tcBorders>
              <w:top w:val="nil"/>
              <w:bottom w:val="nil"/>
            </w:tcBorders>
          </w:tcPr>
          <w:p w14:paraId="739A17D0" w14:textId="77777777" w:rsidR="002D5C85" w:rsidRPr="004D6AF8" w:rsidRDefault="002D5C85" w:rsidP="007F2421">
            <w:pPr>
              <w:rPr>
                <w:rFonts w:asciiTheme="minorHAnsi" w:hAnsiTheme="minorHAnsi" w:cstheme="minorHAnsi"/>
                <w:b/>
                <w:sz w:val="22"/>
              </w:rPr>
            </w:pPr>
          </w:p>
        </w:tc>
        <w:tc>
          <w:tcPr>
            <w:tcW w:w="1395" w:type="dxa"/>
          </w:tcPr>
          <w:p w14:paraId="79908231"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37DF86EA" w14:textId="77777777" w:rsidR="002D5C85" w:rsidRPr="004D6AF8" w:rsidRDefault="002D5C85" w:rsidP="007F2421">
            <w:pPr>
              <w:rPr>
                <w:rFonts w:asciiTheme="minorHAnsi" w:hAnsiTheme="minorHAnsi" w:cstheme="minorHAnsi"/>
                <w:sz w:val="22"/>
              </w:rPr>
            </w:pPr>
            <w:r w:rsidRPr="004D6AF8">
              <w:rPr>
                <w:rFonts w:asciiTheme="minorHAnsi" w:hAnsiTheme="minorHAnsi"/>
                <w:sz w:val="22"/>
              </w:rPr>
              <w:t>Edge Hill Language Centre</w:t>
            </w:r>
            <w:r w:rsidRPr="004D6AF8">
              <w:rPr>
                <w:rStyle w:val="FootnoteReference"/>
                <w:rFonts w:asciiTheme="minorHAnsi" w:hAnsiTheme="minorHAnsi"/>
                <w:sz w:val="22"/>
              </w:rPr>
              <w:footnoteReference w:id="62"/>
            </w:r>
          </w:p>
        </w:tc>
      </w:tr>
      <w:tr w:rsidR="002D5C85" w:rsidRPr="003F5C6A" w14:paraId="7C7BBBBE" w14:textId="77777777" w:rsidTr="4C084DA4">
        <w:tc>
          <w:tcPr>
            <w:tcW w:w="1271" w:type="dxa"/>
            <w:tcBorders>
              <w:top w:val="nil"/>
              <w:bottom w:val="nil"/>
            </w:tcBorders>
          </w:tcPr>
          <w:p w14:paraId="763594B5" w14:textId="77777777" w:rsidR="002D5C85" w:rsidRPr="004D6AF8" w:rsidRDefault="002D5C85" w:rsidP="007F2421">
            <w:pPr>
              <w:rPr>
                <w:rFonts w:asciiTheme="minorHAnsi" w:hAnsiTheme="minorHAnsi" w:cstheme="minorHAnsi"/>
                <w:sz w:val="22"/>
              </w:rPr>
            </w:pPr>
          </w:p>
        </w:tc>
        <w:tc>
          <w:tcPr>
            <w:tcW w:w="1538" w:type="dxa"/>
            <w:tcBorders>
              <w:top w:val="nil"/>
              <w:bottom w:val="nil"/>
            </w:tcBorders>
          </w:tcPr>
          <w:p w14:paraId="0096E981" w14:textId="77777777" w:rsidR="002D5C85" w:rsidRPr="004D6AF8" w:rsidRDefault="002D5C85" w:rsidP="007F2421">
            <w:pPr>
              <w:rPr>
                <w:rFonts w:asciiTheme="minorHAnsi" w:hAnsiTheme="minorHAnsi" w:cstheme="minorHAnsi"/>
                <w:b/>
                <w:sz w:val="22"/>
              </w:rPr>
            </w:pPr>
          </w:p>
        </w:tc>
        <w:tc>
          <w:tcPr>
            <w:tcW w:w="1395" w:type="dxa"/>
          </w:tcPr>
          <w:p w14:paraId="3888B62E"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6FC1E504"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Psychology</w:t>
            </w:r>
          </w:p>
        </w:tc>
      </w:tr>
      <w:tr w:rsidR="002D5C85" w:rsidRPr="003F5C6A" w14:paraId="26C8405C" w14:textId="77777777" w:rsidTr="4C084DA4">
        <w:tc>
          <w:tcPr>
            <w:tcW w:w="1271" w:type="dxa"/>
            <w:tcBorders>
              <w:top w:val="nil"/>
              <w:bottom w:val="nil"/>
            </w:tcBorders>
          </w:tcPr>
          <w:p w14:paraId="31DE5A71" w14:textId="77777777" w:rsidR="002D5C85" w:rsidRPr="004D6AF8" w:rsidRDefault="002D5C85" w:rsidP="007F2421">
            <w:pPr>
              <w:rPr>
                <w:rFonts w:asciiTheme="minorHAnsi" w:hAnsiTheme="minorHAnsi" w:cstheme="minorHAnsi"/>
                <w:sz w:val="22"/>
              </w:rPr>
            </w:pPr>
          </w:p>
        </w:tc>
        <w:tc>
          <w:tcPr>
            <w:tcW w:w="1538" w:type="dxa"/>
            <w:tcBorders>
              <w:top w:val="nil"/>
              <w:bottom w:val="nil"/>
            </w:tcBorders>
          </w:tcPr>
          <w:p w14:paraId="3A40629D" w14:textId="77777777" w:rsidR="002D5C85" w:rsidRPr="004D6AF8" w:rsidRDefault="002D5C85" w:rsidP="007F2421">
            <w:pPr>
              <w:rPr>
                <w:rFonts w:asciiTheme="minorHAnsi" w:hAnsiTheme="minorHAnsi" w:cstheme="minorHAnsi"/>
                <w:b/>
                <w:sz w:val="22"/>
              </w:rPr>
            </w:pPr>
          </w:p>
        </w:tc>
        <w:tc>
          <w:tcPr>
            <w:tcW w:w="1395" w:type="dxa"/>
          </w:tcPr>
          <w:p w14:paraId="5313F867"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FHSCM</w:t>
            </w:r>
          </w:p>
        </w:tc>
        <w:tc>
          <w:tcPr>
            <w:tcW w:w="4812" w:type="dxa"/>
          </w:tcPr>
          <w:p w14:paraId="402D5951"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Applied Health and Social Care</w:t>
            </w:r>
          </w:p>
        </w:tc>
      </w:tr>
      <w:tr w:rsidR="002D5C85" w:rsidRPr="003F5C6A" w14:paraId="54894AF9" w14:textId="77777777" w:rsidTr="4C084DA4">
        <w:trPr>
          <w:trHeight w:val="319"/>
        </w:trPr>
        <w:tc>
          <w:tcPr>
            <w:tcW w:w="1271" w:type="dxa"/>
            <w:tcBorders>
              <w:top w:val="nil"/>
              <w:bottom w:val="single" w:sz="4" w:space="0" w:color="auto"/>
            </w:tcBorders>
          </w:tcPr>
          <w:p w14:paraId="6B59CB48" w14:textId="77777777" w:rsidR="002D5C85" w:rsidRPr="004D6AF8" w:rsidRDefault="002D5C85" w:rsidP="007F2421">
            <w:pPr>
              <w:rPr>
                <w:rFonts w:asciiTheme="minorHAnsi" w:hAnsiTheme="minorHAnsi" w:cstheme="minorHAnsi"/>
                <w:sz w:val="22"/>
              </w:rPr>
            </w:pPr>
          </w:p>
        </w:tc>
        <w:tc>
          <w:tcPr>
            <w:tcW w:w="1538" w:type="dxa"/>
            <w:tcBorders>
              <w:top w:val="nil"/>
              <w:bottom w:val="single" w:sz="4" w:space="0" w:color="auto"/>
            </w:tcBorders>
          </w:tcPr>
          <w:p w14:paraId="6ED87C65" w14:textId="77777777" w:rsidR="002D5C85" w:rsidRPr="004D6AF8" w:rsidRDefault="002D5C85" w:rsidP="007F2421">
            <w:pPr>
              <w:rPr>
                <w:rFonts w:asciiTheme="minorHAnsi" w:hAnsiTheme="minorHAnsi" w:cstheme="minorHAnsi"/>
                <w:b/>
                <w:sz w:val="22"/>
              </w:rPr>
            </w:pPr>
          </w:p>
        </w:tc>
        <w:tc>
          <w:tcPr>
            <w:tcW w:w="1395" w:type="dxa"/>
          </w:tcPr>
          <w:p w14:paraId="0229169F"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FHSCM</w:t>
            </w:r>
          </w:p>
        </w:tc>
        <w:tc>
          <w:tcPr>
            <w:tcW w:w="4812" w:type="dxa"/>
          </w:tcPr>
          <w:p w14:paraId="7D5582D6"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Allied Health Professions</w:t>
            </w:r>
          </w:p>
        </w:tc>
      </w:tr>
      <w:tr w:rsidR="002D5C85" w:rsidRPr="003F5C6A" w14:paraId="510AB3E9" w14:textId="77777777" w:rsidTr="4C084DA4">
        <w:tc>
          <w:tcPr>
            <w:tcW w:w="1271" w:type="dxa"/>
            <w:tcBorders>
              <w:bottom w:val="nil"/>
            </w:tcBorders>
          </w:tcPr>
          <w:p w14:paraId="320E0D59" w14:textId="23FAA2B3" w:rsidR="002D5C85" w:rsidRPr="004D6AF8" w:rsidRDefault="532BECCE" w:rsidP="4C084DA4">
            <w:pPr>
              <w:spacing w:after="200"/>
              <w:rPr>
                <w:rFonts w:eastAsia="Calibri" w:cs="Arial"/>
                <w:b/>
                <w:bCs/>
                <w:sz w:val="22"/>
              </w:rPr>
            </w:pPr>
            <w:r w:rsidRPr="004D6AF8">
              <w:rPr>
                <w:rFonts w:asciiTheme="minorHAnsi" w:hAnsiTheme="minorHAnsi"/>
                <w:b/>
                <w:bCs/>
                <w:sz w:val="22"/>
              </w:rPr>
              <w:t>4</w:t>
            </w:r>
          </w:p>
        </w:tc>
        <w:tc>
          <w:tcPr>
            <w:tcW w:w="1538" w:type="dxa"/>
            <w:tcBorders>
              <w:bottom w:val="nil"/>
            </w:tcBorders>
          </w:tcPr>
          <w:p w14:paraId="6022CF78" w14:textId="77777777" w:rsidR="002D5C85" w:rsidRPr="004D6AF8" w:rsidRDefault="002D5C85" w:rsidP="007F2421">
            <w:pPr>
              <w:rPr>
                <w:rFonts w:asciiTheme="minorHAnsi" w:hAnsiTheme="minorHAnsi" w:cstheme="minorHAnsi"/>
                <w:b/>
                <w:sz w:val="22"/>
              </w:rPr>
            </w:pPr>
            <w:r w:rsidRPr="004D6AF8">
              <w:rPr>
                <w:rFonts w:asciiTheme="minorHAnsi" w:hAnsiTheme="minorHAnsi" w:cstheme="minorHAnsi"/>
                <w:b/>
                <w:sz w:val="22"/>
              </w:rPr>
              <w:t>2024-2025</w:t>
            </w:r>
          </w:p>
        </w:tc>
        <w:tc>
          <w:tcPr>
            <w:tcW w:w="1395" w:type="dxa"/>
          </w:tcPr>
          <w:p w14:paraId="327E1B04"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FAS</w:t>
            </w:r>
          </w:p>
        </w:tc>
        <w:tc>
          <w:tcPr>
            <w:tcW w:w="4812" w:type="dxa"/>
          </w:tcPr>
          <w:p w14:paraId="2ADF3BED"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Sport and Physical Activity</w:t>
            </w:r>
          </w:p>
        </w:tc>
      </w:tr>
      <w:tr w:rsidR="002D5C85" w:rsidRPr="003F5C6A" w14:paraId="1890A472" w14:textId="77777777" w:rsidTr="4C084DA4">
        <w:tc>
          <w:tcPr>
            <w:tcW w:w="1271" w:type="dxa"/>
            <w:tcBorders>
              <w:top w:val="nil"/>
              <w:bottom w:val="nil"/>
            </w:tcBorders>
          </w:tcPr>
          <w:p w14:paraId="22A4D00E" w14:textId="77777777" w:rsidR="002D5C85" w:rsidRPr="004D6AF8" w:rsidRDefault="002D5C85" w:rsidP="007F2421">
            <w:pPr>
              <w:rPr>
                <w:rFonts w:asciiTheme="minorHAnsi" w:hAnsiTheme="minorHAnsi" w:cstheme="minorHAnsi"/>
                <w:b/>
                <w:bCs/>
                <w:sz w:val="22"/>
              </w:rPr>
            </w:pPr>
          </w:p>
        </w:tc>
        <w:tc>
          <w:tcPr>
            <w:tcW w:w="1538" w:type="dxa"/>
            <w:tcBorders>
              <w:top w:val="nil"/>
              <w:bottom w:val="nil"/>
            </w:tcBorders>
          </w:tcPr>
          <w:p w14:paraId="27CE7DD5" w14:textId="77777777" w:rsidR="002D5C85" w:rsidRPr="004D6AF8" w:rsidRDefault="002D5C85" w:rsidP="007F2421">
            <w:pPr>
              <w:rPr>
                <w:rFonts w:asciiTheme="minorHAnsi" w:hAnsiTheme="minorHAnsi" w:cstheme="minorHAnsi"/>
                <w:b/>
                <w:sz w:val="22"/>
              </w:rPr>
            </w:pPr>
          </w:p>
        </w:tc>
        <w:tc>
          <w:tcPr>
            <w:tcW w:w="1395" w:type="dxa"/>
          </w:tcPr>
          <w:p w14:paraId="37BE1891"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FOE</w:t>
            </w:r>
          </w:p>
        </w:tc>
        <w:tc>
          <w:tcPr>
            <w:tcW w:w="4812" w:type="dxa"/>
          </w:tcPr>
          <w:p w14:paraId="12C13165" w14:textId="77777777" w:rsidR="002D5C85" w:rsidRPr="004D6AF8" w:rsidRDefault="002D5C85" w:rsidP="007F2421">
            <w:pPr>
              <w:rPr>
                <w:rFonts w:asciiTheme="minorHAnsi" w:hAnsiTheme="minorHAnsi" w:cstheme="minorHAnsi"/>
                <w:sz w:val="22"/>
              </w:rPr>
            </w:pPr>
            <w:bookmarkStart w:id="26" w:name="_Hlk52201025"/>
            <w:r w:rsidRPr="004D6AF8">
              <w:rPr>
                <w:rFonts w:asciiTheme="minorHAnsi" w:hAnsiTheme="minorHAnsi" w:cstheme="minorHAnsi"/>
                <w:sz w:val="22"/>
              </w:rPr>
              <w:t>Secondary and Further Education</w:t>
            </w:r>
            <w:bookmarkEnd w:id="26"/>
          </w:p>
        </w:tc>
      </w:tr>
      <w:tr w:rsidR="002D5C85" w:rsidRPr="003F5C6A" w14:paraId="762ED14B" w14:textId="77777777" w:rsidTr="4C084DA4">
        <w:tc>
          <w:tcPr>
            <w:tcW w:w="1271" w:type="dxa"/>
            <w:tcBorders>
              <w:top w:val="nil"/>
            </w:tcBorders>
          </w:tcPr>
          <w:p w14:paraId="00015819" w14:textId="77777777" w:rsidR="002D5C85" w:rsidRPr="004D6AF8" w:rsidRDefault="002D5C85" w:rsidP="007F2421">
            <w:pPr>
              <w:rPr>
                <w:rFonts w:asciiTheme="minorHAnsi" w:hAnsiTheme="minorHAnsi" w:cstheme="minorHAnsi"/>
                <w:b/>
                <w:bCs/>
                <w:sz w:val="22"/>
              </w:rPr>
            </w:pPr>
          </w:p>
        </w:tc>
        <w:tc>
          <w:tcPr>
            <w:tcW w:w="1538" w:type="dxa"/>
            <w:tcBorders>
              <w:top w:val="nil"/>
            </w:tcBorders>
          </w:tcPr>
          <w:p w14:paraId="4E9D70C7" w14:textId="77777777" w:rsidR="002D5C85" w:rsidRPr="004D6AF8" w:rsidRDefault="002D5C85" w:rsidP="007F2421">
            <w:pPr>
              <w:rPr>
                <w:rFonts w:asciiTheme="minorHAnsi" w:hAnsiTheme="minorHAnsi" w:cstheme="minorHAnsi"/>
                <w:b/>
                <w:sz w:val="22"/>
              </w:rPr>
            </w:pPr>
          </w:p>
        </w:tc>
        <w:tc>
          <w:tcPr>
            <w:tcW w:w="1395" w:type="dxa"/>
          </w:tcPr>
          <w:p w14:paraId="08FC56E4" w14:textId="77777777" w:rsidR="002D5C85" w:rsidRPr="004D6AF8" w:rsidRDefault="002D5C85" w:rsidP="007F2421">
            <w:pPr>
              <w:rPr>
                <w:rFonts w:asciiTheme="minorHAnsi" w:hAnsiTheme="minorHAnsi" w:cstheme="minorHAnsi"/>
                <w:sz w:val="22"/>
              </w:rPr>
            </w:pPr>
            <w:r w:rsidRPr="004D6AF8">
              <w:rPr>
                <w:rFonts w:asciiTheme="minorHAnsi" w:hAnsiTheme="minorHAnsi" w:cstheme="minorHAnsi"/>
                <w:sz w:val="22"/>
              </w:rPr>
              <w:t>FHSCM</w:t>
            </w:r>
          </w:p>
        </w:tc>
        <w:tc>
          <w:tcPr>
            <w:tcW w:w="4812" w:type="dxa"/>
          </w:tcPr>
          <w:p w14:paraId="539E2CF0" w14:textId="77777777" w:rsidR="002D5C85" w:rsidRPr="004D6AF8" w:rsidRDefault="002D5C85" w:rsidP="007F2421">
            <w:pPr>
              <w:rPr>
                <w:rFonts w:asciiTheme="minorHAnsi" w:hAnsiTheme="minorHAnsi" w:cstheme="minorHAnsi"/>
                <w:sz w:val="22"/>
              </w:rPr>
            </w:pPr>
            <w:r w:rsidRPr="004D6AF8">
              <w:rPr>
                <w:rFonts w:asciiTheme="minorHAnsi" w:hAnsiTheme="minorHAnsi"/>
                <w:sz w:val="22"/>
              </w:rPr>
              <w:t>Nursing and Midwifery Education</w:t>
            </w:r>
            <w:r w:rsidRPr="004D6AF8">
              <w:rPr>
                <w:rStyle w:val="FootnoteReference"/>
                <w:rFonts w:asciiTheme="minorHAnsi" w:hAnsiTheme="minorHAnsi"/>
                <w:sz w:val="22"/>
              </w:rPr>
              <w:footnoteReference w:id="63"/>
            </w:r>
          </w:p>
        </w:tc>
      </w:tr>
      <w:tr w:rsidR="4C084DA4" w14:paraId="0C462FD9" w14:textId="77777777" w:rsidTr="4C084DA4">
        <w:tc>
          <w:tcPr>
            <w:tcW w:w="1271" w:type="dxa"/>
            <w:vMerge w:val="restart"/>
            <w:tcBorders>
              <w:top w:val="nil"/>
            </w:tcBorders>
          </w:tcPr>
          <w:p w14:paraId="01AB3EE8" w14:textId="6B0D140D" w:rsidR="507FD39F" w:rsidRPr="004D6AF8" w:rsidRDefault="507FD39F" w:rsidP="4C084DA4">
            <w:pPr>
              <w:rPr>
                <w:rFonts w:eastAsia="Calibri" w:cs="Arial"/>
                <w:b/>
                <w:bCs/>
                <w:sz w:val="22"/>
              </w:rPr>
            </w:pPr>
            <w:r w:rsidRPr="004D6AF8">
              <w:rPr>
                <w:rFonts w:eastAsia="Calibri" w:cs="Arial"/>
                <w:b/>
                <w:bCs/>
                <w:sz w:val="22"/>
              </w:rPr>
              <w:t>5</w:t>
            </w:r>
          </w:p>
        </w:tc>
        <w:tc>
          <w:tcPr>
            <w:tcW w:w="1538" w:type="dxa"/>
            <w:vMerge w:val="restart"/>
            <w:tcBorders>
              <w:top w:val="nil"/>
            </w:tcBorders>
          </w:tcPr>
          <w:p w14:paraId="7B46F2ED" w14:textId="73F4A646" w:rsidR="507FD39F" w:rsidRPr="004D6AF8" w:rsidRDefault="507FD39F" w:rsidP="4C084DA4">
            <w:pPr>
              <w:rPr>
                <w:rFonts w:eastAsia="Calibri" w:cs="Arial"/>
                <w:b/>
                <w:bCs/>
                <w:sz w:val="22"/>
              </w:rPr>
            </w:pPr>
            <w:r w:rsidRPr="004D6AF8">
              <w:rPr>
                <w:rFonts w:eastAsia="Calibri" w:cs="Arial"/>
                <w:b/>
                <w:bCs/>
                <w:sz w:val="22"/>
              </w:rPr>
              <w:t>2025-26</w:t>
            </w:r>
          </w:p>
        </w:tc>
        <w:tc>
          <w:tcPr>
            <w:tcW w:w="1395" w:type="dxa"/>
          </w:tcPr>
          <w:p w14:paraId="4BBAB58D" w14:textId="1D57976B" w:rsidR="507FD39F" w:rsidRPr="004D6AF8" w:rsidRDefault="507FD39F" w:rsidP="4C084DA4">
            <w:pPr>
              <w:rPr>
                <w:rFonts w:eastAsia="Calibri" w:cs="Arial"/>
                <w:sz w:val="22"/>
              </w:rPr>
            </w:pPr>
            <w:r w:rsidRPr="004D6AF8">
              <w:rPr>
                <w:rFonts w:eastAsia="Calibri" w:cs="Arial"/>
                <w:sz w:val="22"/>
              </w:rPr>
              <w:t>FAS</w:t>
            </w:r>
          </w:p>
        </w:tc>
        <w:tc>
          <w:tcPr>
            <w:tcW w:w="4812" w:type="dxa"/>
          </w:tcPr>
          <w:p w14:paraId="1C66D4F3" w14:textId="6D7CE519" w:rsidR="507FD39F" w:rsidRPr="004D6AF8" w:rsidRDefault="507FD39F" w:rsidP="4C084DA4">
            <w:pPr>
              <w:rPr>
                <w:rFonts w:eastAsia="Calibri" w:cs="Arial"/>
                <w:sz w:val="22"/>
              </w:rPr>
            </w:pPr>
            <w:r w:rsidRPr="004D6AF8">
              <w:rPr>
                <w:rFonts w:eastAsia="Calibri" w:cs="Arial"/>
                <w:sz w:val="22"/>
              </w:rPr>
              <w:t>Business School</w:t>
            </w:r>
          </w:p>
        </w:tc>
      </w:tr>
      <w:tr w:rsidR="4C084DA4" w14:paraId="7E3FC64D" w14:textId="77777777" w:rsidTr="4C084DA4">
        <w:tc>
          <w:tcPr>
            <w:tcW w:w="1271" w:type="dxa"/>
            <w:vMerge/>
          </w:tcPr>
          <w:p w14:paraId="47399D9B" w14:textId="77777777" w:rsidR="00AF55A3" w:rsidRPr="004D6AF8" w:rsidRDefault="00AF55A3">
            <w:pPr>
              <w:rPr>
                <w:sz w:val="22"/>
              </w:rPr>
            </w:pPr>
          </w:p>
        </w:tc>
        <w:tc>
          <w:tcPr>
            <w:tcW w:w="1538" w:type="dxa"/>
            <w:vMerge/>
          </w:tcPr>
          <w:p w14:paraId="621D9AE0" w14:textId="77777777" w:rsidR="00AF55A3" w:rsidRPr="004D6AF8" w:rsidRDefault="00AF55A3">
            <w:pPr>
              <w:rPr>
                <w:sz w:val="22"/>
              </w:rPr>
            </w:pPr>
          </w:p>
        </w:tc>
        <w:tc>
          <w:tcPr>
            <w:tcW w:w="1395" w:type="dxa"/>
          </w:tcPr>
          <w:p w14:paraId="2F77F2A9" w14:textId="66CC2991" w:rsidR="507FD39F" w:rsidRPr="004D6AF8" w:rsidRDefault="507FD39F" w:rsidP="4C084DA4">
            <w:pPr>
              <w:rPr>
                <w:rFonts w:eastAsia="Calibri" w:cs="Arial"/>
                <w:sz w:val="22"/>
              </w:rPr>
            </w:pPr>
            <w:r w:rsidRPr="004D6AF8">
              <w:rPr>
                <w:rFonts w:eastAsia="Calibri" w:cs="Arial"/>
                <w:sz w:val="22"/>
              </w:rPr>
              <w:t>FAS</w:t>
            </w:r>
          </w:p>
        </w:tc>
        <w:tc>
          <w:tcPr>
            <w:tcW w:w="4812" w:type="dxa"/>
          </w:tcPr>
          <w:p w14:paraId="64424642" w14:textId="41B6F5FD" w:rsidR="507FD39F" w:rsidRPr="004D6AF8" w:rsidRDefault="507FD39F" w:rsidP="4C084DA4">
            <w:pPr>
              <w:rPr>
                <w:rFonts w:eastAsia="Calibri" w:cs="Arial"/>
                <w:sz w:val="22"/>
              </w:rPr>
            </w:pPr>
            <w:r w:rsidRPr="004D6AF8">
              <w:rPr>
                <w:rFonts w:eastAsia="Calibri" w:cs="Arial"/>
                <w:sz w:val="22"/>
              </w:rPr>
              <w:t>Computer Science</w:t>
            </w:r>
          </w:p>
        </w:tc>
      </w:tr>
      <w:tr w:rsidR="4C084DA4" w14:paraId="1E448DC3" w14:textId="77777777" w:rsidTr="00012128">
        <w:trPr>
          <w:trHeight w:val="343"/>
        </w:trPr>
        <w:tc>
          <w:tcPr>
            <w:tcW w:w="1271" w:type="dxa"/>
            <w:vMerge/>
          </w:tcPr>
          <w:p w14:paraId="672DEE52" w14:textId="77777777" w:rsidR="00AF55A3" w:rsidRPr="004D6AF8" w:rsidRDefault="00AF55A3">
            <w:pPr>
              <w:rPr>
                <w:sz w:val="22"/>
              </w:rPr>
            </w:pPr>
          </w:p>
        </w:tc>
        <w:tc>
          <w:tcPr>
            <w:tcW w:w="1538" w:type="dxa"/>
            <w:vMerge/>
          </w:tcPr>
          <w:p w14:paraId="6BE8CD75" w14:textId="77777777" w:rsidR="00AF55A3" w:rsidRPr="004D6AF8" w:rsidRDefault="00AF55A3">
            <w:pPr>
              <w:rPr>
                <w:sz w:val="22"/>
              </w:rPr>
            </w:pPr>
          </w:p>
        </w:tc>
        <w:tc>
          <w:tcPr>
            <w:tcW w:w="1395" w:type="dxa"/>
          </w:tcPr>
          <w:p w14:paraId="262594DA" w14:textId="68E0AB8F" w:rsidR="507FD39F" w:rsidRPr="004D6AF8" w:rsidRDefault="507FD39F" w:rsidP="4C084DA4">
            <w:pPr>
              <w:spacing w:after="200"/>
              <w:rPr>
                <w:rFonts w:eastAsia="Calibri" w:cs="Arial"/>
                <w:sz w:val="22"/>
              </w:rPr>
            </w:pPr>
            <w:r w:rsidRPr="004D6AF8">
              <w:rPr>
                <w:rFonts w:eastAsia="Calibri" w:cs="Arial"/>
                <w:sz w:val="22"/>
              </w:rPr>
              <w:t>FAS</w:t>
            </w:r>
          </w:p>
        </w:tc>
        <w:tc>
          <w:tcPr>
            <w:tcW w:w="4812" w:type="dxa"/>
          </w:tcPr>
          <w:p w14:paraId="5ED48B6E" w14:textId="282DA03E" w:rsidR="507FD39F" w:rsidRPr="004D6AF8" w:rsidRDefault="507FD39F" w:rsidP="4C084DA4">
            <w:pPr>
              <w:rPr>
                <w:rFonts w:eastAsia="Calibri" w:cs="Arial"/>
                <w:sz w:val="22"/>
              </w:rPr>
            </w:pPr>
            <w:r w:rsidRPr="004D6AF8">
              <w:rPr>
                <w:rFonts w:eastAsia="Calibri" w:cs="Arial"/>
                <w:sz w:val="22"/>
              </w:rPr>
              <w:t>Engineering</w:t>
            </w:r>
          </w:p>
        </w:tc>
      </w:tr>
      <w:tr w:rsidR="4C084DA4" w14:paraId="56D10891" w14:textId="77777777" w:rsidTr="4C084DA4">
        <w:tc>
          <w:tcPr>
            <w:tcW w:w="1271" w:type="dxa"/>
            <w:vMerge/>
          </w:tcPr>
          <w:p w14:paraId="324EDB08" w14:textId="77777777" w:rsidR="00AF55A3" w:rsidRPr="004D6AF8" w:rsidRDefault="00AF55A3">
            <w:pPr>
              <w:rPr>
                <w:sz w:val="22"/>
              </w:rPr>
            </w:pPr>
          </w:p>
        </w:tc>
        <w:tc>
          <w:tcPr>
            <w:tcW w:w="1538" w:type="dxa"/>
            <w:vMerge/>
          </w:tcPr>
          <w:p w14:paraId="78FD4C97" w14:textId="77777777" w:rsidR="00AF55A3" w:rsidRPr="004D6AF8" w:rsidRDefault="00AF55A3">
            <w:pPr>
              <w:rPr>
                <w:sz w:val="22"/>
              </w:rPr>
            </w:pPr>
          </w:p>
        </w:tc>
        <w:tc>
          <w:tcPr>
            <w:tcW w:w="1395" w:type="dxa"/>
          </w:tcPr>
          <w:p w14:paraId="769FB0E7" w14:textId="50603860" w:rsidR="507FD39F" w:rsidRPr="004D6AF8" w:rsidRDefault="507FD39F" w:rsidP="4C084DA4">
            <w:pPr>
              <w:rPr>
                <w:rFonts w:eastAsia="Calibri" w:cs="Arial"/>
                <w:sz w:val="22"/>
              </w:rPr>
            </w:pPr>
            <w:r w:rsidRPr="004D6AF8">
              <w:rPr>
                <w:rFonts w:eastAsia="Calibri" w:cs="Arial"/>
                <w:sz w:val="22"/>
              </w:rPr>
              <w:t>FAS</w:t>
            </w:r>
          </w:p>
        </w:tc>
        <w:tc>
          <w:tcPr>
            <w:tcW w:w="4812" w:type="dxa"/>
          </w:tcPr>
          <w:p w14:paraId="44E7EE62" w14:textId="6A25FD16" w:rsidR="507FD39F" w:rsidRPr="004D6AF8" w:rsidRDefault="507FD39F" w:rsidP="4C084DA4">
            <w:pPr>
              <w:rPr>
                <w:rFonts w:eastAsia="Calibri" w:cs="Arial"/>
                <w:sz w:val="22"/>
              </w:rPr>
            </w:pPr>
            <w:r w:rsidRPr="004D6AF8">
              <w:rPr>
                <w:rFonts w:eastAsia="Calibri" w:cs="Arial"/>
                <w:sz w:val="22"/>
              </w:rPr>
              <w:t>Geography and Geology</w:t>
            </w:r>
          </w:p>
        </w:tc>
      </w:tr>
      <w:tr w:rsidR="4C084DA4" w14:paraId="50F8DF48" w14:textId="77777777" w:rsidTr="4C084DA4">
        <w:tc>
          <w:tcPr>
            <w:tcW w:w="1271" w:type="dxa"/>
            <w:vMerge/>
          </w:tcPr>
          <w:p w14:paraId="40BA767B" w14:textId="77777777" w:rsidR="00AF55A3" w:rsidRPr="004D6AF8" w:rsidRDefault="00AF55A3">
            <w:pPr>
              <w:rPr>
                <w:sz w:val="22"/>
              </w:rPr>
            </w:pPr>
          </w:p>
        </w:tc>
        <w:tc>
          <w:tcPr>
            <w:tcW w:w="1538" w:type="dxa"/>
            <w:vMerge/>
          </w:tcPr>
          <w:p w14:paraId="63FE5372" w14:textId="77777777" w:rsidR="00AF55A3" w:rsidRPr="004D6AF8" w:rsidRDefault="00AF55A3">
            <w:pPr>
              <w:rPr>
                <w:sz w:val="22"/>
              </w:rPr>
            </w:pPr>
          </w:p>
        </w:tc>
        <w:tc>
          <w:tcPr>
            <w:tcW w:w="1395" w:type="dxa"/>
          </w:tcPr>
          <w:p w14:paraId="1D60529B" w14:textId="15115F86" w:rsidR="507FD39F" w:rsidRPr="004D6AF8" w:rsidRDefault="507FD39F" w:rsidP="4C084DA4">
            <w:pPr>
              <w:rPr>
                <w:rFonts w:eastAsia="Calibri" w:cs="Arial"/>
                <w:sz w:val="22"/>
              </w:rPr>
            </w:pPr>
            <w:r w:rsidRPr="004D6AF8">
              <w:rPr>
                <w:rFonts w:eastAsia="Calibri" w:cs="Arial"/>
                <w:sz w:val="22"/>
              </w:rPr>
              <w:t>FAS</w:t>
            </w:r>
          </w:p>
        </w:tc>
        <w:tc>
          <w:tcPr>
            <w:tcW w:w="4812" w:type="dxa"/>
          </w:tcPr>
          <w:p w14:paraId="1255E856" w14:textId="5C1E1AAF" w:rsidR="507FD39F" w:rsidRPr="004D6AF8" w:rsidRDefault="507FD39F" w:rsidP="4C084DA4">
            <w:pPr>
              <w:rPr>
                <w:rFonts w:eastAsia="Calibri" w:cs="Arial"/>
                <w:sz w:val="22"/>
              </w:rPr>
            </w:pPr>
            <w:r w:rsidRPr="004D6AF8">
              <w:rPr>
                <w:rFonts w:eastAsia="Calibri" w:cs="Arial"/>
                <w:sz w:val="22"/>
              </w:rPr>
              <w:t>Social Sciences</w:t>
            </w:r>
          </w:p>
        </w:tc>
      </w:tr>
      <w:tr w:rsidR="4C084DA4" w14:paraId="4E99D299" w14:textId="77777777" w:rsidTr="4C084DA4">
        <w:tc>
          <w:tcPr>
            <w:tcW w:w="1271" w:type="dxa"/>
            <w:vMerge/>
          </w:tcPr>
          <w:p w14:paraId="476690E2" w14:textId="77777777" w:rsidR="00AF55A3" w:rsidRPr="004D6AF8" w:rsidRDefault="00AF55A3">
            <w:pPr>
              <w:rPr>
                <w:sz w:val="22"/>
              </w:rPr>
            </w:pPr>
          </w:p>
        </w:tc>
        <w:tc>
          <w:tcPr>
            <w:tcW w:w="1538" w:type="dxa"/>
            <w:vMerge/>
          </w:tcPr>
          <w:p w14:paraId="45C269E0" w14:textId="77777777" w:rsidR="00AF55A3" w:rsidRPr="004D6AF8" w:rsidRDefault="00AF55A3">
            <w:pPr>
              <w:rPr>
                <w:sz w:val="22"/>
              </w:rPr>
            </w:pPr>
          </w:p>
        </w:tc>
        <w:tc>
          <w:tcPr>
            <w:tcW w:w="1395" w:type="dxa"/>
          </w:tcPr>
          <w:p w14:paraId="209D8A1C" w14:textId="754D9075" w:rsidR="507FD39F" w:rsidRPr="004D6AF8" w:rsidRDefault="507FD39F" w:rsidP="4C084DA4">
            <w:pPr>
              <w:rPr>
                <w:rFonts w:eastAsia="Calibri" w:cs="Arial"/>
                <w:sz w:val="22"/>
              </w:rPr>
            </w:pPr>
            <w:r w:rsidRPr="004D6AF8">
              <w:rPr>
                <w:rFonts w:eastAsia="Calibri" w:cs="Arial"/>
                <w:sz w:val="22"/>
              </w:rPr>
              <w:t>FOE</w:t>
            </w:r>
          </w:p>
        </w:tc>
        <w:tc>
          <w:tcPr>
            <w:tcW w:w="4812" w:type="dxa"/>
          </w:tcPr>
          <w:p w14:paraId="1A0C67FC" w14:textId="196D6A3F" w:rsidR="507FD39F" w:rsidRPr="004D6AF8" w:rsidRDefault="507FD39F" w:rsidP="4C084DA4">
            <w:pPr>
              <w:rPr>
                <w:rFonts w:eastAsia="Calibri" w:cs="Arial"/>
                <w:sz w:val="22"/>
              </w:rPr>
            </w:pPr>
            <w:r w:rsidRPr="004D6AF8">
              <w:rPr>
                <w:rFonts w:eastAsia="Calibri" w:cs="Arial"/>
                <w:sz w:val="22"/>
              </w:rPr>
              <w:t>Early Years Education</w:t>
            </w:r>
          </w:p>
        </w:tc>
      </w:tr>
      <w:tr w:rsidR="4C084DA4" w14:paraId="0C15BDF0" w14:textId="77777777" w:rsidTr="4C084DA4">
        <w:tc>
          <w:tcPr>
            <w:tcW w:w="1271" w:type="dxa"/>
            <w:vMerge/>
          </w:tcPr>
          <w:p w14:paraId="70CE0F44" w14:textId="77777777" w:rsidR="00AF55A3" w:rsidRPr="004D6AF8" w:rsidRDefault="00AF55A3">
            <w:pPr>
              <w:rPr>
                <w:sz w:val="22"/>
              </w:rPr>
            </w:pPr>
          </w:p>
        </w:tc>
        <w:tc>
          <w:tcPr>
            <w:tcW w:w="1538" w:type="dxa"/>
            <w:vMerge/>
          </w:tcPr>
          <w:p w14:paraId="248E109E" w14:textId="77777777" w:rsidR="00AF55A3" w:rsidRPr="004D6AF8" w:rsidRDefault="00AF55A3">
            <w:pPr>
              <w:rPr>
                <w:sz w:val="22"/>
              </w:rPr>
            </w:pPr>
          </w:p>
        </w:tc>
        <w:tc>
          <w:tcPr>
            <w:tcW w:w="1395" w:type="dxa"/>
          </w:tcPr>
          <w:p w14:paraId="114BF834" w14:textId="6328A87E" w:rsidR="507FD39F" w:rsidRPr="004D6AF8" w:rsidRDefault="507FD39F" w:rsidP="4C084DA4">
            <w:pPr>
              <w:rPr>
                <w:rFonts w:eastAsia="Calibri" w:cs="Arial"/>
                <w:sz w:val="22"/>
              </w:rPr>
            </w:pPr>
            <w:r w:rsidRPr="004D6AF8">
              <w:rPr>
                <w:rFonts w:eastAsia="Calibri" w:cs="Arial"/>
                <w:sz w:val="22"/>
              </w:rPr>
              <w:t>FHSCM</w:t>
            </w:r>
          </w:p>
        </w:tc>
        <w:tc>
          <w:tcPr>
            <w:tcW w:w="4812" w:type="dxa"/>
          </w:tcPr>
          <w:p w14:paraId="72CF000A" w14:textId="40C4DA5B" w:rsidR="507FD39F" w:rsidRPr="004D6AF8" w:rsidRDefault="507FD39F" w:rsidP="4C084DA4">
            <w:pPr>
              <w:rPr>
                <w:rFonts w:eastAsia="Calibri" w:cs="Arial"/>
                <w:sz w:val="22"/>
              </w:rPr>
            </w:pPr>
            <w:r w:rsidRPr="004D6AF8">
              <w:rPr>
                <w:rFonts w:eastAsia="Calibri" w:cs="Arial"/>
                <w:sz w:val="22"/>
              </w:rPr>
              <w:t>Medical Education</w:t>
            </w:r>
          </w:p>
        </w:tc>
      </w:tr>
      <w:tr w:rsidR="4C084DA4" w14:paraId="3808B38C" w14:textId="77777777" w:rsidTr="4C084DA4">
        <w:tc>
          <w:tcPr>
            <w:tcW w:w="1271" w:type="dxa"/>
            <w:vMerge/>
          </w:tcPr>
          <w:p w14:paraId="70260627" w14:textId="77777777" w:rsidR="00AF55A3" w:rsidRPr="004D6AF8" w:rsidRDefault="00AF55A3">
            <w:pPr>
              <w:rPr>
                <w:sz w:val="22"/>
              </w:rPr>
            </w:pPr>
          </w:p>
        </w:tc>
        <w:tc>
          <w:tcPr>
            <w:tcW w:w="1538" w:type="dxa"/>
            <w:vMerge/>
          </w:tcPr>
          <w:p w14:paraId="678EFA72" w14:textId="77777777" w:rsidR="00AF55A3" w:rsidRPr="004D6AF8" w:rsidRDefault="00AF55A3">
            <w:pPr>
              <w:rPr>
                <w:sz w:val="22"/>
              </w:rPr>
            </w:pPr>
          </w:p>
        </w:tc>
        <w:tc>
          <w:tcPr>
            <w:tcW w:w="1395" w:type="dxa"/>
          </w:tcPr>
          <w:p w14:paraId="62016BD5" w14:textId="3BB2F805" w:rsidR="507FD39F" w:rsidRPr="004D6AF8" w:rsidRDefault="507FD39F" w:rsidP="4C084DA4">
            <w:pPr>
              <w:rPr>
                <w:rFonts w:eastAsia="Calibri" w:cs="Arial"/>
                <w:sz w:val="22"/>
              </w:rPr>
            </w:pPr>
            <w:r w:rsidRPr="004D6AF8">
              <w:rPr>
                <w:rFonts w:eastAsia="Calibri" w:cs="Arial"/>
                <w:sz w:val="22"/>
              </w:rPr>
              <w:t>FAS</w:t>
            </w:r>
          </w:p>
        </w:tc>
        <w:tc>
          <w:tcPr>
            <w:tcW w:w="4812" w:type="dxa"/>
          </w:tcPr>
          <w:p w14:paraId="5C892696" w14:textId="582C8924" w:rsidR="507FD39F" w:rsidRPr="004D6AF8" w:rsidRDefault="507FD39F" w:rsidP="4C084DA4">
            <w:pPr>
              <w:rPr>
                <w:rFonts w:eastAsia="Calibri" w:cs="Arial"/>
                <w:sz w:val="22"/>
              </w:rPr>
            </w:pPr>
            <w:r w:rsidRPr="004D6AF8">
              <w:rPr>
                <w:rFonts w:eastAsia="Calibri" w:cs="Arial"/>
                <w:sz w:val="22"/>
              </w:rPr>
              <w:t>Law and Criminology</w:t>
            </w:r>
          </w:p>
        </w:tc>
      </w:tr>
      <w:tr w:rsidR="4C084DA4" w14:paraId="43F51295" w14:textId="77777777" w:rsidTr="4C084DA4">
        <w:tc>
          <w:tcPr>
            <w:tcW w:w="1271" w:type="dxa"/>
            <w:vMerge/>
          </w:tcPr>
          <w:p w14:paraId="1690E7AB" w14:textId="77777777" w:rsidR="00AF55A3" w:rsidRPr="004D6AF8" w:rsidRDefault="00AF55A3">
            <w:pPr>
              <w:rPr>
                <w:sz w:val="22"/>
              </w:rPr>
            </w:pPr>
          </w:p>
        </w:tc>
        <w:tc>
          <w:tcPr>
            <w:tcW w:w="1538" w:type="dxa"/>
            <w:vMerge/>
          </w:tcPr>
          <w:p w14:paraId="518AA0D7" w14:textId="77777777" w:rsidR="00AF55A3" w:rsidRPr="004D6AF8" w:rsidRDefault="00AF55A3">
            <w:pPr>
              <w:rPr>
                <w:sz w:val="22"/>
              </w:rPr>
            </w:pPr>
          </w:p>
        </w:tc>
        <w:tc>
          <w:tcPr>
            <w:tcW w:w="1395" w:type="dxa"/>
          </w:tcPr>
          <w:p w14:paraId="154F2009" w14:textId="0E120101" w:rsidR="507FD39F" w:rsidRPr="004D6AF8" w:rsidRDefault="507FD39F" w:rsidP="4C084DA4">
            <w:pPr>
              <w:rPr>
                <w:rFonts w:eastAsia="Calibri" w:cs="Arial"/>
                <w:sz w:val="22"/>
              </w:rPr>
            </w:pPr>
            <w:r w:rsidRPr="004D6AF8">
              <w:rPr>
                <w:rFonts w:eastAsia="Calibri" w:cs="Arial"/>
                <w:sz w:val="22"/>
              </w:rPr>
              <w:t>FOE</w:t>
            </w:r>
          </w:p>
        </w:tc>
        <w:tc>
          <w:tcPr>
            <w:tcW w:w="4812" w:type="dxa"/>
          </w:tcPr>
          <w:p w14:paraId="15F2B586" w14:textId="689D05E1" w:rsidR="507FD39F" w:rsidRPr="004D6AF8" w:rsidRDefault="507FD39F" w:rsidP="4C084DA4">
            <w:pPr>
              <w:rPr>
                <w:rFonts w:eastAsia="Calibri" w:cs="Arial"/>
                <w:sz w:val="22"/>
              </w:rPr>
            </w:pPr>
            <w:r w:rsidRPr="004D6AF8">
              <w:rPr>
                <w:rFonts w:eastAsia="Calibri" w:cs="Arial"/>
                <w:sz w:val="22"/>
              </w:rPr>
              <w:t>Primary and Childhood Education</w:t>
            </w:r>
          </w:p>
        </w:tc>
      </w:tr>
    </w:tbl>
    <w:p w14:paraId="50F0E0FD" w14:textId="16DB6F7A" w:rsidR="001523A2" w:rsidRPr="001523A2" w:rsidRDefault="001523A2" w:rsidP="00D47D4E">
      <w:pPr>
        <w:jc w:val="both"/>
      </w:pPr>
      <w:r w:rsidRPr="001523A2">
        <w:t xml:space="preserve">Periodic Review considers any programmes delivered by or with third-party organisations (academic partners) for the purpose of </w:t>
      </w:r>
      <w:r w:rsidR="00E723D8">
        <w:t xml:space="preserve">continuing programme </w:t>
      </w:r>
      <w:r w:rsidRPr="001523A2">
        <w:t>approval, however the</w:t>
      </w:r>
      <w:r w:rsidR="00555A96">
        <w:t>se</w:t>
      </w:r>
      <w:r w:rsidRPr="001523A2">
        <w:t xml:space="preserve"> are also reviewed individually as part of a separate five-year cycle of </w:t>
      </w:r>
      <w:r w:rsidR="00555A96">
        <w:t xml:space="preserve">partner and </w:t>
      </w:r>
      <w:r w:rsidRPr="001523A2">
        <w:t>delivery re-approval</w:t>
      </w:r>
      <w:r>
        <w:rPr>
          <w:rStyle w:val="FootnoteReference"/>
        </w:rPr>
        <w:footnoteReference w:id="64"/>
      </w:r>
      <w:r w:rsidRPr="001523A2">
        <w:t>.</w:t>
      </w:r>
    </w:p>
    <w:p w14:paraId="46AF147C" w14:textId="0E5E9DBD" w:rsidR="00386D01" w:rsidRDefault="0043021C" w:rsidP="00D47D4E">
      <w:pPr>
        <w:jc w:val="both"/>
      </w:pPr>
      <w:r w:rsidRPr="0043021C">
        <w:t>Faculties</w:t>
      </w:r>
      <w:r>
        <w:t xml:space="preserve"> are advised</w:t>
      </w:r>
      <w:r w:rsidRPr="0043021C">
        <w:t xml:space="preserve"> against instigating standalone re-validation in the year of, or year before, a department’s scheduled </w:t>
      </w:r>
      <w:r w:rsidR="00F20255">
        <w:t>Periodic R</w:t>
      </w:r>
      <w:r w:rsidRPr="0043021C">
        <w:t>eview</w:t>
      </w:r>
      <w:r w:rsidR="00F20255">
        <w:t>,</w:t>
      </w:r>
      <w:r w:rsidRPr="0043021C">
        <w:t xml:space="preserve"> although circumstances may make this </w:t>
      </w:r>
      <w:r w:rsidR="00F20255">
        <w:t>unavoidable, such as</w:t>
      </w:r>
      <w:r w:rsidR="008439B1" w:rsidRPr="4C084DA4">
        <w:rPr>
          <w:rFonts w:asciiTheme="minorHAnsi" w:hAnsiTheme="minorHAnsi"/>
          <w:sz w:val="22"/>
        </w:rPr>
        <w:t xml:space="preserve"> </w:t>
      </w:r>
      <w:r w:rsidR="008439B1" w:rsidRPr="008439B1">
        <w:t>the need to implement revised PSRB standards</w:t>
      </w:r>
      <w:r w:rsidR="008439B1">
        <w:t>.</w:t>
      </w:r>
      <w:r w:rsidR="00F20255" w:rsidRPr="0043021C">
        <w:t xml:space="preserve"> </w:t>
      </w:r>
      <w:r w:rsidR="001523A2" w:rsidRPr="001523A2">
        <w:t>Where a programme’s re-validation</w:t>
      </w:r>
      <w:r w:rsidR="001523A2">
        <w:rPr>
          <w:rStyle w:val="FootnoteReference"/>
        </w:rPr>
        <w:footnoteReference w:id="65"/>
      </w:r>
      <w:r w:rsidR="001523A2" w:rsidRPr="001523A2">
        <w:t xml:space="preserve"> is scheduled </w:t>
      </w:r>
      <w:r w:rsidR="001523A2" w:rsidRPr="4C084DA4">
        <w:rPr>
          <w:b/>
          <w:bCs/>
          <w:i/>
          <w:iCs/>
        </w:rPr>
        <w:t>in same year</w:t>
      </w:r>
      <w:r w:rsidR="001523A2" w:rsidRPr="001523A2">
        <w:t xml:space="preserve"> as Periodic Review,</w:t>
      </w:r>
      <w:r w:rsidR="00612F92">
        <w:t xml:space="preserve"> the </w:t>
      </w:r>
      <w:r w:rsidR="00DB4404">
        <w:t xml:space="preserve">requirement for a </w:t>
      </w:r>
      <w:r w:rsidR="00612F92">
        <w:t>Critical Review document is replaced by the standard validation documentation</w:t>
      </w:r>
      <w:r w:rsidR="00EA64E6">
        <w:t xml:space="preserve"> and the</w:t>
      </w:r>
      <w:r w:rsidR="00612F92">
        <w:t xml:space="preserve"> D</w:t>
      </w:r>
      <w:r w:rsidR="15EA5166">
        <w:t xml:space="preserve">BA </w:t>
      </w:r>
      <w:r w:rsidR="00612F92">
        <w:t xml:space="preserve">completed </w:t>
      </w:r>
      <w:r w:rsidR="00654B24">
        <w:t xml:space="preserve">in the same year </w:t>
      </w:r>
      <w:r w:rsidR="00612F92">
        <w:t>as part of the Annual Monitoring process</w:t>
      </w:r>
      <w:r w:rsidR="001523A2" w:rsidRPr="001523A2">
        <w:t xml:space="preserve">. </w:t>
      </w:r>
      <w:r w:rsidR="00750135">
        <w:t xml:space="preserve">If </w:t>
      </w:r>
      <w:r w:rsidR="00386D01">
        <w:t xml:space="preserve">scheduled separately, </w:t>
      </w:r>
      <w:r w:rsidR="00386D01" w:rsidRPr="001523A2">
        <w:t xml:space="preserve">Periodic Review and re-validation </w:t>
      </w:r>
      <w:r w:rsidR="00386D01">
        <w:t>events</w:t>
      </w:r>
      <w:r w:rsidR="00386D01" w:rsidRPr="001523A2">
        <w:t xml:space="preserve"> should ideally be </w:t>
      </w:r>
      <w:r w:rsidR="00BA3B84">
        <w:t xml:space="preserve">held </w:t>
      </w:r>
      <w:r w:rsidR="00386D01" w:rsidRPr="001523A2">
        <w:t>three months</w:t>
      </w:r>
      <w:r w:rsidR="00386D01">
        <w:t xml:space="preserve"> apart</w:t>
      </w:r>
      <w:r w:rsidR="00386D01" w:rsidRPr="001523A2">
        <w:t xml:space="preserve"> to allow some opportunity for the review’s outcomes to inform the validation process.</w:t>
      </w:r>
    </w:p>
    <w:p w14:paraId="1E03522E" w14:textId="6166FAC4" w:rsidR="00FB73D4" w:rsidRPr="00FB73D4" w:rsidRDefault="00FB73D4" w:rsidP="00D47D4E">
      <w:pPr>
        <w:jc w:val="both"/>
      </w:pPr>
      <w:r w:rsidRPr="00432A0A">
        <w:t>Where</w:t>
      </w:r>
      <w:r w:rsidRPr="00FB73D4">
        <w:rPr>
          <w:i/>
          <w:iCs/>
        </w:rPr>
        <w:t xml:space="preserve"> </w:t>
      </w:r>
      <w:r>
        <w:t>P</w:t>
      </w:r>
      <w:r w:rsidRPr="00FB73D4">
        <w:t xml:space="preserve">eriodic </w:t>
      </w:r>
      <w:r>
        <w:t>R</w:t>
      </w:r>
      <w:r w:rsidRPr="00FB73D4">
        <w:t>eview</w:t>
      </w:r>
      <w:r w:rsidRPr="00FB73D4">
        <w:rPr>
          <w:i/>
          <w:iCs/>
        </w:rPr>
        <w:t xml:space="preserve"> </w:t>
      </w:r>
      <w:r w:rsidRPr="007C6ABF">
        <w:t>is scheduled for</w:t>
      </w:r>
      <w:r w:rsidRPr="00FB73D4">
        <w:rPr>
          <w:i/>
          <w:iCs/>
        </w:rPr>
        <w:t xml:space="preserve"> </w:t>
      </w:r>
      <w:r w:rsidRPr="007C6ABF">
        <w:rPr>
          <w:b/>
          <w:bCs/>
          <w:i/>
          <w:iCs/>
        </w:rPr>
        <w:t>the year following re-validation</w:t>
      </w:r>
      <w:r w:rsidRPr="00FB73D4">
        <w:t xml:space="preserve"> the review process is determined by the re-validation’s scope, for example:</w:t>
      </w:r>
    </w:p>
    <w:p w14:paraId="007460C4" w14:textId="1B87FEA3" w:rsidR="00FB73D4" w:rsidRPr="00FB73D4" w:rsidRDefault="00FB73D4" w:rsidP="00D47D4E">
      <w:pPr>
        <w:numPr>
          <w:ilvl w:val="0"/>
          <w:numId w:val="19"/>
        </w:numPr>
        <w:jc w:val="both"/>
      </w:pPr>
      <w:r>
        <w:t xml:space="preserve">where the majority of the department’s programmes were re-validated the previous year, </w:t>
      </w:r>
      <w:r w:rsidR="00313D99">
        <w:t>the requirement for a Critical Review document is replaced by</w:t>
      </w:r>
      <w:r w:rsidR="00A96DE3">
        <w:t xml:space="preserve"> </w:t>
      </w:r>
      <w:r w:rsidR="00F26E15">
        <w:t xml:space="preserve">the </w:t>
      </w:r>
      <w:r>
        <w:t>DBA</w:t>
      </w:r>
      <w:r w:rsidR="00A96DE3">
        <w:t>, which</w:t>
      </w:r>
      <w:r>
        <w:t xml:space="preserve"> supports continuing programme approval; or, </w:t>
      </w:r>
    </w:p>
    <w:p w14:paraId="0BB0FF92" w14:textId="77777777" w:rsidR="00FB73D4" w:rsidRPr="00FB73D4" w:rsidRDefault="00FB73D4" w:rsidP="00D47D4E">
      <w:pPr>
        <w:numPr>
          <w:ilvl w:val="0"/>
          <w:numId w:val="19"/>
        </w:numPr>
        <w:jc w:val="both"/>
      </w:pPr>
      <w:r>
        <w:t xml:space="preserve">where a minority of programmes were re-validated, a standard periodic review is completed. </w:t>
      </w:r>
    </w:p>
    <w:p w14:paraId="43F419B5" w14:textId="0E29E320" w:rsidR="00821642" w:rsidRDefault="001523A2" w:rsidP="00D47D4E">
      <w:pPr>
        <w:jc w:val="both"/>
      </w:pPr>
      <w:r>
        <w:t xml:space="preserve">Application to AQEC for </w:t>
      </w:r>
      <w:r w:rsidRPr="4C084DA4">
        <w:rPr>
          <w:b/>
          <w:bCs/>
        </w:rPr>
        <w:t>deferment of a scheduled Periodic Review</w:t>
      </w:r>
      <w:r>
        <w:t xml:space="preserve"> is normally supported by a Departmental Risk Assessment (see below).</w:t>
      </w:r>
      <w:r w:rsidR="0023521B">
        <w:t xml:space="preserve"> Reviews may be deferred for one year only.</w:t>
      </w:r>
    </w:p>
    <w:p w14:paraId="05C0ED90" w14:textId="77777777" w:rsidR="00EF6BCD" w:rsidRDefault="00EF6BCD" w:rsidP="00D47D4E">
      <w:pPr>
        <w:pStyle w:val="Heading4"/>
        <w:jc w:val="both"/>
      </w:pPr>
      <w:bookmarkStart w:id="27" w:name="_Toc89157905"/>
      <w:r>
        <w:lastRenderedPageBreak/>
        <w:t>Programme Transfers between Departments</w:t>
      </w:r>
      <w:bookmarkEnd w:id="27"/>
    </w:p>
    <w:p w14:paraId="67D147DE" w14:textId="62296F66" w:rsidR="00EF6BCD" w:rsidRDefault="00EF6BCD" w:rsidP="00D47D4E">
      <w:pPr>
        <w:jc w:val="both"/>
      </w:pPr>
      <w:r w:rsidRPr="00EF6BCD">
        <w:t xml:space="preserve">Where programme transfer between departments creates the risk of individual programmes not being reviewed within a five-year </w:t>
      </w:r>
      <w:r w:rsidR="00207B7A" w:rsidRPr="00EF6BCD">
        <w:t>period</w:t>
      </w:r>
      <w:r w:rsidR="00207B7A">
        <w:t>, the</w:t>
      </w:r>
      <w:r w:rsidRPr="00EF6BCD">
        <w:t xml:space="preserve"> DBA process</w:t>
      </w:r>
      <w:r w:rsidR="009D502D">
        <w:t>,</w:t>
      </w:r>
      <w:r w:rsidRPr="00EF6BCD">
        <w:t xml:space="preserve"> </w:t>
      </w:r>
      <w:r w:rsidR="009D502D">
        <w:t xml:space="preserve">carried out </w:t>
      </w:r>
      <w:r w:rsidRPr="00EF6BCD">
        <w:t>at the next available monitoring point</w:t>
      </w:r>
      <w:r w:rsidR="009D502D">
        <w:t>,</w:t>
      </w:r>
      <w:r w:rsidRPr="00EF6BCD">
        <w:t xml:space="preserve"> support</w:t>
      </w:r>
      <w:r w:rsidR="002124B4">
        <w:t>s</w:t>
      </w:r>
      <w:r w:rsidRPr="00EF6BCD">
        <w:t xml:space="preserve"> continuing programme approval.</w:t>
      </w:r>
    </w:p>
    <w:p w14:paraId="068B1FC1" w14:textId="5F616720" w:rsidR="001523A2" w:rsidRPr="00C425EC" w:rsidRDefault="00D43FBB" w:rsidP="00D47D4E">
      <w:pPr>
        <w:pBdr>
          <w:top w:val="single" w:sz="4" w:space="1" w:color="auto"/>
          <w:left w:val="single" w:sz="4" w:space="4" w:color="auto"/>
          <w:bottom w:val="single" w:sz="4" w:space="8" w:color="auto"/>
          <w:right w:val="single" w:sz="4" w:space="4" w:color="auto"/>
          <w:between w:val="single" w:sz="4" w:space="1" w:color="auto"/>
          <w:bar w:val="single" w:sz="4" w:color="auto"/>
        </w:pBdr>
        <w:spacing w:before="240" w:after="720"/>
        <w:jc w:val="both"/>
        <w:rPr>
          <w:b/>
          <w:i/>
        </w:rPr>
      </w:pPr>
      <w:r w:rsidRPr="00C425EC">
        <w:rPr>
          <w:b/>
        </w:rPr>
        <w:t xml:space="preserve">A full description of the periodic review process and associated documentation is contained in </w:t>
      </w:r>
      <w:hyperlink r:id="rId16" w:history="1">
        <w:r w:rsidRPr="004F4D60">
          <w:rPr>
            <w:rStyle w:val="Hyperlink"/>
            <w:b/>
          </w:rPr>
          <w:t>‘</w:t>
        </w:r>
        <w:r w:rsidRPr="004F4D60">
          <w:rPr>
            <w:rStyle w:val="Hyperlink"/>
            <w:b/>
            <w:i/>
          </w:rPr>
          <w:t>Preparing for Periodic Review: A Guide for Panels and Departments’</w:t>
        </w:r>
      </w:hyperlink>
      <w:r w:rsidRPr="00C425EC">
        <w:rPr>
          <w:b/>
          <w:i/>
        </w:rPr>
        <w:t>.</w:t>
      </w:r>
    </w:p>
    <w:p w14:paraId="224DF147" w14:textId="77777777" w:rsidR="00D43FBB" w:rsidRDefault="00D43FBB" w:rsidP="00D47D4E">
      <w:pPr>
        <w:pStyle w:val="Heading2"/>
        <w:jc w:val="both"/>
      </w:pPr>
      <w:bookmarkStart w:id="28" w:name="_Toc89157906"/>
      <w:r>
        <w:t>INTERNAL AUDIT</w:t>
      </w:r>
      <w:bookmarkEnd w:id="28"/>
    </w:p>
    <w:p w14:paraId="232DF32E" w14:textId="107811F5" w:rsidR="00D43FBB" w:rsidRPr="00D43FBB" w:rsidRDefault="00D43FBB" w:rsidP="00D47D4E">
      <w:pPr>
        <w:jc w:val="both"/>
      </w:pPr>
      <w:r>
        <w:t xml:space="preserve">Internal audits are commissioned by AQEC, </w:t>
      </w:r>
      <w:r w:rsidR="58BA7A48">
        <w:t>the Learning and Teaching Committee (</w:t>
      </w:r>
      <w:r>
        <w:t>LTC</w:t>
      </w:r>
      <w:r w:rsidR="6DBA1FC1">
        <w:t>)</w:t>
      </w:r>
      <w:r>
        <w:t xml:space="preserve"> or the Directorate and may be prompted by:</w:t>
      </w:r>
    </w:p>
    <w:p w14:paraId="34D70301" w14:textId="0C2ED0D2" w:rsidR="00D43FBB" w:rsidRPr="00D43FBB" w:rsidRDefault="0044760B" w:rsidP="00D47D4E">
      <w:pPr>
        <w:pStyle w:val="ListParagraph"/>
        <w:numPr>
          <w:ilvl w:val="0"/>
          <w:numId w:val="17"/>
        </w:numPr>
        <w:jc w:val="both"/>
      </w:pPr>
      <w:r>
        <w:t>T</w:t>
      </w:r>
      <w:r w:rsidR="00D43FBB" w:rsidRPr="00D43FBB">
        <w:t>he University’s strategic imperatives;</w:t>
      </w:r>
    </w:p>
    <w:p w14:paraId="379B084B" w14:textId="7A098242" w:rsidR="00D43FBB" w:rsidRPr="00D43FBB" w:rsidRDefault="0044760B" w:rsidP="00D47D4E">
      <w:pPr>
        <w:pStyle w:val="ListParagraph"/>
        <w:numPr>
          <w:ilvl w:val="0"/>
          <w:numId w:val="17"/>
        </w:numPr>
        <w:jc w:val="both"/>
      </w:pPr>
      <w:r>
        <w:t>r</w:t>
      </w:r>
      <w:r w:rsidR="00D43FBB" w:rsidRPr="00D43FBB">
        <w:t>eports of external examiners, Professional Statutory and Regulatory Bodies, annual monitoring, validation or periodic review; or</w:t>
      </w:r>
      <w:r w:rsidR="00886A28">
        <w:t>,</w:t>
      </w:r>
    </w:p>
    <w:p w14:paraId="5199F14C" w14:textId="60675B37" w:rsidR="00D43FBB" w:rsidRPr="00D43FBB" w:rsidRDefault="00886A28" w:rsidP="00D47D4E">
      <w:pPr>
        <w:pStyle w:val="ListParagraph"/>
        <w:numPr>
          <w:ilvl w:val="0"/>
          <w:numId w:val="17"/>
        </w:numPr>
        <w:jc w:val="both"/>
      </w:pPr>
      <w:r>
        <w:t xml:space="preserve">by </w:t>
      </w:r>
      <w:r w:rsidR="0044760B">
        <w:t>s</w:t>
      </w:r>
      <w:r w:rsidR="00D43FBB" w:rsidRPr="00D43FBB">
        <w:t xml:space="preserve">pecific request of Academic Board committees, the Directorate, Faculties or </w:t>
      </w:r>
      <w:r>
        <w:t xml:space="preserve">professional </w:t>
      </w:r>
      <w:r w:rsidR="00D43FBB" w:rsidRPr="00D43FBB">
        <w:t>support services.</w:t>
      </w:r>
    </w:p>
    <w:p w14:paraId="19CAD876" w14:textId="61AF99FF" w:rsidR="00D43FBB" w:rsidRDefault="00D43FBB" w:rsidP="00D47D4E">
      <w:pPr>
        <w:jc w:val="both"/>
      </w:pPr>
      <w:r w:rsidRPr="00D43FBB">
        <w:t xml:space="preserve">Internal audits are serviced by staff of </w:t>
      </w:r>
      <w:r w:rsidR="0003066E">
        <w:t>GQASC</w:t>
      </w:r>
      <w:r w:rsidRPr="00D43FBB">
        <w:t xml:space="preserve"> who convene panels, distribute documentation, minute meetings and produce final reports according to timescales set by the commissioners (c, above). Whilst panels are normally constituted by members of the V</w:t>
      </w:r>
      <w:r w:rsidR="6F442274" w:rsidRPr="00D43FBB">
        <w:t>ASP</w:t>
      </w:r>
      <w:r w:rsidRPr="00D43FBB">
        <w:t>,</w:t>
      </w:r>
      <w:bookmarkStart w:id="29" w:name="Developmental_Enquiry"/>
      <w:bookmarkEnd w:id="29"/>
      <w:r w:rsidRPr="00D43FBB">
        <w:t xml:space="preserve"> additional specialist expertise may be co-opted which could include external contributors.</w:t>
      </w:r>
    </w:p>
    <w:p w14:paraId="15DEF745" w14:textId="77777777" w:rsidR="00D43FBB" w:rsidRDefault="00D43FBB" w:rsidP="00D47D4E">
      <w:pPr>
        <w:pStyle w:val="Heading3"/>
        <w:jc w:val="both"/>
      </w:pPr>
      <w:bookmarkStart w:id="30" w:name="_Toc89157907"/>
      <w:r>
        <w:t>Developmental Enquiry</w:t>
      </w:r>
      <w:bookmarkEnd w:id="30"/>
    </w:p>
    <w:p w14:paraId="25C0C1B9" w14:textId="0D5A3D95" w:rsidR="00D43FBB" w:rsidRDefault="00D43FBB" w:rsidP="00D47D4E">
      <w:pPr>
        <w:jc w:val="both"/>
      </w:pPr>
      <w:r w:rsidRPr="00D43FBB">
        <w:t>Thematic and enhancement-focused by nature, Developmental Enquiries</w:t>
      </w:r>
      <w:r w:rsidR="00886A28">
        <w:t xml:space="preserve"> (DEs)</w:t>
      </w:r>
      <w:r w:rsidRPr="00D43FBB">
        <w:t xml:space="preserve"> explore specific aspects of the learner experience; recent DEs have focused on cross-Faculty approaches to managing placement-based learning, the joint honours student experience and developing students’ assessment literacy. Written and oral evidence is taken from key Institutional stakeholders and the report, which is normally received by LTC, contains recommendations for development as well as highlighting good practice for wider dissemination. LTC decides upon any action to be taken in response to the report’s recommendations and progress is monitored through separate update reports, the timing and frequency of which </w:t>
      </w:r>
      <w:r w:rsidR="00886A28">
        <w:t>are</w:t>
      </w:r>
      <w:r w:rsidRPr="00D43FBB">
        <w:t xml:space="preserve"> determined by the committee.</w:t>
      </w:r>
    </w:p>
    <w:p w14:paraId="6ED49DC3" w14:textId="77777777" w:rsidR="00D43FBB" w:rsidRDefault="00D43FBB" w:rsidP="00D47D4E">
      <w:pPr>
        <w:pStyle w:val="Heading3"/>
        <w:jc w:val="both"/>
      </w:pPr>
      <w:bookmarkStart w:id="31" w:name="_Toc89157908"/>
      <w:r>
        <w:t>Extraordinary Audit</w:t>
      </w:r>
      <w:bookmarkEnd w:id="31"/>
    </w:p>
    <w:p w14:paraId="6DB52D96" w14:textId="4A7F3CD0" w:rsidR="00D43FBB" w:rsidRDefault="00D43FBB" w:rsidP="00D47D4E">
      <w:pPr>
        <w:jc w:val="both"/>
      </w:pPr>
      <w:r w:rsidRPr="00D43FBB">
        <w:t>An Extraordinary Audit may be convened at very short notice and enables a rapid response to a specific presenting issue, incident or set of circumstances, for example an adverse external examiner’s report. An Institutional panel chaired by a senior manager is convened and considers written and oral evidence with a report submitted to AQEC and the Directorate within two to six weeks of commissioning.</w:t>
      </w:r>
    </w:p>
    <w:p w14:paraId="5AA2B51F" w14:textId="77777777" w:rsidR="00D43FBB" w:rsidRPr="00D43FBB" w:rsidRDefault="00D43FBB" w:rsidP="00D47D4E">
      <w:pPr>
        <w:pStyle w:val="Heading3"/>
        <w:jc w:val="both"/>
      </w:pPr>
      <w:bookmarkStart w:id="32" w:name="_Toc89157909"/>
      <w:r>
        <w:t>Departmental Risk Assessment</w:t>
      </w:r>
      <w:bookmarkEnd w:id="32"/>
    </w:p>
    <w:p w14:paraId="2F0B5A2D" w14:textId="77777777" w:rsidR="00D43FBB" w:rsidRPr="00D43FBB" w:rsidRDefault="00D43FBB" w:rsidP="00D47D4E">
      <w:pPr>
        <w:jc w:val="both"/>
      </w:pPr>
      <w:r w:rsidRPr="00D43FBB">
        <w:t>Whether or not academic provision is deemed to be at risk depends on the interaction between the internal or external threats to which it is exposed and its owner’s capacity to manage these, resulting in an evaluation of net risk; thus a department operating in a high-</w:t>
      </w:r>
      <w:r w:rsidRPr="00D43FBB">
        <w:lastRenderedPageBreak/>
        <w:t>risk environment may be assigned a rating of medium or even low net risk based on its perceived ability to manage those risks. Departmental Risk Assessment is a useful tool for confirming the continuing academic health of a department or programme, enabling swift conclusions to be drawn and any immediate support needs identified.</w:t>
      </w:r>
    </w:p>
    <w:p w14:paraId="618F4A1C" w14:textId="7828DFAE" w:rsidR="00D43FBB" w:rsidRPr="00D43FBB" w:rsidRDefault="00D43FBB" w:rsidP="00D47D4E">
      <w:pPr>
        <w:jc w:val="both"/>
      </w:pPr>
      <w:r>
        <w:t xml:space="preserve">Commissioned by AQEC and conducted by the </w:t>
      </w:r>
      <w:r w:rsidR="00D47D4E">
        <w:t>Governance Quality Assurance and Student Casework unit</w:t>
      </w:r>
      <w:r>
        <w:t xml:space="preserve">, Departmental Risk Assessments normally comprise the department’s most recent Annual Monitoring Report </w:t>
      </w:r>
      <w:r w:rsidR="00886A28">
        <w:t>and</w:t>
      </w:r>
      <w:r>
        <w:t xml:space="preserve"> updated </w:t>
      </w:r>
      <w:r w:rsidR="00D8475F">
        <w:t>Q</w:t>
      </w:r>
      <w:r w:rsidR="4038DCF0">
        <w:t>EP</w:t>
      </w:r>
      <w:r>
        <w:t>, accompanied by the reporting officer’s summary estimation of net risk. Departmental Risk Assessment may also be used to support an application to defer a scheduled Periodic Review which is considered by AQEC at its next available meeting</w:t>
      </w:r>
      <w:r w:rsidR="00886A28">
        <w:t xml:space="preserve"> (reviews </w:t>
      </w:r>
      <w:r w:rsidR="007723FD">
        <w:t>may be deferred for one year only</w:t>
      </w:r>
      <w:r w:rsidR="00886A28">
        <w:t>)</w:t>
      </w:r>
      <w:r w:rsidR="007723FD">
        <w:t>.</w:t>
      </w:r>
    </w:p>
    <w:p w14:paraId="511B053D" w14:textId="77777777" w:rsidR="00D43FBB" w:rsidRPr="00D43FBB" w:rsidRDefault="00D43FBB" w:rsidP="00D47D4E">
      <w:pPr>
        <w:tabs>
          <w:tab w:val="left" w:pos="2610"/>
        </w:tabs>
        <w:jc w:val="both"/>
      </w:pPr>
    </w:p>
    <w:sectPr w:rsidR="00D43FBB" w:rsidRPr="00D43FBB" w:rsidSect="002D0046">
      <w:headerReference w:type="default"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00FB" w14:textId="77777777" w:rsidR="004D6AF8" w:rsidRDefault="004D6AF8" w:rsidP="00840176">
      <w:pPr>
        <w:spacing w:after="0"/>
      </w:pPr>
      <w:r>
        <w:separator/>
      </w:r>
    </w:p>
  </w:endnote>
  <w:endnote w:type="continuationSeparator" w:id="0">
    <w:p w14:paraId="17B5A22C" w14:textId="77777777" w:rsidR="004D6AF8" w:rsidRDefault="004D6AF8" w:rsidP="00840176">
      <w:pPr>
        <w:spacing w:after="0"/>
      </w:pPr>
      <w:r>
        <w:continuationSeparator/>
      </w:r>
    </w:p>
  </w:endnote>
  <w:endnote w:type="continuationNotice" w:id="1">
    <w:p w14:paraId="622B5507" w14:textId="77777777" w:rsidR="004D6AF8" w:rsidRDefault="004D6A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044143"/>
      <w:docPartObj>
        <w:docPartGallery w:val="Page Numbers (Bottom of Page)"/>
        <w:docPartUnique/>
      </w:docPartObj>
    </w:sdtPr>
    <w:sdtEndPr>
      <w:rPr>
        <w:noProof/>
      </w:rPr>
    </w:sdtEndPr>
    <w:sdtContent>
      <w:p w14:paraId="5356CF94" w14:textId="21F9F170" w:rsidR="004D6AF8" w:rsidRDefault="004D6A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7D4C1" w14:textId="45C9372F" w:rsidR="004D6AF8" w:rsidRPr="006D41C1" w:rsidRDefault="004D6AF8" w:rsidP="006D41C1">
    <w:pPr>
      <w:spacing w:after="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D6AF8" w14:paraId="2F2A2439" w14:textId="77777777" w:rsidTr="07FE1F7C">
      <w:tc>
        <w:tcPr>
          <w:tcW w:w="3005" w:type="dxa"/>
        </w:tcPr>
        <w:p w14:paraId="7CE11D30" w14:textId="5B2EA712" w:rsidR="004D6AF8" w:rsidRDefault="004D6AF8" w:rsidP="07FE1F7C">
          <w:pPr>
            <w:pStyle w:val="Header"/>
            <w:ind w:left="-115"/>
            <w:rPr>
              <w:rFonts w:eastAsia="Calibri" w:cs="Arial"/>
              <w:szCs w:val="24"/>
            </w:rPr>
          </w:pPr>
        </w:p>
      </w:tc>
      <w:tc>
        <w:tcPr>
          <w:tcW w:w="3005" w:type="dxa"/>
        </w:tcPr>
        <w:p w14:paraId="395E955B" w14:textId="6DBCD537" w:rsidR="004D6AF8" w:rsidRDefault="004D6AF8" w:rsidP="07FE1F7C">
          <w:pPr>
            <w:pStyle w:val="Header"/>
            <w:jc w:val="center"/>
            <w:rPr>
              <w:rFonts w:eastAsia="Calibri" w:cs="Arial"/>
              <w:szCs w:val="24"/>
            </w:rPr>
          </w:pPr>
        </w:p>
      </w:tc>
      <w:tc>
        <w:tcPr>
          <w:tcW w:w="3005" w:type="dxa"/>
        </w:tcPr>
        <w:p w14:paraId="697A13DE" w14:textId="6B30EAD1" w:rsidR="004D6AF8" w:rsidRDefault="004D6AF8" w:rsidP="07FE1F7C">
          <w:pPr>
            <w:pStyle w:val="Header"/>
            <w:ind w:right="-115"/>
            <w:jc w:val="right"/>
            <w:rPr>
              <w:rFonts w:eastAsia="Calibri" w:cs="Arial"/>
              <w:szCs w:val="24"/>
            </w:rPr>
          </w:pPr>
        </w:p>
      </w:tc>
    </w:tr>
  </w:tbl>
  <w:p w14:paraId="47F48C1B" w14:textId="0253C6CA" w:rsidR="004D6AF8" w:rsidRDefault="004D6AF8" w:rsidP="07FE1F7C">
    <w:pPr>
      <w:pStyle w:val="Footer"/>
      <w:rPr>
        <w:rFonts w:eastAsia="Calibri"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340B" w14:textId="77777777" w:rsidR="004D6AF8" w:rsidRDefault="004D6AF8" w:rsidP="00840176">
      <w:pPr>
        <w:spacing w:after="0"/>
      </w:pPr>
      <w:r>
        <w:separator/>
      </w:r>
    </w:p>
  </w:footnote>
  <w:footnote w:type="continuationSeparator" w:id="0">
    <w:p w14:paraId="0A97F34E" w14:textId="77777777" w:rsidR="004D6AF8" w:rsidRDefault="004D6AF8" w:rsidP="00840176">
      <w:pPr>
        <w:spacing w:after="0"/>
      </w:pPr>
      <w:r>
        <w:continuationSeparator/>
      </w:r>
    </w:p>
  </w:footnote>
  <w:footnote w:type="continuationNotice" w:id="1">
    <w:p w14:paraId="5EE499EE" w14:textId="77777777" w:rsidR="004D6AF8" w:rsidRDefault="004D6AF8">
      <w:pPr>
        <w:spacing w:after="0"/>
      </w:pPr>
    </w:p>
  </w:footnote>
  <w:footnote w:id="2">
    <w:p w14:paraId="3C736FAB" w14:textId="77777777" w:rsidR="004D6AF8" w:rsidRPr="001026A1" w:rsidRDefault="004D6AF8" w:rsidP="0075203F">
      <w:pPr>
        <w:pStyle w:val="FootnoteText"/>
      </w:pPr>
      <w:r w:rsidRPr="007E2108">
        <w:rPr>
          <w:rStyle w:val="FootnoteReference"/>
        </w:rPr>
        <w:footnoteRef/>
      </w:r>
      <w:r w:rsidRPr="007E2108">
        <w:t xml:space="preserve"> </w:t>
      </w:r>
      <w:hyperlink r:id="rId1" w:history="1">
        <w:r w:rsidRPr="007E2108">
          <w:rPr>
            <w:rStyle w:val="Hyperlink"/>
            <w:u w:val="none"/>
          </w:rPr>
          <w:t>www.officeforstudents.org.uk/advice-and-guidance/regulation/conditions-of-registration/</w:t>
        </w:r>
      </w:hyperlink>
      <w:r w:rsidRPr="001026A1">
        <w:t>.</w:t>
      </w:r>
      <w:r>
        <w:t xml:space="preserve">  </w:t>
      </w:r>
    </w:p>
  </w:footnote>
  <w:footnote w:id="3">
    <w:p w14:paraId="626522D3" w14:textId="77777777" w:rsidR="004D6AF8" w:rsidRDefault="004D6AF8" w:rsidP="00F05F36">
      <w:pPr>
        <w:pStyle w:val="FootnoteText"/>
      </w:pPr>
      <w:r>
        <w:rPr>
          <w:rStyle w:val="FootnoteReference"/>
        </w:rPr>
        <w:footnoteRef/>
      </w:r>
      <w:r>
        <w:t xml:space="preserve"> </w:t>
      </w:r>
      <w:hyperlink r:id="rId2" w:history="1">
        <w:r w:rsidRPr="00697685">
          <w:rPr>
            <w:rStyle w:val="Hyperlink"/>
            <w:u w:val="none"/>
          </w:rPr>
          <w:t>www.qaa.ac.uk/en/quality-code/advice-and-guidance/monitoring-and-evaluation</w:t>
        </w:r>
      </w:hyperlink>
      <w:r>
        <w:t xml:space="preserve">. </w:t>
      </w:r>
    </w:p>
  </w:footnote>
  <w:footnote w:id="4">
    <w:p w14:paraId="02269934" w14:textId="77777777" w:rsidR="004D6AF8" w:rsidRDefault="004D6AF8" w:rsidP="00591004">
      <w:pPr>
        <w:pStyle w:val="FootnoteText"/>
      </w:pPr>
      <w:r>
        <w:rPr>
          <w:rStyle w:val="FootnoteReference"/>
        </w:rPr>
        <w:footnoteRef/>
      </w:r>
      <w:r>
        <w:t xml:space="preserve"> For AQEC’s constitution and terms of reference see Chapter 8.</w:t>
      </w:r>
    </w:p>
  </w:footnote>
  <w:footnote w:id="5">
    <w:p w14:paraId="1DD007FB" w14:textId="653DA3A0" w:rsidR="004D6AF8" w:rsidRDefault="004D6AF8" w:rsidP="00591004">
      <w:pPr>
        <w:pStyle w:val="FootnoteText"/>
      </w:pPr>
      <w:r>
        <w:rPr>
          <w:rStyle w:val="FootnoteReference"/>
        </w:rPr>
        <w:footnoteRef/>
      </w:r>
      <w:r>
        <w:t xml:space="preserve"> See Chapter 5.</w:t>
      </w:r>
      <w:r>
        <w:rPr>
          <w:color w:val="0000FF"/>
        </w:rPr>
        <w:t xml:space="preserve">   </w:t>
      </w:r>
    </w:p>
  </w:footnote>
  <w:footnote w:id="6">
    <w:p w14:paraId="7891D425" w14:textId="77777777" w:rsidR="004D6AF8" w:rsidRPr="00DB142B" w:rsidRDefault="004D6AF8" w:rsidP="00E65E14">
      <w:pPr>
        <w:spacing w:after="0"/>
        <w:ind w:right="1336"/>
        <w:rPr>
          <w:sz w:val="20"/>
        </w:rPr>
      </w:pPr>
      <w:r>
        <w:rPr>
          <w:rStyle w:val="FootnoteReference"/>
        </w:rPr>
        <w:footnoteRef/>
      </w:r>
      <w:r>
        <w:t xml:space="preserve"> </w:t>
      </w:r>
      <w:r>
        <w:rPr>
          <w:sz w:val="20"/>
        </w:rPr>
        <w:t>Departmental annual monitoring typically takes place in Semester 1.</w:t>
      </w:r>
    </w:p>
  </w:footnote>
  <w:footnote w:id="7">
    <w:p w14:paraId="3F21149C" w14:textId="56BA2A84" w:rsidR="004D6AF8" w:rsidRDefault="004D6AF8">
      <w:pPr>
        <w:pStyle w:val="FootnoteText"/>
      </w:pPr>
      <w:r>
        <w:rPr>
          <w:rStyle w:val="FootnoteReference"/>
        </w:rPr>
        <w:footnoteRef/>
      </w:r>
      <w:r>
        <w:t xml:space="preserve"> See Chapter 1.</w:t>
      </w:r>
    </w:p>
  </w:footnote>
  <w:footnote w:id="8">
    <w:p w14:paraId="7261F03E" w14:textId="2F409B97" w:rsidR="004D6AF8" w:rsidRDefault="004D6AF8" w:rsidP="00363C21">
      <w:pPr>
        <w:pStyle w:val="FootnoteText"/>
      </w:pPr>
      <w:r>
        <w:rPr>
          <w:rStyle w:val="FootnoteReference"/>
        </w:rPr>
        <w:footnoteRef/>
      </w:r>
      <w:r>
        <w:t xml:space="preserve"> See Chapter 4  </w:t>
      </w:r>
    </w:p>
  </w:footnote>
  <w:footnote w:id="9">
    <w:p w14:paraId="0CFB5312" w14:textId="194382BE" w:rsidR="004D6AF8" w:rsidRPr="00E65E14" w:rsidRDefault="004D6AF8" w:rsidP="00E65E14">
      <w:pPr>
        <w:pStyle w:val="FootnoteText"/>
        <w:contextualSpacing/>
      </w:pPr>
      <w:r w:rsidRPr="00E65E14">
        <w:rPr>
          <w:rStyle w:val="FootnoteReference"/>
        </w:rPr>
        <w:footnoteRef/>
      </w:r>
      <w:r w:rsidRPr="00E65E14">
        <w:t xml:space="preserve"> See QMH Chapter 6.    </w:t>
      </w:r>
    </w:p>
  </w:footnote>
  <w:footnote w:id="10">
    <w:p w14:paraId="20AE87D9" w14:textId="5A4E16B2" w:rsidR="004D6AF8" w:rsidRPr="00E65E14" w:rsidRDefault="004D6AF8" w:rsidP="00E65E14">
      <w:pPr>
        <w:pStyle w:val="FootnoteText"/>
        <w:contextualSpacing/>
      </w:pPr>
      <w:r w:rsidRPr="00E65E14">
        <w:rPr>
          <w:rStyle w:val="FootnoteReference"/>
        </w:rPr>
        <w:footnoteRef/>
      </w:r>
      <w:r w:rsidRPr="00E65E14">
        <w:t xml:space="preserve"> See Quality Management Handbook Chapter 2 </w:t>
      </w:r>
      <w:hyperlink r:id="rId3" w:history="1">
        <w:r w:rsidRPr="00E65E14">
          <w:rPr>
            <w:rStyle w:val="Hyperlink"/>
            <w:u w:val="none"/>
          </w:rPr>
          <w:t>www.edgehill.ac.uk/documents/files/02-external-examiners.pdf</w:t>
        </w:r>
      </w:hyperlink>
      <w:r w:rsidRPr="00E65E14">
        <w:rPr>
          <w:color w:val="0000FF"/>
        </w:rPr>
        <w:t>.</w:t>
      </w:r>
      <w:r w:rsidRPr="00E65E14">
        <w:t xml:space="preserve">   </w:t>
      </w:r>
    </w:p>
  </w:footnote>
  <w:footnote w:id="11">
    <w:p w14:paraId="629E4D0C" w14:textId="3666A2FE" w:rsidR="004D6AF8" w:rsidRPr="00E65E14" w:rsidRDefault="004D6AF8" w:rsidP="00E65E14">
      <w:pPr>
        <w:pStyle w:val="FootnoteText"/>
        <w:contextualSpacing/>
      </w:pPr>
      <w:r w:rsidRPr="00E65E14">
        <w:rPr>
          <w:rStyle w:val="FootnoteReference"/>
        </w:rPr>
        <w:footnoteRef/>
      </w:r>
      <w:r w:rsidRPr="00E65E14">
        <w:t xml:space="preserve"> Data may be disaggregated by entry qualification and protected characteristic where possible.</w:t>
      </w:r>
    </w:p>
  </w:footnote>
  <w:footnote w:id="12">
    <w:p w14:paraId="6DFEAE8E" w14:textId="77777777" w:rsidR="004D6AF8" w:rsidRPr="00E65E14" w:rsidRDefault="004D6AF8" w:rsidP="00E65E14">
      <w:pPr>
        <w:pStyle w:val="FootnoteText"/>
        <w:contextualSpacing/>
      </w:pPr>
      <w:r w:rsidRPr="00E65E14">
        <w:rPr>
          <w:rStyle w:val="FootnoteReference"/>
        </w:rPr>
        <w:footnoteRef/>
      </w:r>
      <w:r w:rsidRPr="00E65E14">
        <w:t xml:space="preserve"> The </w:t>
      </w:r>
      <w:r w:rsidRPr="00E65E14">
        <w:rPr>
          <w:b/>
        </w:rPr>
        <w:t xml:space="preserve">Retention Rate </w:t>
      </w:r>
      <w:r w:rsidRPr="00E65E14">
        <w:t xml:space="preserve">is the % of students registered on the programme who returned to the University the following academic year (however briefly), including those who are repeating the year, interrupting or transferring to another programme. This measure is not meaningful for </w:t>
      </w:r>
      <w:proofErr w:type="gramStart"/>
      <w:r w:rsidRPr="00E65E14">
        <w:t>finalists</w:t>
      </w:r>
      <w:proofErr w:type="gramEnd"/>
      <w:r w:rsidRPr="00E65E14">
        <w:t xml:space="preserve"> so it is only calculated for non-finalists.</w:t>
      </w:r>
    </w:p>
  </w:footnote>
  <w:footnote w:id="13">
    <w:p w14:paraId="5E7B7EB0" w14:textId="77777777" w:rsidR="004D6AF8" w:rsidRPr="00E65E14" w:rsidRDefault="004D6AF8" w:rsidP="00E65E14">
      <w:pPr>
        <w:pStyle w:val="FootnoteText"/>
        <w:contextualSpacing/>
      </w:pPr>
      <w:r w:rsidRPr="00E65E14">
        <w:rPr>
          <w:rStyle w:val="FootnoteReference"/>
        </w:rPr>
        <w:footnoteRef/>
      </w:r>
      <w:r w:rsidRPr="00E65E14">
        <w:t xml:space="preserve"> The </w:t>
      </w:r>
      <w:r w:rsidRPr="00E65E14">
        <w:rPr>
          <w:b/>
        </w:rPr>
        <w:t xml:space="preserve">Progression Rate </w:t>
      </w:r>
      <w:r w:rsidRPr="00E65E14">
        <w:t>is the % of students who ‘pass’ the year and are eligible to progress to the following year, or who have completed the programme (if they are finalists). Any students who do not have a result yet because they have interrupted, or are referred or deferred, are excluded from the calculation.</w:t>
      </w:r>
    </w:p>
  </w:footnote>
  <w:footnote w:id="14">
    <w:p w14:paraId="42B7FE94" w14:textId="77777777" w:rsidR="004D6AF8" w:rsidRPr="00E65E14" w:rsidRDefault="004D6AF8" w:rsidP="00E65E14">
      <w:pPr>
        <w:pStyle w:val="FootnoteText"/>
        <w:contextualSpacing/>
      </w:pPr>
      <w:r w:rsidRPr="00E65E14">
        <w:rPr>
          <w:rStyle w:val="FootnoteReference"/>
        </w:rPr>
        <w:footnoteRef/>
      </w:r>
      <w:r w:rsidRPr="00E65E14">
        <w:t xml:space="preserve"> </w:t>
      </w:r>
      <w:r w:rsidRPr="00E65E14">
        <w:rPr>
          <w:b/>
        </w:rPr>
        <w:t xml:space="preserve">Completion </w:t>
      </w:r>
      <w:r w:rsidRPr="00E65E14">
        <w:t>is where a student has finished a programme of study and been awarded a university qualification.</w:t>
      </w:r>
    </w:p>
  </w:footnote>
  <w:footnote w:id="15">
    <w:p w14:paraId="27AE4909" w14:textId="7DC3E49B" w:rsidR="004D6AF8" w:rsidRPr="00E65E14" w:rsidRDefault="004D6AF8" w:rsidP="00E65E14">
      <w:pPr>
        <w:pStyle w:val="FootnoteText"/>
        <w:contextualSpacing/>
      </w:pPr>
      <w:r w:rsidRPr="00E65E14">
        <w:rPr>
          <w:rStyle w:val="FootnoteReference"/>
        </w:rPr>
        <w:footnoteRef/>
      </w:r>
      <w:r w:rsidRPr="00E65E14">
        <w:t xml:space="preserve"> </w:t>
      </w:r>
      <w:hyperlink r:id="rId4" w:history="1">
        <w:r w:rsidRPr="00E65E14">
          <w:rPr>
            <w:rStyle w:val="Hyperlink"/>
            <w:u w:val="none"/>
          </w:rPr>
          <w:t>www.thestudentsurvey.com/</w:t>
        </w:r>
      </w:hyperlink>
      <w:r w:rsidRPr="00E65E14">
        <w:t xml:space="preserve">. </w:t>
      </w:r>
    </w:p>
  </w:footnote>
  <w:footnote w:id="16">
    <w:p w14:paraId="6434ACDE" w14:textId="16676337" w:rsidR="004D6AF8" w:rsidRPr="00E65E14" w:rsidRDefault="004D6AF8" w:rsidP="4C084DA4">
      <w:pPr>
        <w:pStyle w:val="FootnoteText"/>
        <w:contextualSpacing/>
        <w:rPr>
          <w:rFonts w:eastAsia="Calibri" w:cs="Arial"/>
        </w:rPr>
      </w:pPr>
      <w:r w:rsidRPr="00E65E14">
        <w:rPr>
          <w:rStyle w:val="FootnoteReference"/>
        </w:rPr>
        <w:footnoteRef/>
      </w:r>
      <w:r w:rsidRPr="00E65E14">
        <w:t xml:space="preserve"> </w:t>
      </w:r>
      <w:r>
        <w:t xml:space="preserve">Graduate Outcomes Progression Rate is the proportion of graduates in professional employment, further study, or who are retired, travelling, or caring. </w:t>
      </w:r>
      <w:hyperlink r:id="rId5">
        <w:r w:rsidRPr="4C084DA4">
          <w:rPr>
            <w:rStyle w:val="Hyperlink"/>
          </w:rPr>
          <w:t>www.graduateoutcomes.ac.uk</w:t>
        </w:r>
      </w:hyperlink>
      <w:r>
        <w:t>.</w:t>
      </w:r>
    </w:p>
  </w:footnote>
  <w:footnote w:id="17">
    <w:p w14:paraId="1B67B5BC" w14:textId="54D5A692" w:rsidR="004D6AF8" w:rsidRPr="00E65E14" w:rsidRDefault="004D6AF8" w:rsidP="00E65E14">
      <w:pPr>
        <w:spacing w:after="0"/>
        <w:contextualSpacing/>
        <w:rPr>
          <w:sz w:val="20"/>
          <w:szCs w:val="20"/>
        </w:rPr>
      </w:pPr>
      <w:r w:rsidRPr="00E65E14">
        <w:rPr>
          <w:rStyle w:val="FootnoteReference"/>
          <w:sz w:val="20"/>
          <w:szCs w:val="20"/>
        </w:rPr>
        <w:footnoteRef/>
      </w:r>
      <w:r w:rsidRPr="00E65E14">
        <w:rPr>
          <w:sz w:val="20"/>
          <w:szCs w:val="20"/>
        </w:rPr>
        <w:t xml:space="preserve"> For a more detailed description of the University’s approach to academic risk management see Chapter 1.</w:t>
      </w:r>
    </w:p>
  </w:footnote>
  <w:footnote w:id="18">
    <w:p w14:paraId="74B3B034" w14:textId="3354EA58" w:rsidR="004D6AF8" w:rsidRPr="00DB142B" w:rsidRDefault="004D6AF8" w:rsidP="00E65E14">
      <w:pPr>
        <w:spacing w:after="0"/>
        <w:contextualSpacing/>
        <w:rPr>
          <w:sz w:val="20"/>
        </w:rPr>
      </w:pPr>
      <w:r w:rsidRPr="00E65E14">
        <w:rPr>
          <w:rStyle w:val="FootnoteReference"/>
          <w:sz w:val="20"/>
          <w:szCs w:val="20"/>
        </w:rPr>
        <w:footnoteRef/>
      </w:r>
      <w:r w:rsidRPr="00E65E14">
        <w:rPr>
          <w:sz w:val="20"/>
          <w:szCs w:val="20"/>
        </w:rPr>
        <w:t xml:space="preserve"> Who may include: relevant academic and professional communities; external examiners; regulatory bodies; collaborative partners; employers; service users and carers; and graduate </w:t>
      </w:r>
      <w:proofErr w:type="gramStart"/>
      <w:r w:rsidRPr="00E65E14">
        <w:rPr>
          <w:sz w:val="20"/>
          <w:szCs w:val="20"/>
        </w:rPr>
        <w:t>alumni.</w:t>
      </w:r>
      <w:proofErr w:type="gramEnd"/>
    </w:p>
  </w:footnote>
  <w:footnote w:id="19">
    <w:p w14:paraId="3E4EB92E" w14:textId="2A7E986B" w:rsidR="004D6AF8" w:rsidRDefault="004D6AF8" w:rsidP="004D3465">
      <w:pPr>
        <w:spacing w:after="0"/>
      </w:pPr>
      <w:r>
        <w:rPr>
          <w:rStyle w:val="FootnoteReference"/>
        </w:rPr>
        <w:footnoteRef/>
      </w:r>
      <w:r>
        <w:t xml:space="preserve"> </w:t>
      </w:r>
      <w:r>
        <w:rPr>
          <w:sz w:val="20"/>
        </w:rPr>
        <w:t>For further details of the University’s approach to quality enhancement see Chapter 1.</w:t>
      </w:r>
      <w:r>
        <w:t xml:space="preserve"> </w:t>
      </w:r>
      <w:r>
        <w:rPr>
          <w:sz w:val="20"/>
        </w:rPr>
        <w:t xml:space="preserve"> </w:t>
      </w:r>
    </w:p>
  </w:footnote>
  <w:footnote w:id="20">
    <w:p w14:paraId="0DD7885D" w14:textId="111E6C8C" w:rsidR="004D6AF8" w:rsidRDefault="004D6AF8" w:rsidP="00DB142B">
      <w:pPr>
        <w:pStyle w:val="FootnoteText"/>
      </w:pPr>
      <w:r>
        <w:rPr>
          <w:rStyle w:val="FootnoteReference"/>
        </w:rPr>
        <w:footnoteRef/>
      </w:r>
      <w:r>
        <w:t xml:space="preserve"> For example, programme performance data is made available to academic departments via Tableau and AQEC receives updates on progress against departments’ Quality Enhancement Plans during the academic year, typically through the receipt of Faculty quality committee minutes.</w:t>
      </w:r>
    </w:p>
  </w:footnote>
  <w:footnote w:id="21">
    <w:p w14:paraId="20970B0A" w14:textId="77777777" w:rsidR="004D6AF8" w:rsidRDefault="004D6AF8">
      <w:pPr>
        <w:pStyle w:val="FootnoteText"/>
      </w:pPr>
      <w:r>
        <w:rPr>
          <w:rStyle w:val="FootnoteReference"/>
        </w:rPr>
        <w:footnoteRef/>
      </w:r>
      <w:r>
        <w:t xml:space="preserve"> Programmes in Health, Social Care and Medicine that follow a non-modular structure consider this evidence as it relates to each Year of Study.</w:t>
      </w:r>
    </w:p>
  </w:footnote>
  <w:footnote w:id="22">
    <w:p w14:paraId="5D8F3B66" w14:textId="144E8874" w:rsidR="004D6AF8" w:rsidRPr="00F10D34" w:rsidRDefault="004D6AF8" w:rsidP="00F10D34">
      <w:pPr>
        <w:spacing w:after="0"/>
        <w:rPr>
          <w:sz w:val="20"/>
        </w:rPr>
      </w:pPr>
      <w:r>
        <w:rPr>
          <w:rStyle w:val="FootnoteReference"/>
        </w:rPr>
        <w:footnoteRef/>
      </w:r>
      <w:r>
        <w:t xml:space="preserve"> </w:t>
      </w:r>
      <w:r>
        <w:rPr>
          <w:sz w:val="20"/>
        </w:rPr>
        <w:t>See Chapter 1.</w:t>
      </w:r>
    </w:p>
  </w:footnote>
  <w:footnote w:id="23">
    <w:p w14:paraId="5AE69DCE" w14:textId="765E343A" w:rsidR="004D6AF8" w:rsidRDefault="004D6AF8">
      <w:pPr>
        <w:pStyle w:val="FootnoteText"/>
      </w:pPr>
      <w:r>
        <w:rPr>
          <w:rStyle w:val="FootnoteReference"/>
        </w:rPr>
        <w:footnoteRef/>
      </w:r>
      <w:r>
        <w:t xml:space="preserve"> The first-time pass rate includes students who have passed a module in their first attempt at the final assessment point.</w:t>
      </w:r>
    </w:p>
  </w:footnote>
  <w:footnote w:id="24">
    <w:p w14:paraId="5C40DB4D" w14:textId="47B209E6" w:rsidR="004D6AF8" w:rsidRDefault="004D6AF8">
      <w:pPr>
        <w:pStyle w:val="FootnoteText"/>
      </w:pPr>
      <w:r>
        <w:rPr>
          <w:rStyle w:val="FootnoteReference"/>
        </w:rPr>
        <w:footnoteRef/>
      </w:r>
      <w:r>
        <w:t xml:space="preserve"> See Chapter 6.</w:t>
      </w:r>
    </w:p>
  </w:footnote>
  <w:footnote w:id="25">
    <w:p w14:paraId="3F29EF4A" w14:textId="5C332776" w:rsidR="004D6AF8" w:rsidRPr="00F10D34" w:rsidRDefault="004D6AF8" w:rsidP="00F10D34">
      <w:pPr>
        <w:spacing w:after="0" w:line="242" w:lineRule="exact"/>
        <w:rPr>
          <w:sz w:val="20"/>
        </w:rPr>
      </w:pPr>
      <w:r w:rsidRPr="00BB23B8">
        <w:rPr>
          <w:rStyle w:val="FootnoteReference"/>
          <w:sz w:val="20"/>
          <w:szCs w:val="20"/>
        </w:rPr>
        <w:footnoteRef/>
      </w:r>
      <w:r>
        <w:t xml:space="preserve"> </w:t>
      </w:r>
      <w:hyperlink r:id="rId6" w:history="1">
        <w:r w:rsidRPr="00A07635">
          <w:rPr>
            <w:rStyle w:val="Hyperlink"/>
            <w:sz w:val="20"/>
            <w:u w:val="none"/>
          </w:rPr>
          <w:t>www.equalityhumanrights.com/en/equality-act/protected-characteristics</w:t>
        </w:r>
      </w:hyperlink>
      <w:r>
        <w:rPr>
          <w:sz w:val="20"/>
        </w:rPr>
        <w:t xml:space="preserve">. </w:t>
      </w:r>
    </w:p>
  </w:footnote>
  <w:footnote w:id="26">
    <w:p w14:paraId="46CDCD50" w14:textId="73253C3F" w:rsidR="004D6AF8" w:rsidRDefault="004D6AF8">
      <w:pPr>
        <w:pStyle w:val="FootnoteText"/>
      </w:pPr>
      <w:r>
        <w:rPr>
          <w:rStyle w:val="FootnoteReference"/>
        </w:rPr>
        <w:footnoteRef/>
      </w:r>
      <w:r>
        <w:t xml:space="preserve"> External examiners confirm that the standards set at validation meet or exceed national threshold (pass) standards and are comparable with similar provision of other UK higher education providers - See Chapter 2.</w:t>
      </w:r>
    </w:p>
  </w:footnote>
  <w:footnote w:id="27">
    <w:p w14:paraId="3975774D" w14:textId="164A1303" w:rsidR="004D6AF8" w:rsidRDefault="004D6AF8">
      <w:pPr>
        <w:pStyle w:val="FootnoteText"/>
      </w:pPr>
      <w:r>
        <w:rPr>
          <w:rStyle w:val="FootnoteReference"/>
        </w:rPr>
        <w:footnoteRef/>
      </w:r>
      <w:r>
        <w:t xml:space="preserve"> </w:t>
      </w:r>
      <w:r w:rsidRPr="0024159C">
        <w:t>Also includes the PGCert Teaching in Higher Education delivered out of the Centre for Learning and Teaching.</w:t>
      </w:r>
    </w:p>
  </w:footnote>
  <w:footnote w:id="28">
    <w:p w14:paraId="56208A47" w14:textId="3336D25A" w:rsidR="004D6AF8" w:rsidRDefault="004D6AF8" w:rsidP="00B8358E">
      <w:pPr>
        <w:pStyle w:val="FootnoteText"/>
      </w:pPr>
      <w:r>
        <w:rPr>
          <w:rStyle w:val="FootnoteReference"/>
        </w:rPr>
        <w:footnoteRef/>
      </w:r>
      <w:r>
        <w:t xml:space="preserve"> Formally the departments of Media and Performing Arts.</w:t>
      </w:r>
    </w:p>
  </w:footnote>
  <w:footnote w:id="29">
    <w:p w14:paraId="1251C9C5" w14:textId="7A92F393" w:rsidR="004D6AF8" w:rsidRDefault="004D6AF8" w:rsidP="004C6BEC">
      <w:pPr>
        <w:pStyle w:val="FootnoteText"/>
      </w:pPr>
      <w:r>
        <w:rPr>
          <w:rStyle w:val="FootnoteReference"/>
        </w:rPr>
        <w:footnoteRef/>
      </w:r>
      <w:r>
        <w:t xml:space="preserve"> </w:t>
      </w:r>
      <w:bookmarkStart w:id="11" w:name="_Hlk89161112"/>
      <w:r w:rsidRPr="00CE2D37">
        <w:t>Current credit-bearing provision comprises the University Foundation Certificate International Foundation Programme, the Stem Foundation Year, the level 3 Fastrack programme and foreign Language Study modules.</w:t>
      </w:r>
      <w:bookmarkEnd w:id="11"/>
    </w:p>
  </w:footnote>
  <w:footnote w:id="30">
    <w:p w14:paraId="3F65FADC" w14:textId="59D6BF12" w:rsidR="004D6AF8" w:rsidRDefault="004D6AF8" w:rsidP="003D249D">
      <w:pPr>
        <w:pStyle w:val="FootnoteText"/>
      </w:pPr>
      <w:r>
        <w:rPr>
          <w:rStyle w:val="FootnoteReference"/>
        </w:rPr>
        <w:footnoteRef/>
      </w:r>
      <w:r>
        <w:t xml:space="preserve"> A new School-based structure was introduced in the Faculty in 2019-20 however departments retain their individual identities for monitoring and review purposes.</w:t>
      </w:r>
    </w:p>
  </w:footnote>
  <w:footnote w:id="31">
    <w:p w14:paraId="4655AD80" w14:textId="786938A8" w:rsidR="004D6AF8" w:rsidRDefault="004D6AF8">
      <w:pPr>
        <w:pStyle w:val="FootnoteText"/>
      </w:pPr>
      <w:r>
        <w:rPr>
          <w:rStyle w:val="FootnoteReference"/>
        </w:rPr>
        <w:footnoteRef/>
      </w:r>
      <w:r>
        <w:t xml:space="preserve"> Merged department w.e.f. 2020-21.</w:t>
      </w:r>
    </w:p>
  </w:footnote>
  <w:footnote w:id="32">
    <w:p w14:paraId="3FC3CD94" w14:textId="77777777" w:rsidR="004D6AF8" w:rsidRDefault="004D6AF8" w:rsidP="00BB23B8">
      <w:pPr>
        <w:pStyle w:val="FootnoteText"/>
      </w:pPr>
      <w:r>
        <w:rPr>
          <w:rStyle w:val="FootnoteReference"/>
        </w:rPr>
        <w:footnoteRef/>
      </w:r>
      <w:r>
        <w:t xml:space="preserve"> Key Performance Indicators are defined by the University’s Directorate (senior management team).</w:t>
      </w:r>
    </w:p>
  </w:footnote>
  <w:footnote w:id="33">
    <w:p w14:paraId="1F75A88C" w14:textId="6E9467AE" w:rsidR="004D6AF8" w:rsidRDefault="004D6AF8" w:rsidP="00B73C62">
      <w:pPr>
        <w:pStyle w:val="FootnoteText"/>
      </w:pPr>
      <w:r>
        <w:rPr>
          <w:rStyle w:val="FootnoteReference"/>
        </w:rPr>
        <w:footnoteRef/>
      </w:r>
      <w:r>
        <w:t xml:space="preserve"> </w:t>
      </w:r>
      <w:r w:rsidRPr="00CF714D">
        <w:t>Heads of Department are provided with detailed datasets disaggregated by relevant protected characteristics to enable a full evaluation of their portfolio.</w:t>
      </w:r>
    </w:p>
  </w:footnote>
  <w:footnote w:id="34">
    <w:p w14:paraId="684380C4" w14:textId="660685C1" w:rsidR="004D6AF8" w:rsidRDefault="004D6AF8">
      <w:pPr>
        <w:pStyle w:val="FootnoteText"/>
      </w:pPr>
      <w:r>
        <w:rPr>
          <w:rStyle w:val="FootnoteReference"/>
        </w:rPr>
        <w:footnoteRef/>
      </w:r>
      <w:r>
        <w:t xml:space="preserve"> I.e., whether programmes have met or not met the national Expectations for Standards and Quality as set out in the </w:t>
      </w:r>
      <w:proofErr w:type="spellStart"/>
      <w:r>
        <w:t>OfS’s</w:t>
      </w:r>
      <w:proofErr w:type="spellEnd"/>
      <w:r>
        <w:t xml:space="preserve"> Regulatory Framework.</w:t>
      </w:r>
    </w:p>
  </w:footnote>
  <w:footnote w:id="35">
    <w:p w14:paraId="17BCDAFB" w14:textId="77777777" w:rsidR="004D6AF8" w:rsidRDefault="004D6AF8" w:rsidP="009E4AA4">
      <w:pPr>
        <w:pStyle w:val="FootnoteText"/>
      </w:pPr>
      <w:r>
        <w:rPr>
          <w:rStyle w:val="FootnoteReference"/>
        </w:rPr>
        <w:footnoteRef/>
      </w:r>
      <w:r>
        <w:t xml:space="preserve"> Normally at the February meeting.</w:t>
      </w:r>
    </w:p>
  </w:footnote>
  <w:footnote w:id="36">
    <w:p w14:paraId="58C887BB" w14:textId="3B935BD0" w:rsidR="004D6AF8" w:rsidRDefault="004D6AF8">
      <w:pPr>
        <w:pStyle w:val="FootnoteText"/>
      </w:pPr>
      <w:r>
        <w:rPr>
          <w:rStyle w:val="FootnoteReference"/>
        </w:rPr>
        <w:footnoteRef/>
      </w:r>
      <w:r>
        <w:t xml:space="preserve"> </w:t>
      </w:r>
      <w:hyperlink r:id="rId7" w:history="1">
        <w:r w:rsidR="00B10AA5" w:rsidRPr="00DC34D0">
          <w:rPr>
            <w:rStyle w:val="Hyperlink"/>
          </w:rPr>
          <w:t>https://go.edgehill.ac.uk/display/aqdu</w:t>
        </w:r>
      </w:hyperlink>
      <w:r w:rsidR="00B10AA5">
        <w:t xml:space="preserve"> </w:t>
      </w:r>
    </w:p>
  </w:footnote>
  <w:footnote w:id="37">
    <w:p w14:paraId="200C05C0" w14:textId="1BBD3A6F" w:rsidR="004D6AF8" w:rsidRDefault="004D6AF8">
      <w:pPr>
        <w:pStyle w:val="FootnoteText"/>
      </w:pPr>
      <w:r>
        <w:rPr>
          <w:rStyle w:val="FootnoteReference"/>
        </w:rPr>
        <w:footnoteRef/>
      </w:r>
      <w:r>
        <w:t xml:space="preserve"> Or delegated committee.</w:t>
      </w:r>
    </w:p>
  </w:footnote>
  <w:footnote w:id="38">
    <w:p w14:paraId="070E2599" w14:textId="554B9F10" w:rsidR="004D6AF8" w:rsidRDefault="004D6AF8" w:rsidP="001621DD">
      <w:pPr>
        <w:pStyle w:val="FootnoteText"/>
      </w:pPr>
      <w:r>
        <w:rPr>
          <w:rStyle w:val="FootnoteReference"/>
        </w:rPr>
        <w:footnoteRef/>
      </w:r>
      <w:r>
        <w:t xml:space="preserve"> At its February meeting.</w:t>
      </w:r>
    </w:p>
  </w:footnote>
  <w:footnote w:id="39">
    <w:p w14:paraId="32564A77" w14:textId="7044F045" w:rsidR="004D6AF8" w:rsidRDefault="004D6AF8" w:rsidP="00AB3248">
      <w:pPr>
        <w:pStyle w:val="FootnoteText"/>
      </w:pPr>
      <w:r>
        <w:rPr>
          <w:rStyle w:val="FootnoteReference"/>
        </w:rPr>
        <w:footnoteRef/>
      </w:r>
      <w:r>
        <w:t xml:space="preserve"> See Chapter 5. </w:t>
      </w:r>
    </w:p>
  </w:footnote>
  <w:footnote w:id="40">
    <w:p w14:paraId="33738130" w14:textId="77777777" w:rsidR="004D6AF8" w:rsidRDefault="004D6AF8" w:rsidP="00AB3248">
      <w:pPr>
        <w:pStyle w:val="FootnoteText"/>
      </w:pPr>
      <w:r>
        <w:rPr>
          <w:rStyle w:val="FootnoteReference"/>
        </w:rPr>
        <w:footnoteRef/>
      </w:r>
      <w:r>
        <w:t xml:space="preserve"> With representatives of partner organisations attending by invitation.</w:t>
      </w:r>
    </w:p>
  </w:footnote>
  <w:footnote w:id="41">
    <w:p w14:paraId="712FCCA0" w14:textId="41759685" w:rsidR="004D6AF8" w:rsidRDefault="004D6AF8" w:rsidP="00AB3248">
      <w:pPr>
        <w:pStyle w:val="FootnoteText"/>
      </w:pPr>
      <w:r>
        <w:rPr>
          <w:rStyle w:val="FootnoteReference"/>
        </w:rPr>
        <w:footnoteRef/>
      </w:r>
      <w:r>
        <w:t xml:space="preserve"> At its February meeting.</w:t>
      </w:r>
    </w:p>
  </w:footnote>
  <w:footnote w:id="42">
    <w:p w14:paraId="7EA13B22" w14:textId="77777777" w:rsidR="004D6AF8" w:rsidRDefault="004D6AF8" w:rsidP="4C084DA4">
      <w:pPr>
        <w:pStyle w:val="FootnoteText"/>
      </w:pPr>
      <w:r w:rsidRPr="4C084DA4">
        <w:rPr>
          <w:rStyle w:val="FootnoteReference"/>
        </w:rPr>
        <w:footnoteRef/>
      </w:r>
      <w:r>
        <w:t xml:space="preserve"> Jointly authored by the AQDU and Faculties.</w:t>
      </w:r>
    </w:p>
  </w:footnote>
  <w:footnote w:id="43">
    <w:p w14:paraId="06FED788" w14:textId="554B9F10" w:rsidR="004D6AF8" w:rsidRDefault="004D6AF8" w:rsidP="4C084DA4">
      <w:pPr>
        <w:pStyle w:val="FootnoteText"/>
      </w:pPr>
      <w:r w:rsidRPr="4C084DA4">
        <w:rPr>
          <w:rStyle w:val="FootnoteReference"/>
        </w:rPr>
        <w:footnoteRef/>
      </w:r>
      <w:r>
        <w:t xml:space="preserve"> At its February meeting.</w:t>
      </w:r>
    </w:p>
  </w:footnote>
  <w:footnote w:id="44">
    <w:p w14:paraId="4F68B60A" w14:textId="6D855A65" w:rsidR="004D6AF8" w:rsidRDefault="004D6AF8">
      <w:pPr>
        <w:pStyle w:val="FootnoteText"/>
      </w:pPr>
      <w:r>
        <w:rPr>
          <w:rStyle w:val="FootnoteReference"/>
        </w:rPr>
        <w:footnoteRef/>
      </w:r>
      <w:r>
        <w:t xml:space="preserve"> At its June meeting.</w:t>
      </w:r>
    </w:p>
  </w:footnote>
  <w:footnote w:id="45">
    <w:p w14:paraId="7F1C8208" w14:textId="063A896E" w:rsidR="004D6AF8" w:rsidRDefault="004D6AF8">
      <w:pPr>
        <w:pStyle w:val="FootnoteText"/>
      </w:pPr>
      <w:r>
        <w:rPr>
          <w:rStyle w:val="FootnoteReference"/>
        </w:rPr>
        <w:footnoteRef/>
      </w:r>
      <w:r>
        <w:t xml:space="preserve"> At its July meeting.</w:t>
      </w:r>
    </w:p>
  </w:footnote>
  <w:footnote w:id="46">
    <w:p w14:paraId="03B57C66" w14:textId="697280D9" w:rsidR="004D6AF8" w:rsidRDefault="004D6AF8">
      <w:pPr>
        <w:pStyle w:val="FootnoteText"/>
      </w:pPr>
      <w:r>
        <w:rPr>
          <w:rStyle w:val="FootnoteReference"/>
        </w:rPr>
        <w:footnoteRef/>
      </w:r>
      <w:r>
        <w:t xml:space="preserve"> See Chapter 4. </w:t>
      </w:r>
    </w:p>
  </w:footnote>
  <w:footnote w:id="47">
    <w:p w14:paraId="64720289" w14:textId="0DD6E11E" w:rsidR="004D6AF8" w:rsidRDefault="004D6AF8">
      <w:pPr>
        <w:pStyle w:val="FootnoteText"/>
      </w:pPr>
      <w:r>
        <w:rPr>
          <w:rStyle w:val="FootnoteReference"/>
        </w:rPr>
        <w:footnoteRef/>
      </w:r>
      <w:r>
        <w:t xml:space="preserve"> </w:t>
      </w:r>
      <w:proofErr w:type="gramStart"/>
      <w:r>
        <w:t>Also</w:t>
      </w:r>
      <w:proofErr w:type="gramEnd"/>
      <w:r>
        <w:t xml:space="preserve"> the Chair of AQEC.</w:t>
      </w:r>
    </w:p>
  </w:footnote>
  <w:footnote w:id="48">
    <w:p w14:paraId="04D8256E" w14:textId="3E11077A" w:rsidR="004D6AF8" w:rsidRDefault="004D6AF8">
      <w:pPr>
        <w:pStyle w:val="FootnoteText"/>
      </w:pPr>
      <w:r>
        <w:rPr>
          <w:rStyle w:val="FootnoteReference"/>
        </w:rPr>
        <w:footnoteRef/>
      </w:r>
      <w:r w:rsidRPr="4C084DA4">
        <w:t xml:space="preserve"> For more detail on the Office for Students and associated sector regulation see Chapter 1.</w:t>
      </w:r>
    </w:p>
  </w:footnote>
  <w:footnote w:id="49">
    <w:p w14:paraId="79CA9895" w14:textId="73F37C87" w:rsidR="004D6AF8" w:rsidRDefault="004D6AF8" w:rsidP="4C084DA4">
      <w:pPr>
        <w:pStyle w:val="FootnoteText"/>
      </w:pPr>
      <w:r w:rsidRPr="4C084DA4">
        <w:rPr>
          <w:rStyle w:val="FootnoteReference"/>
          <w:rFonts w:eastAsia="Calibri" w:cs="Arial"/>
        </w:rPr>
        <w:footnoteRef/>
      </w:r>
      <w:r w:rsidRPr="4C084DA4">
        <w:rPr>
          <w:rFonts w:eastAsia="Calibri" w:cs="Arial"/>
        </w:rPr>
        <w:t xml:space="preserve"> At its November meeting.</w:t>
      </w:r>
    </w:p>
  </w:footnote>
  <w:footnote w:id="50">
    <w:p w14:paraId="73209066" w14:textId="05C6AB9D" w:rsidR="004D6AF8" w:rsidRPr="001523A2" w:rsidRDefault="004D6AF8" w:rsidP="00B0042E">
      <w:pPr>
        <w:pStyle w:val="FootnoteText"/>
      </w:pPr>
      <w:r>
        <w:rPr>
          <w:rStyle w:val="FootnoteReference"/>
        </w:rPr>
        <w:footnoteRef/>
      </w:r>
      <w:r>
        <w:t xml:space="preserve"> See Chapter 4.  </w:t>
      </w:r>
    </w:p>
  </w:footnote>
  <w:footnote w:id="51">
    <w:p w14:paraId="43509609" w14:textId="77777777" w:rsidR="004D6AF8" w:rsidRDefault="004D6AF8">
      <w:pPr>
        <w:pStyle w:val="FootnoteText"/>
      </w:pPr>
      <w:r>
        <w:rPr>
          <w:rStyle w:val="FootnoteReference"/>
        </w:rPr>
        <w:footnoteRef/>
      </w:r>
      <w:r>
        <w:t xml:space="preserve"> Informing discussions that will take place during Departmental Academic Planning – see Chapter 4.</w:t>
      </w:r>
    </w:p>
  </w:footnote>
  <w:footnote w:id="52">
    <w:p w14:paraId="3F1D9A38" w14:textId="2950A990" w:rsidR="004D6AF8" w:rsidRDefault="004D6AF8" w:rsidP="004D6AF8">
      <w:pPr>
        <w:pStyle w:val="FootnoteText"/>
      </w:pPr>
      <w:r>
        <w:rPr>
          <w:rStyle w:val="FootnoteReference"/>
        </w:rPr>
        <w:footnoteRef/>
      </w:r>
      <w:r>
        <w:t xml:space="preserve"> See Chapter 4</w:t>
      </w:r>
      <w:r w:rsidRPr="00D65AD9">
        <w:t xml:space="preserve">, </w:t>
      </w:r>
      <w:r>
        <w:t xml:space="preserve">also </w:t>
      </w:r>
      <w:hyperlink r:id="rId8" w:history="1">
        <w:r w:rsidR="00B10AA5" w:rsidRPr="00DC34D0">
          <w:rPr>
            <w:rStyle w:val="Hyperlink"/>
          </w:rPr>
          <w:t>https://go.edgehill.ac.uk/pages/viewpage.action?pageId=71188453</w:t>
        </w:r>
      </w:hyperlink>
      <w:r w:rsidR="00B10AA5">
        <w:t>.</w:t>
      </w:r>
    </w:p>
  </w:footnote>
  <w:footnote w:id="53">
    <w:p w14:paraId="2510C2E0" w14:textId="052E6CAF" w:rsidR="004D6AF8" w:rsidRDefault="004D6AF8" w:rsidP="002D5C85">
      <w:pPr>
        <w:pStyle w:val="FootnoteText"/>
      </w:pPr>
      <w:r>
        <w:rPr>
          <w:rStyle w:val="FootnoteReference"/>
        </w:rPr>
        <w:footnoteRef/>
      </w:r>
      <w:r>
        <w:t xml:space="preserve"> </w:t>
      </w:r>
      <w:bookmarkStart w:id="23" w:name="_Hlk89157589"/>
      <w:r w:rsidRPr="004D6AF8">
        <w:t>Extraordinary DBA</w:t>
      </w:r>
      <w:r>
        <w:t xml:space="preserve"> </w:t>
      </w:r>
      <w:r w:rsidRPr="004D6AF8">
        <w:t>mechanism to grant continuing approval</w:t>
      </w:r>
      <w:r>
        <w:t>. Next scheduled review in 2025-26.</w:t>
      </w:r>
      <w:bookmarkEnd w:id="23"/>
    </w:p>
  </w:footnote>
  <w:footnote w:id="54">
    <w:p w14:paraId="0F10CB5E" w14:textId="3E65B47F" w:rsidR="004D6AF8" w:rsidRDefault="004D6AF8" w:rsidP="002D5C85">
      <w:pPr>
        <w:pStyle w:val="FootnoteText"/>
      </w:pPr>
      <w:r>
        <w:rPr>
          <w:rStyle w:val="FootnoteReference"/>
        </w:rPr>
        <w:footnoteRef/>
      </w:r>
      <w:r>
        <w:t xml:space="preserve"> </w:t>
      </w:r>
      <w:bookmarkStart w:id="24" w:name="_Hlk89157642"/>
      <w:r w:rsidRPr="004D6AF8">
        <w:t>Extraordinary DBA</w:t>
      </w:r>
      <w:r>
        <w:t xml:space="preserve"> </w:t>
      </w:r>
      <w:r w:rsidRPr="004D6AF8">
        <w:t>mechanism to grant continuing approval</w:t>
      </w:r>
      <w:r>
        <w:t>. Next scheduled review in 2025-26.</w:t>
      </w:r>
      <w:bookmarkEnd w:id="24"/>
    </w:p>
  </w:footnote>
  <w:footnote w:id="55">
    <w:p w14:paraId="51A11709" w14:textId="4B573BA4" w:rsidR="004D6AF8" w:rsidRDefault="004D6AF8" w:rsidP="4C084DA4">
      <w:pPr>
        <w:pStyle w:val="FootnoteText"/>
      </w:pPr>
      <w:r w:rsidRPr="4C084DA4">
        <w:rPr>
          <w:rStyle w:val="FootnoteReference"/>
          <w:rFonts w:eastAsia="Calibri" w:cs="Arial"/>
        </w:rPr>
        <w:footnoteRef/>
      </w:r>
      <w:r w:rsidRPr="4C084DA4">
        <w:rPr>
          <w:rFonts w:eastAsia="Calibri" w:cs="Arial"/>
        </w:rPr>
        <w:t xml:space="preserve"> </w:t>
      </w:r>
      <w:r w:rsidRPr="004D6AF8">
        <w:t>Extraordinary DBA</w:t>
      </w:r>
      <w:r>
        <w:t xml:space="preserve"> </w:t>
      </w:r>
      <w:r w:rsidRPr="004D6AF8">
        <w:t>mechanism to grant continuing approval</w:t>
      </w:r>
      <w:r>
        <w:t>. Next scheduled review in 2025-26.</w:t>
      </w:r>
    </w:p>
  </w:footnote>
  <w:footnote w:id="56">
    <w:p w14:paraId="47304B8E" w14:textId="171A88E4" w:rsidR="004D6AF8" w:rsidRDefault="004D6AF8" w:rsidP="4C084DA4">
      <w:pPr>
        <w:pStyle w:val="FootnoteText"/>
      </w:pPr>
      <w:r w:rsidRPr="4C084DA4">
        <w:rPr>
          <w:rStyle w:val="FootnoteReference"/>
          <w:rFonts w:eastAsia="Calibri" w:cs="Arial"/>
        </w:rPr>
        <w:footnoteRef/>
      </w:r>
      <w:r w:rsidRPr="4C084DA4">
        <w:rPr>
          <w:rFonts w:eastAsia="Calibri" w:cs="Arial"/>
        </w:rPr>
        <w:t xml:space="preserve"> Deferred from 2021-22.</w:t>
      </w:r>
    </w:p>
  </w:footnote>
  <w:footnote w:id="57">
    <w:p w14:paraId="1351E8AA" w14:textId="717FD361" w:rsidR="004D6AF8" w:rsidRDefault="004D6AF8" w:rsidP="00D47D4E">
      <w:pPr>
        <w:pStyle w:val="FootnoteText"/>
      </w:pPr>
      <w:r>
        <w:rPr>
          <w:rStyle w:val="FootnoteReference"/>
        </w:rPr>
        <w:footnoteRef/>
      </w:r>
      <w:r>
        <w:t xml:space="preserve"> To include the PGCert Teaching in Higher Education.</w:t>
      </w:r>
      <w:r w:rsidRPr="00D47D4E">
        <w:t xml:space="preserve"> </w:t>
      </w:r>
      <w:bookmarkStart w:id="25" w:name="_Hlk89157432"/>
      <w:r w:rsidRPr="00D47D4E">
        <w:t>Deferred from 2021-22.</w:t>
      </w:r>
      <w:bookmarkEnd w:id="25"/>
    </w:p>
  </w:footnote>
  <w:footnote w:id="58">
    <w:p w14:paraId="5063C23F" w14:textId="41038B2F" w:rsidR="004D6AF8" w:rsidRDefault="004D6AF8" w:rsidP="4C084DA4">
      <w:pPr>
        <w:pStyle w:val="FootnoteText"/>
      </w:pPr>
      <w:r w:rsidRPr="4C084DA4">
        <w:rPr>
          <w:rStyle w:val="FootnoteReference"/>
          <w:rFonts w:eastAsia="Calibri" w:cs="Arial"/>
        </w:rPr>
        <w:footnoteRef/>
      </w:r>
      <w:r w:rsidRPr="4C084DA4">
        <w:rPr>
          <w:rFonts w:eastAsia="Calibri" w:cs="Arial"/>
        </w:rPr>
        <w:t xml:space="preserve"> Deferred from 2021-22.</w:t>
      </w:r>
    </w:p>
  </w:footnote>
  <w:footnote w:id="59">
    <w:p w14:paraId="2F6EC0F8" w14:textId="5CFE7706" w:rsidR="004D6AF8" w:rsidRDefault="004D6AF8">
      <w:pPr>
        <w:pStyle w:val="FootnoteText"/>
      </w:pPr>
      <w:r>
        <w:rPr>
          <w:rStyle w:val="FootnoteReference"/>
        </w:rPr>
        <w:footnoteRef/>
      </w:r>
      <w:r>
        <w:t xml:space="preserve"> </w:t>
      </w:r>
      <w:r w:rsidRPr="00D47D4E">
        <w:t>Deferred from 2021-22.</w:t>
      </w:r>
    </w:p>
  </w:footnote>
  <w:footnote w:id="60">
    <w:p w14:paraId="2F1BC78A" w14:textId="457F03CD" w:rsidR="004D6AF8" w:rsidRDefault="004D6AF8" w:rsidP="4C084DA4">
      <w:pPr>
        <w:pStyle w:val="FootnoteText"/>
      </w:pPr>
      <w:r w:rsidRPr="4C084DA4">
        <w:rPr>
          <w:rStyle w:val="FootnoteReference"/>
          <w:rFonts w:eastAsia="Calibri" w:cs="Arial"/>
        </w:rPr>
        <w:footnoteRef/>
      </w:r>
      <w:r w:rsidRPr="4C084DA4">
        <w:rPr>
          <w:rFonts w:eastAsia="Calibri" w:cs="Arial"/>
        </w:rPr>
        <w:t xml:space="preserve"> Formerly the department of Children, Education and Communities</w:t>
      </w:r>
    </w:p>
  </w:footnote>
  <w:footnote w:id="61">
    <w:p w14:paraId="12568D46" w14:textId="77777777" w:rsidR="004D6AF8" w:rsidRDefault="004D6AF8" w:rsidP="002D5C85">
      <w:pPr>
        <w:pStyle w:val="FootnoteText"/>
      </w:pPr>
      <w:r>
        <w:rPr>
          <w:rStyle w:val="FootnoteReference"/>
        </w:rPr>
        <w:footnoteRef/>
      </w:r>
      <w:r>
        <w:t xml:space="preserve"> Formerly the departments of Media and Performing Arts.</w:t>
      </w:r>
    </w:p>
  </w:footnote>
  <w:footnote w:id="62">
    <w:p w14:paraId="1D766BC8" w14:textId="67EBF92D" w:rsidR="004D6AF8" w:rsidRDefault="004D6AF8" w:rsidP="002D5C85">
      <w:pPr>
        <w:pStyle w:val="FootnoteText"/>
      </w:pPr>
      <w:r>
        <w:rPr>
          <w:rStyle w:val="FootnoteReference"/>
        </w:rPr>
        <w:footnoteRef/>
      </w:r>
      <w:r>
        <w:t xml:space="preserve"> Credit-bearing provision comprises the University Foundation Certificate International Foundation Programme</w:t>
      </w:r>
      <w:r w:rsidR="00012128">
        <w:t>, the Stem Foundation Year, the level 3 Fastrack programme,</w:t>
      </w:r>
      <w:r>
        <w:t xml:space="preserve"> and foreign Language Study modules. </w:t>
      </w:r>
    </w:p>
  </w:footnote>
  <w:footnote w:id="63">
    <w:p w14:paraId="34F6534C" w14:textId="6AF4E6BE" w:rsidR="004D6AF8" w:rsidRDefault="004D6AF8" w:rsidP="002D5C85">
      <w:pPr>
        <w:pStyle w:val="FootnoteText"/>
      </w:pPr>
      <w:r>
        <w:rPr>
          <w:rStyle w:val="FootnoteReference"/>
        </w:rPr>
        <w:footnoteRef/>
      </w:r>
      <w:r>
        <w:t xml:space="preserve"> Combined department from 2020-21. Includes programmes transferred from the Partnerships and Practice Learning Unit in September 2019.</w:t>
      </w:r>
    </w:p>
  </w:footnote>
  <w:footnote w:id="64">
    <w:p w14:paraId="73623D9F" w14:textId="52ACCB3B" w:rsidR="004D6AF8" w:rsidRPr="00555A96" w:rsidRDefault="004D6AF8" w:rsidP="0010408C">
      <w:pPr>
        <w:pStyle w:val="FootnoteText"/>
      </w:pPr>
      <w:r>
        <w:rPr>
          <w:rStyle w:val="FootnoteReference"/>
        </w:rPr>
        <w:footnoteRef/>
      </w:r>
      <w:r>
        <w:t xml:space="preserve"> See Chapter 5.</w:t>
      </w:r>
    </w:p>
  </w:footnote>
  <w:footnote w:id="65">
    <w:p w14:paraId="1AE30176" w14:textId="56B127DB" w:rsidR="004D6AF8" w:rsidRPr="00555A96" w:rsidRDefault="004D6AF8" w:rsidP="0010408C">
      <w:pPr>
        <w:pStyle w:val="FootnoteText"/>
      </w:pPr>
      <w:r>
        <w:rPr>
          <w:rStyle w:val="FootnoteReference"/>
        </w:rPr>
        <w:footnoteRef/>
      </w:r>
      <w:r>
        <w:t xml:space="preserve"> See Chapter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0729" w14:textId="77777777" w:rsidR="004D6AF8" w:rsidRDefault="004D6AF8" w:rsidP="009E5938">
    <w:pPr>
      <w:pStyle w:val="Style1"/>
    </w:pPr>
    <w:r>
      <w:t>Edge Hill University</w:t>
    </w:r>
    <w:r>
      <w:tab/>
    </w:r>
    <w:r>
      <w:tab/>
      <w:t>Quality Management Handbook</w:t>
    </w:r>
  </w:p>
  <w:p w14:paraId="44D2A349" w14:textId="77777777" w:rsidR="004D6AF8" w:rsidRDefault="004D6AF8" w:rsidP="009E5938">
    <w:pPr>
      <w:pStyle w:val="Style1"/>
    </w:pPr>
    <w:r>
      <w:t xml:space="preserve">                                                             </w:t>
    </w:r>
    <w:r>
      <w:tab/>
      <w:t>Chapter 3 Annual Monitoring, Periodic Review and Internal Audit</w:t>
    </w:r>
  </w:p>
  <w:p w14:paraId="5FCEF6DE" w14:textId="77777777" w:rsidR="004D6AF8" w:rsidRDefault="004D6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D6AF8" w14:paraId="101F1FB8" w14:textId="77777777" w:rsidTr="07FE1F7C">
      <w:tc>
        <w:tcPr>
          <w:tcW w:w="3005" w:type="dxa"/>
        </w:tcPr>
        <w:p w14:paraId="18C55EE5" w14:textId="0876CF02" w:rsidR="004D6AF8" w:rsidRDefault="004D6AF8" w:rsidP="07FE1F7C">
          <w:pPr>
            <w:pStyle w:val="Header"/>
            <w:ind w:left="-115"/>
            <w:rPr>
              <w:rFonts w:eastAsia="Calibri" w:cs="Arial"/>
              <w:szCs w:val="24"/>
            </w:rPr>
          </w:pPr>
        </w:p>
      </w:tc>
      <w:tc>
        <w:tcPr>
          <w:tcW w:w="3005" w:type="dxa"/>
        </w:tcPr>
        <w:p w14:paraId="54235681" w14:textId="4680711D" w:rsidR="004D6AF8" w:rsidRDefault="004D6AF8" w:rsidP="07FE1F7C">
          <w:pPr>
            <w:pStyle w:val="Header"/>
            <w:jc w:val="center"/>
            <w:rPr>
              <w:rFonts w:eastAsia="Calibri" w:cs="Arial"/>
              <w:szCs w:val="24"/>
            </w:rPr>
          </w:pPr>
        </w:p>
      </w:tc>
      <w:tc>
        <w:tcPr>
          <w:tcW w:w="3005" w:type="dxa"/>
        </w:tcPr>
        <w:p w14:paraId="37863F6B" w14:textId="2D7336BD" w:rsidR="004D6AF8" w:rsidRDefault="004D6AF8" w:rsidP="07FE1F7C">
          <w:pPr>
            <w:pStyle w:val="Header"/>
            <w:ind w:right="-115"/>
            <w:jc w:val="right"/>
            <w:rPr>
              <w:rFonts w:eastAsia="Calibri" w:cs="Arial"/>
              <w:szCs w:val="24"/>
            </w:rPr>
          </w:pPr>
        </w:p>
      </w:tc>
    </w:tr>
  </w:tbl>
  <w:p w14:paraId="1032A08F" w14:textId="78D35E25" w:rsidR="004D6AF8" w:rsidRDefault="004D6AF8" w:rsidP="07FE1F7C">
    <w:pPr>
      <w:pStyle w:val="Header"/>
      <w:rPr>
        <w:rFonts w:eastAsia="Calibri"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531"/>
    <w:multiLevelType w:val="hybridMultilevel"/>
    <w:tmpl w:val="3F8C3988"/>
    <w:lvl w:ilvl="0" w:tplc="DBDC0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92AF4"/>
    <w:multiLevelType w:val="hybridMultilevel"/>
    <w:tmpl w:val="02D6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83C30"/>
    <w:multiLevelType w:val="hybridMultilevel"/>
    <w:tmpl w:val="953A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5F75"/>
    <w:multiLevelType w:val="hybridMultilevel"/>
    <w:tmpl w:val="405C96C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4764"/>
    <w:multiLevelType w:val="hybridMultilevel"/>
    <w:tmpl w:val="F834A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765B"/>
    <w:multiLevelType w:val="hybridMultilevel"/>
    <w:tmpl w:val="93B2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235D2"/>
    <w:multiLevelType w:val="hybridMultilevel"/>
    <w:tmpl w:val="51F0F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26405"/>
    <w:multiLevelType w:val="hybridMultilevel"/>
    <w:tmpl w:val="7EA4E2E6"/>
    <w:lvl w:ilvl="0" w:tplc="96EEC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80789"/>
    <w:multiLevelType w:val="hybridMultilevel"/>
    <w:tmpl w:val="A6442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25258"/>
    <w:multiLevelType w:val="hybridMultilevel"/>
    <w:tmpl w:val="A10A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F6E41"/>
    <w:multiLevelType w:val="hybridMultilevel"/>
    <w:tmpl w:val="07B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D155F"/>
    <w:multiLevelType w:val="hybridMultilevel"/>
    <w:tmpl w:val="0C80C890"/>
    <w:lvl w:ilvl="0" w:tplc="697AFA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130B0"/>
    <w:multiLevelType w:val="hybridMultilevel"/>
    <w:tmpl w:val="271CE426"/>
    <w:lvl w:ilvl="0" w:tplc="697AFA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33F77"/>
    <w:multiLevelType w:val="hybridMultilevel"/>
    <w:tmpl w:val="1696B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977B1"/>
    <w:multiLevelType w:val="hybridMultilevel"/>
    <w:tmpl w:val="14788B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D7DBE"/>
    <w:multiLevelType w:val="hybridMultilevel"/>
    <w:tmpl w:val="79F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749"/>
    <w:multiLevelType w:val="hybridMultilevel"/>
    <w:tmpl w:val="C6A07F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95677"/>
    <w:multiLevelType w:val="hybridMultilevel"/>
    <w:tmpl w:val="C48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568A2"/>
    <w:multiLevelType w:val="hybridMultilevel"/>
    <w:tmpl w:val="CEBA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C3BEA"/>
    <w:multiLevelType w:val="hybridMultilevel"/>
    <w:tmpl w:val="A12245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55687"/>
    <w:multiLevelType w:val="hybridMultilevel"/>
    <w:tmpl w:val="958CA5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AD7EB1"/>
    <w:multiLevelType w:val="hybridMultilevel"/>
    <w:tmpl w:val="3E8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44393"/>
    <w:multiLevelType w:val="hybridMultilevel"/>
    <w:tmpl w:val="46C6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C0D1B"/>
    <w:multiLevelType w:val="hybridMultilevel"/>
    <w:tmpl w:val="E750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1031A"/>
    <w:multiLevelType w:val="hybridMultilevel"/>
    <w:tmpl w:val="4D3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A50D9"/>
    <w:multiLevelType w:val="hybridMultilevel"/>
    <w:tmpl w:val="906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A6855"/>
    <w:multiLevelType w:val="hybridMultilevel"/>
    <w:tmpl w:val="AAE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7"/>
  </w:num>
  <w:num w:numId="4">
    <w:abstractNumId w:val="5"/>
  </w:num>
  <w:num w:numId="5">
    <w:abstractNumId w:val="21"/>
  </w:num>
  <w:num w:numId="6">
    <w:abstractNumId w:val="4"/>
  </w:num>
  <w:num w:numId="7">
    <w:abstractNumId w:val="26"/>
  </w:num>
  <w:num w:numId="8">
    <w:abstractNumId w:val="13"/>
  </w:num>
  <w:num w:numId="9">
    <w:abstractNumId w:val="19"/>
  </w:num>
  <w:num w:numId="10">
    <w:abstractNumId w:val="6"/>
  </w:num>
  <w:num w:numId="11">
    <w:abstractNumId w:val="8"/>
  </w:num>
  <w:num w:numId="12">
    <w:abstractNumId w:val="14"/>
  </w:num>
  <w:num w:numId="13">
    <w:abstractNumId w:val="1"/>
  </w:num>
  <w:num w:numId="14">
    <w:abstractNumId w:val="10"/>
  </w:num>
  <w:num w:numId="15">
    <w:abstractNumId w:val="9"/>
  </w:num>
  <w:num w:numId="16">
    <w:abstractNumId w:val="24"/>
  </w:num>
  <w:num w:numId="17">
    <w:abstractNumId w:val="20"/>
  </w:num>
  <w:num w:numId="18">
    <w:abstractNumId w:val="0"/>
  </w:num>
  <w:num w:numId="19">
    <w:abstractNumId w:val="2"/>
  </w:num>
  <w:num w:numId="20">
    <w:abstractNumId w:val="15"/>
  </w:num>
  <w:num w:numId="21">
    <w:abstractNumId w:val="12"/>
  </w:num>
  <w:num w:numId="22">
    <w:abstractNumId w:val="11"/>
  </w:num>
  <w:num w:numId="23">
    <w:abstractNumId w:val="3"/>
  </w:num>
  <w:num w:numId="24">
    <w:abstractNumId w:val="18"/>
  </w:num>
  <w:num w:numId="25">
    <w:abstractNumId w:val="16"/>
  </w:num>
  <w:num w:numId="26">
    <w:abstractNumId w:val="22"/>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0C13"/>
    <w:rsid w:val="00004AD1"/>
    <w:rsid w:val="00012128"/>
    <w:rsid w:val="0003066E"/>
    <w:rsid w:val="000424E0"/>
    <w:rsid w:val="00043960"/>
    <w:rsid w:val="00047208"/>
    <w:rsid w:val="000520E3"/>
    <w:rsid w:val="00060832"/>
    <w:rsid w:val="000638E4"/>
    <w:rsid w:val="00066BF1"/>
    <w:rsid w:val="00072F7F"/>
    <w:rsid w:val="00081C1F"/>
    <w:rsid w:val="00083A5B"/>
    <w:rsid w:val="00086FA7"/>
    <w:rsid w:val="00092900"/>
    <w:rsid w:val="00092A01"/>
    <w:rsid w:val="000A6C5E"/>
    <w:rsid w:val="000C07B8"/>
    <w:rsid w:val="000C3E44"/>
    <w:rsid w:val="000D10A0"/>
    <w:rsid w:val="000D4773"/>
    <w:rsid w:val="000E3F98"/>
    <w:rsid w:val="000F3143"/>
    <w:rsid w:val="0010408C"/>
    <w:rsid w:val="001209E7"/>
    <w:rsid w:val="001223E0"/>
    <w:rsid w:val="001225E9"/>
    <w:rsid w:val="001326DE"/>
    <w:rsid w:val="00135141"/>
    <w:rsid w:val="00146DDC"/>
    <w:rsid w:val="001523A2"/>
    <w:rsid w:val="001621DD"/>
    <w:rsid w:val="0017127B"/>
    <w:rsid w:val="00171DFB"/>
    <w:rsid w:val="001B4089"/>
    <w:rsid w:val="001B666C"/>
    <w:rsid w:val="001B7E18"/>
    <w:rsid w:val="001C2E79"/>
    <w:rsid w:val="001C38A6"/>
    <w:rsid w:val="001D157B"/>
    <w:rsid w:val="001D3728"/>
    <w:rsid w:val="001E0253"/>
    <w:rsid w:val="001E2BD0"/>
    <w:rsid w:val="002003E4"/>
    <w:rsid w:val="00207B7A"/>
    <w:rsid w:val="002124B4"/>
    <w:rsid w:val="002129EF"/>
    <w:rsid w:val="00213557"/>
    <w:rsid w:val="002176A3"/>
    <w:rsid w:val="00222FEF"/>
    <w:rsid w:val="0022466F"/>
    <w:rsid w:val="0023521B"/>
    <w:rsid w:val="00237C81"/>
    <w:rsid w:val="0024159C"/>
    <w:rsid w:val="00242672"/>
    <w:rsid w:val="0025550E"/>
    <w:rsid w:val="002651D6"/>
    <w:rsid w:val="0027147A"/>
    <w:rsid w:val="002A7FC0"/>
    <w:rsid w:val="002C3A4F"/>
    <w:rsid w:val="002C4361"/>
    <w:rsid w:val="002D0046"/>
    <w:rsid w:val="002D102E"/>
    <w:rsid w:val="002D2C20"/>
    <w:rsid w:val="002D5C85"/>
    <w:rsid w:val="002E396A"/>
    <w:rsid w:val="002E406E"/>
    <w:rsid w:val="00305848"/>
    <w:rsid w:val="00313D99"/>
    <w:rsid w:val="003155AA"/>
    <w:rsid w:val="00316C2F"/>
    <w:rsid w:val="0032315D"/>
    <w:rsid w:val="00331E08"/>
    <w:rsid w:val="003414C3"/>
    <w:rsid w:val="003446A8"/>
    <w:rsid w:val="00347792"/>
    <w:rsid w:val="00350D6F"/>
    <w:rsid w:val="00363C21"/>
    <w:rsid w:val="00372179"/>
    <w:rsid w:val="00372B48"/>
    <w:rsid w:val="003804EF"/>
    <w:rsid w:val="0038061D"/>
    <w:rsid w:val="00380790"/>
    <w:rsid w:val="0038093D"/>
    <w:rsid w:val="003826C8"/>
    <w:rsid w:val="003827EF"/>
    <w:rsid w:val="00386D01"/>
    <w:rsid w:val="003911DA"/>
    <w:rsid w:val="003A1485"/>
    <w:rsid w:val="003B23CA"/>
    <w:rsid w:val="003C1F3A"/>
    <w:rsid w:val="003C2D75"/>
    <w:rsid w:val="003D1543"/>
    <w:rsid w:val="003D249D"/>
    <w:rsid w:val="003D348A"/>
    <w:rsid w:val="003D3B40"/>
    <w:rsid w:val="003E1517"/>
    <w:rsid w:val="003E3B67"/>
    <w:rsid w:val="00403242"/>
    <w:rsid w:val="00410DE5"/>
    <w:rsid w:val="00412B6D"/>
    <w:rsid w:val="00415FF0"/>
    <w:rsid w:val="00423760"/>
    <w:rsid w:val="00423DA2"/>
    <w:rsid w:val="0043021C"/>
    <w:rsid w:val="00432A0A"/>
    <w:rsid w:val="0044384B"/>
    <w:rsid w:val="0044760B"/>
    <w:rsid w:val="0044793E"/>
    <w:rsid w:val="00461784"/>
    <w:rsid w:val="00464F71"/>
    <w:rsid w:val="00466A9B"/>
    <w:rsid w:val="004673BE"/>
    <w:rsid w:val="004701DA"/>
    <w:rsid w:val="00472ACC"/>
    <w:rsid w:val="004741F7"/>
    <w:rsid w:val="0047541D"/>
    <w:rsid w:val="004A01BD"/>
    <w:rsid w:val="004A7E90"/>
    <w:rsid w:val="004B6C6E"/>
    <w:rsid w:val="004C6BEC"/>
    <w:rsid w:val="004D3465"/>
    <w:rsid w:val="004D6AF8"/>
    <w:rsid w:val="004E7A54"/>
    <w:rsid w:val="004F1A19"/>
    <w:rsid w:val="004F4D60"/>
    <w:rsid w:val="004F5457"/>
    <w:rsid w:val="004F602A"/>
    <w:rsid w:val="0050174E"/>
    <w:rsid w:val="0052397E"/>
    <w:rsid w:val="00523E59"/>
    <w:rsid w:val="00526BED"/>
    <w:rsid w:val="00537A63"/>
    <w:rsid w:val="00544F50"/>
    <w:rsid w:val="00545CEF"/>
    <w:rsid w:val="00555A96"/>
    <w:rsid w:val="005579F8"/>
    <w:rsid w:val="00560CC0"/>
    <w:rsid w:val="005630E6"/>
    <w:rsid w:val="0056456B"/>
    <w:rsid w:val="00564B69"/>
    <w:rsid w:val="00572713"/>
    <w:rsid w:val="00591004"/>
    <w:rsid w:val="00596017"/>
    <w:rsid w:val="005A603C"/>
    <w:rsid w:val="005B3446"/>
    <w:rsid w:val="005B4C4D"/>
    <w:rsid w:val="005B4E4F"/>
    <w:rsid w:val="005B645E"/>
    <w:rsid w:val="005C2A6A"/>
    <w:rsid w:val="005D6D2C"/>
    <w:rsid w:val="005E7E1D"/>
    <w:rsid w:val="006006DD"/>
    <w:rsid w:val="006015D3"/>
    <w:rsid w:val="00612F92"/>
    <w:rsid w:val="00634C75"/>
    <w:rsid w:val="00654B24"/>
    <w:rsid w:val="00660306"/>
    <w:rsid w:val="00661E7E"/>
    <w:rsid w:val="0066282F"/>
    <w:rsid w:val="00674EC2"/>
    <w:rsid w:val="00682220"/>
    <w:rsid w:val="00682F51"/>
    <w:rsid w:val="00683A02"/>
    <w:rsid w:val="006879DC"/>
    <w:rsid w:val="00697685"/>
    <w:rsid w:val="006A0A8B"/>
    <w:rsid w:val="006B0B1E"/>
    <w:rsid w:val="006C49AF"/>
    <w:rsid w:val="006D0B83"/>
    <w:rsid w:val="006D41C1"/>
    <w:rsid w:val="006F0ED3"/>
    <w:rsid w:val="00714954"/>
    <w:rsid w:val="00722685"/>
    <w:rsid w:val="007228EF"/>
    <w:rsid w:val="007272DC"/>
    <w:rsid w:val="00732713"/>
    <w:rsid w:val="00742B3A"/>
    <w:rsid w:val="00742D2F"/>
    <w:rsid w:val="00742F8C"/>
    <w:rsid w:val="00750135"/>
    <w:rsid w:val="0075203F"/>
    <w:rsid w:val="00753C38"/>
    <w:rsid w:val="0076074D"/>
    <w:rsid w:val="00767718"/>
    <w:rsid w:val="00770F89"/>
    <w:rsid w:val="007723FD"/>
    <w:rsid w:val="00777F9F"/>
    <w:rsid w:val="00783EAA"/>
    <w:rsid w:val="00791ECD"/>
    <w:rsid w:val="00794B7D"/>
    <w:rsid w:val="00795AB0"/>
    <w:rsid w:val="007C6ABF"/>
    <w:rsid w:val="007E4A93"/>
    <w:rsid w:val="007E7382"/>
    <w:rsid w:val="007E7F16"/>
    <w:rsid w:val="007F2421"/>
    <w:rsid w:val="00803998"/>
    <w:rsid w:val="0081545D"/>
    <w:rsid w:val="00821642"/>
    <w:rsid w:val="0082611F"/>
    <w:rsid w:val="00836BDD"/>
    <w:rsid w:val="0083770D"/>
    <w:rsid w:val="00840176"/>
    <w:rsid w:val="008439B1"/>
    <w:rsid w:val="00847CF0"/>
    <w:rsid w:val="00863BD6"/>
    <w:rsid w:val="00866236"/>
    <w:rsid w:val="00866926"/>
    <w:rsid w:val="008743F2"/>
    <w:rsid w:val="00881F63"/>
    <w:rsid w:val="00882ED3"/>
    <w:rsid w:val="00886A28"/>
    <w:rsid w:val="0089316C"/>
    <w:rsid w:val="008B2FCB"/>
    <w:rsid w:val="008B2FD7"/>
    <w:rsid w:val="008B46BE"/>
    <w:rsid w:val="008B5806"/>
    <w:rsid w:val="008B678B"/>
    <w:rsid w:val="008C0D5F"/>
    <w:rsid w:val="008C4E7D"/>
    <w:rsid w:val="008D108D"/>
    <w:rsid w:val="008D2D53"/>
    <w:rsid w:val="00912476"/>
    <w:rsid w:val="00915423"/>
    <w:rsid w:val="0093140A"/>
    <w:rsid w:val="00932CD7"/>
    <w:rsid w:val="0094152C"/>
    <w:rsid w:val="00962AF8"/>
    <w:rsid w:val="00964430"/>
    <w:rsid w:val="00964E0D"/>
    <w:rsid w:val="00971F84"/>
    <w:rsid w:val="00980063"/>
    <w:rsid w:val="00982544"/>
    <w:rsid w:val="00983936"/>
    <w:rsid w:val="0098499E"/>
    <w:rsid w:val="00995235"/>
    <w:rsid w:val="00995C11"/>
    <w:rsid w:val="00995C62"/>
    <w:rsid w:val="009976A5"/>
    <w:rsid w:val="009A0AFF"/>
    <w:rsid w:val="009B26F2"/>
    <w:rsid w:val="009B6C21"/>
    <w:rsid w:val="009C3203"/>
    <w:rsid w:val="009D502D"/>
    <w:rsid w:val="009E4AA4"/>
    <w:rsid w:val="009E51B4"/>
    <w:rsid w:val="009E5938"/>
    <w:rsid w:val="00A01CA4"/>
    <w:rsid w:val="00A056B1"/>
    <w:rsid w:val="00A07635"/>
    <w:rsid w:val="00A2094B"/>
    <w:rsid w:val="00A2322D"/>
    <w:rsid w:val="00A5704C"/>
    <w:rsid w:val="00A57C22"/>
    <w:rsid w:val="00A663CB"/>
    <w:rsid w:val="00A718AB"/>
    <w:rsid w:val="00A727E1"/>
    <w:rsid w:val="00A73283"/>
    <w:rsid w:val="00A84A30"/>
    <w:rsid w:val="00A90AA3"/>
    <w:rsid w:val="00A94769"/>
    <w:rsid w:val="00A96DE3"/>
    <w:rsid w:val="00AA1253"/>
    <w:rsid w:val="00AA1A76"/>
    <w:rsid w:val="00AA2012"/>
    <w:rsid w:val="00AB3248"/>
    <w:rsid w:val="00AC756D"/>
    <w:rsid w:val="00AD5883"/>
    <w:rsid w:val="00AD6733"/>
    <w:rsid w:val="00AF05C4"/>
    <w:rsid w:val="00AF4D0C"/>
    <w:rsid w:val="00AF55A3"/>
    <w:rsid w:val="00B0042E"/>
    <w:rsid w:val="00B050ED"/>
    <w:rsid w:val="00B10AA5"/>
    <w:rsid w:val="00B10F05"/>
    <w:rsid w:val="00B31C0C"/>
    <w:rsid w:val="00B55F5E"/>
    <w:rsid w:val="00B627D8"/>
    <w:rsid w:val="00B62B01"/>
    <w:rsid w:val="00B70D3A"/>
    <w:rsid w:val="00B73C62"/>
    <w:rsid w:val="00B76B1C"/>
    <w:rsid w:val="00B8358E"/>
    <w:rsid w:val="00B85682"/>
    <w:rsid w:val="00B93299"/>
    <w:rsid w:val="00B952B8"/>
    <w:rsid w:val="00BA3B84"/>
    <w:rsid w:val="00BB23B8"/>
    <w:rsid w:val="00BC3298"/>
    <w:rsid w:val="00BC364B"/>
    <w:rsid w:val="00BC4EE9"/>
    <w:rsid w:val="00BE2185"/>
    <w:rsid w:val="00BE4A01"/>
    <w:rsid w:val="00BF473E"/>
    <w:rsid w:val="00BF6E78"/>
    <w:rsid w:val="00C1027B"/>
    <w:rsid w:val="00C15135"/>
    <w:rsid w:val="00C168C4"/>
    <w:rsid w:val="00C26E3F"/>
    <w:rsid w:val="00C40EA8"/>
    <w:rsid w:val="00C41302"/>
    <w:rsid w:val="00C4210C"/>
    <w:rsid w:val="00C425EC"/>
    <w:rsid w:val="00C947C4"/>
    <w:rsid w:val="00C97E2A"/>
    <w:rsid w:val="00CB4510"/>
    <w:rsid w:val="00CC20B4"/>
    <w:rsid w:val="00CC5F99"/>
    <w:rsid w:val="00CC6E44"/>
    <w:rsid w:val="00CC7002"/>
    <w:rsid w:val="00CE2D37"/>
    <w:rsid w:val="00CF503F"/>
    <w:rsid w:val="00CF714D"/>
    <w:rsid w:val="00CF75EE"/>
    <w:rsid w:val="00D012C7"/>
    <w:rsid w:val="00D05778"/>
    <w:rsid w:val="00D06081"/>
    <w:rsid w:val="00D11B4D"/>
    <w:rsid w:val="00D12600"/>
    <w:rsid w:val="00D138FD"/>
    <w:rsid w:val="00D228F8"/>
    <w:rsid w:val="00D243A7"/>
    <w:rsid w:val="00D2452B"/>
    <w:rsid w:val="00D3388F"/>
    <w:rsid w:val="00D34185"/>
    <w:rsid w:val="00D43FBB"/>
    <w:rsid w:val="00D45B06"/>
    <w:rsid w:val="00D47D4E"/>
    <w:rsid w:val="00D65AD9"/>
    <w:rsid w:val="00D8475F"/>
    <w:rsid w:val="00D92EB1"/>
    <w:rsid w:val="00D972E5"/>
    <w:rsid w:val="00DA4195"/>
    <w:rsid w:val="00DB142B"/>
    <w:rsid w:val="00DB393B"/>
    <w:rsid w:val="00DB4404"/>
    <w:rsid w:val="00DF3D01"/>
    <w:rsid w:val="00DF7C8E"/>
    <w:rsid w:val="00E06EF7"/>
    <w:rsid w:val="00E65E14"/>
    <w:rsid w:val="00E723D8"/>
    <w:rsid w:val="00E7663C"/>
    <w:rsid w:val="00E9210B"/>
    <w:rsid w:val="00E9284B"/>
    <w:rsid w:val="00EA64E6"/>
    <w:rsid w:val="00EB5FFC"/>
    <w:rsid w:val="00EC6E9A"/>
    <w:rsid w:val="00ED213B"/>
    <w:rsid w:val="00ED4315"/>
    <w:rsid w:val="00EE04D2"/>
    <w:rsid w:val="00EE212C"/>
    <w:rsid w:val="00EF6BCD"/>
    <w:rsid w:val="00EF6FDF"/>
    <w:rsid w:val="00F00079"/>
    <w:rsid w:val="00F02C96"/>
    <w:rsid w:val="00F05F36"/>
    <w:rsid w:val="00F10D34"/>
    <w:rsid w:val="00F149A4"/>
    <w:rsid w:val="00F20255"/>
    <w:rsid w:val="00F20C2F"/>
    <w:rsid w:val="00F26719"/>
    <w:rsid w:val="00F26E15"/>
    <w:rsid w:val="00F26F14"/>
    <w:rsid w:val="00F37138"/>
    <w:rsid w:val="00F43AB0"/>
    <w:rsid w:val="00F47902"/>
    <w:rsid w:val="00F51627"/>
    <w:rsid w:val="00F54EE6"/>
    <w:rsid w:val="00F7527F"/>
    <w:rsid w:val="00F77D73"/>
    <w:rsid w:val="00F84210"/>
    <w:rsid w:val="00FA48EA"/>
    <w:rsid w:val="00FA4C8F"/>
    <w:rsid w:val="00FA5A94"/>
    <w:rsid w:val="00FB73D4"/>
    <w:rsid w:val="00FC09D9"/>
    <w:rsid w:val="00FC4B80"/>
    <w:rsid w:val="00FD21EF"/>
    <w:rsid w:val="00FE075A"/>
    <w:rsid w:val="00FF667C"/>
    <w:rsid w:val="00FF75B5"/>
    <w:rsid w:val="00FF7926"/>
    <w:rsid w:val="010B337F"/>
    <w:rsid w:val="02B5E990"/>
    <w:rsid w:val="031DE5E7"/>
    <w:rsid w:val="0442D441"/>
    <w:rsid w:val="06DC7F2F"/>
    <w:rsid w:val="07826289"/>
    <w:rsid w:val="07C3FF79"/>
    <w:rsid w:val="07FE1F7C"/>
    <w:rsid w:val="0873FA6D"/>
    <w:rsid w:val="0B7B3916"/>
    <w:rsid w:val="0D170977"/>
    <w:rsid w:val="0D476B90"/>
    <w:rsid w:val="0F5AC5CB"/>
    <w:rsid w:val="0F90956B"/>
    <w:rsid w:val="12E7F970"/>
    <w:rsid w:val="136D229E"/>
    <w:rsid w:val="15CC5E71"/>
    <w:rsid w:val="15EA5166"/>
    <w:rsid w:val="16D18F0C"/>
    <w:rsid w:val="17217D89"/>
    <w:rsid w:val="172F0420"/>
    <w:rsid w:val="177F5DF6"/>
    <w:rsid w:val="1897F7F4"/>
    <w:rsid w:val="18D56E1A"/>
    <w:rsid w:val="18E2156A"/>
    <w:rsid w:val="1BBBFC82"/>
    <w:rsid w:val="1E4B8FD6"/>
    <w:rsid w:val="1ED9E981"/>
    <w:rsid w:val="22638212"/>
    <w:rsid w:val="23133182"/>
    <w:rsid w:val="2668A6DB"/>
    <w:rsid w:val="271F3ECA"/>
    <w:rsid w:val="29315221"/>
    <w:rsid w:val="29D78C6E"/>
    <w:rsid w:val="2B177CE8"/>
    <w:rsid w:val="2D37FEE8"/>
    <w:rsid w:val="308B1880"/>
    <w:rsid w:val="32E021ED"/>
    <w:rsid w:val="3442D961"/>
    <w:rsid w:val="353E906A"/>
    <w:rsid w:val="35DEA9C2"/>
    <w:rsid w:val="36237878"/>
    <w:rsid w:val="366AAAE7"/>
    <w:rsid w:val="37833B8F"/>
    <w:rsid w:val="380172A9"/>
    <w:rsid w:val="390D60DF"/>
    <w:rsid w:val="399D430A"/>
    <w:rsid w:val="3A8C4B38"/>
    <w:rsid w:val="3AA93140"/>
    <w:rsid w:val="3B7D662F"/>
    <w:rsid w:val="3C2D3AE9"/>
    <w:rsid w:val="3C870433"/>
    <w:rsid w:val="3D42DBD0"/>
    <w:rsid w:val="3D5A2885"/>
    <w:rsid w:val="3E249A01"/>
    <w:rsid w:val="3E313515"/>
    <w:rsid w:val="4038DCF0"/>
    <w:rsid w:val="41004781"/>
    <w:rsid w:val="44869225"/>
    <w:rsid w:val="45169694"/>
    <w:rsid w:val="4658861B"/>
    <w:rsid w:val="4708810F"/>
    <w:rsid w:val="47DC8961"/>
    <w:rsid w:val="482BABF2"/>
    <w:rsid w:val="48F23109"/>
    <w:rsid w:val="499D7138"/>
    <w:rsid w:val="4A64FFF7"/>
    <w:rsid w:val="4C084DA4"/>
    <w:rsid w:val="4C3A0BE0"/>
    <w:rsid w:val="4D5E9A36"/>
    <w:rsid w:val="4DC01286"/>
    <w:rsid w:val="4E70E25B"/>
    <w:rsid w:val="4E82704A"/>
    <w:rsid w:val="4F61728D"/>
    <w:rsid w:val="500CB2BC"/>
    <w:rsid w:val="507FD39F"/>
    <w:rsid w:val="5195B2EE"/>
    <w:rsid w:val="51DF446B"/>
    <w:rsid w:val="532BECCE"/>
    <w:rsid w:val="53E70417"/>
    <w:rsid w:val="58BA7A48"/>
    <w:rsid w:val="5A97EE7F"/>
    <w:rsid w:val="5C4CE288"/>
    <w:rsid w:val="5E1E67A4"/>
    <w:rsid w:val="5E4DBA1B"/>
    <w:rsid w:val="6238ED85"/>
    <w:rsid w:val="62DD00D2"/>
    <w:rsid w:val="633BF216"/>
    <w:rsid w:val="636132F4"/>
    <w:rsid w:val="65AC9B91"/>
    <w:rsid w:val="67486BF2"/>
    <w:rsid w:val="696F6C6B"/>
    <w:rsid w:val="69F4BE10"/>
    <w:rsid w:val="6B006EDD"/>
    <w:rsid w:val="6B908E71"/>
    <w:rsid w:val="6BBDE602"/>
    <w:rsid w:val="6BEF1169"/>
    <w:rsid w:val="6DB22473"/>
    <w:rsid w:val="6DBA1FC1"/>
    <w:rsid w:val="6F10D71A"/>
    <w:rsid w:val="6F442274"/>
    <w:rsid w:val="70E7B41B"/>
    <w:rsid w:val="70F50FB4"/>
    <w:rsid w:val="71B6457F"/>
    <w:rsid w:val="73BB7BB6"/>
    <w:rsid w:val="76CEF074"/>
    <w:rsid w:val="77419393"/>
    <w:rsid w:val="77EF82E3"/>
    <w:rsid w:val="79420174"/>
    <w:rsid w:val="7A62D90D"/>
    <w:rsid w:val="7A9BF1FA"/>
    <w:rsid w:val="7BC32EF9"/>
    <w:rsid w:val="7CE7BD4F"/>
    <w:rsid w:val="7F006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4E41"/>
  <w15:chartTrackingRefBased/>
  <w15:docId w15:val="{E14A50EA-AE77-4D6B-A90E-7C675264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6D41C1"/>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F10D34"/>
    <w:pPr>
      <w:keepNext/>
      <w:keepLines/>
      <w:spacing w:before="40" w:after="0"/>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DB14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6D41C1"/>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1326DE"/>
    <w:pPr>
      <w:tabs>
        <w:tab w:val="right" w:leader="dot" w:pos="9016"/>
      </w:tabs>
      <w:spacing w:after="100"/>
      <w:ind w:left="142" w:firstLine="142"/>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1326DE"/>
    <w:pPr>
      <w:tabs>
        <w:tab w:val="right" w:leader="dot" w:pos="9016"/>
      </w:tabs>
      <w:spacing w:after="100" w:line="360" w:lineRule="auto"/>
      <w:ind w:left="284"/>
    </w:pPr>
  </w:style>
  <w:style w:type="paragraph" w:styleId="TOC3">
    <w:name w:val="toc 3"/>
    <w:basedOn w:val="Normal"/>
    <w:next w:val="Normal"/>
    <w:autoRedefine/>
    <w:uiPriority w:val="39"/>
    <w:unhideWhenUsed/>
    <w:rsid w:val="001326DE"/>
    <w:pPr>
      <w:tabs>
        <w:tab w:val="right" w:leader="dot" w:pos="9016"/>
      </w:tabs>
      <w:spacing w:after="0" w:line="360" w:lineRule="auto"/>
      <w:ind w:left="284"/>
    </w:pPr>
  </w:style>
  <w:style w:type="character" w:customStyle="1" w:styleId="Heading5Char">
    <w:name w:val="Heading 5 Char"/>
    <w:basedOn w:val="DefaultParagraphFont"/>
    <w:link w:val="Heading5"/>
    <w:uiPriority w:val="9"/>
    <w:semiHidden/>
    <w:rsid w:val="00DB142B"/>
    <w:rPr>
      <w:rFonts w:asciiTheme="majorHAnsi" w:eastAsiaTheme="majorEastAsia" w:hAnsiTheme="majorHAnsi" w:cstheme="majorBidi"/>
      <w:color w:val="365F91" w:themeColor="accent1" w:themeShade="BF"/>
      <w:sz w:val="24"/>
    </w:rPr>
  </w:style>
  <w:style w:type="character" w:customStyle="1" w:styleId="Heading4Char">
    <w:name w:val="Heading 4 Char"/>
    <w:basedOn w:val="DefaultParagraphFont"/>
    <w:link w:val="Heading4"/>
    <w:uiPriority w:val="9"/>
    <w:rsid w:val="00F10D34"/>
    <w:rPr>
      <w:rFonts w:ascii="Calibri" w:eastAsiaTheme="majorEastAsia" w:hAnsi="Calibri" w:cstheme="majorBidi"/>
      <w:iCs/>
      <w:sz w:val="24"/>
      <w:u w:val="single"/>
    </w:rPr>
  </w:style>
  <w:style w:type="table" w:styleId="TableGrid">
    <w:name w:val="Table Grid"/>
    <w:basedOn w:val="TableNormal"/>
    <w:uiPriority w:val="59"/>
    <w:rsid w:val="00F1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0D34"/>
    <w:pPr>
      <w:widowControl w:val="0"/>
      <w:autoSpaceDE w:val="0"/>
      <w:autoSpaceDN w:val="0"/>
      <w:spacing w:after="0"/>
    </w:pPr>
    <w:rPr>
      <w:rFonts w:eastAsia="Calibri" w:cs="Calibri"/>
      <w:sz w:val="22"/>
      <w:lang w:val="en-US"/>
    </w:rPr>
  </w:style>
  <w:style w:type="paragraph" w:styleId="TOC4">
    <w:name w:val="toc 4"/>
    <w:basedOn w:val="Normal"/>
    <w:next w:val="Normal"/>
    <w:autoRedefine/>
    <w:uiPriority w:val="39"/>
    <w:unhideWhenUsed/>
    <w:rsid w:val="001E2BD0"/>
    <w:pPr>
      <w:spacing w:after="100"/>
      <w:ind w:left="720"/>
    </w:pPr>
  </w:style>
  <w:style w:type="paragraph" w:styleId="BalloonText">
    <w:name w:val="Balloon Text"/>
    <w:basedOn w:val="Normal"/>
    <w:link w:val="BalloonTextChar"/>
    <w:uiPriority w:val="99"/>
    <w:semiHidden/>
    <w:unhideWhenUsed/>
    <w:rsid w:val="003809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3D"/>
    <w:rPr>
      <w:rFonts w:ascii="Segoe UI" w:hAnsi="Segoe UI" w:cs="Segoe UI"/>
      <w:sz w:val="18"/>
      <w:szCs w:val="18"/>
    </w:rPr>
  </w:style>
  <w:style w:type="character" w:styleId="CommentReference">
    <w:name w:val="annotation reference"/>
    <w:basedOn w:val="DefaultParagraphFont"/>
    <w:uiPriority w:val="99"/>
    <w:semiHidden/>
    <w:unhideWhenUsed/>
    <w:rsid w:val="00A663CB"/>
    <w:rPr>
      <w:sz w:val="16"/>
      <w:szCs w:val="16"/>
    </w:rPr>
  </w:style>
  <w:style w:type="paragraph" w:styleId="CommentText">
    <w:name w:val="annotation text"/>
    <w:basedOn w:val="Normal"/>
    <w:link w:val="CommentTextChar"/>
    <w:uiPriority w:val="99"/>
    <w:semiHidden/>
    <w:unhideWhenUsed/>
    <w:rsid w:val="00A663CB"/>
    <w:rPr>
      <w:sz w:val="20"/>
      <w:szCs w:val="20"/>
    </w:rPr>
  </w:style>
  <w:style w:type="character" w:customStyle="1" w:styleId="CommentTextChar">
    <w:name w:val="Comment Text Char"/>
    <w:basedOn w:val="DefaultParagraphFont"/>
    <w:link w:val="CommentText"/>
    <w:uiPriority w:val="99"/>
    <w:semiHidden/>
    <w:rsid w:val="00A663C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663CB"/>
    <w:rPr>
      <w:b/>
      <w:bCs/>
    </w:rPr>
  </w:style>
  <w:style w:type="character" w:customStyle="1" w:styleId="CommentSubjectChar">
    <w:name w:val="Comment Subject Char"/>
    <w:basedOn w:val="CommentTextChar"/>
    <w:link w:val="CommentSubject"/>
    <w:uiPriority w:val="99"/>
    <w:semiHidden/>
    <w:rsid w:val="00A663CB"/>
    <w:rPr>
      <w:rFonts w:ascii="Calibri" w:hAnsi="Calibri"/>
      <w:b/>
      <w:bCs/>
      <w:sz w:val="20"/>
      <w:szCs w:val="20"/>
    </w:rPr>
  </w:style>
  <w:style w:type="character" w:styleId="FollowedHyperlink">
    <w:name w:val="FollowedHyperlink"/>
    <w:basedOn w:val="DefaultParagraphFont"/>
    <w:uiPriority w:val="99"/>
    <w:semiHidden/>
    <w:unhideWhenUsed/>
    <w:rsid w:val="00BC3298"/>
    <w:rPr>
      <w:color w:val="800080" w:themeColor="followedHyperlink"/>
      <w:u w:val="single"/>
    </w:rPr>
  </w:style>
  <w:style w:type="paragraph" w:styleId="Title">
    <w:name w:val="Title"/>
    <w:basedOn w:val="Normal"/>
    <w:next w:val="Normal"/>
    <w:link w:val="TitleChar"/>
    <w:uiPriority w:val="10"/>
    <w:qFormat/>
    <w:rsid w:val="00403242"/>
    <w:pPr>
      <w:spacing w:after="0"/>
      <w:contextualSpacing/>
    </w:pPr>
    <w:rPr>
      <w:rFonts w:eastAsiaTheme="majorEastAsia"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403242"/>
    <w:rPr>
      <w:rFonts w:ascii="Calibri" w:eastAsiaTheme="majorEastAsia" w:hAnsi="Calibri" w:cstheme="majorBidi"/>
      <w:color w:val="FFFFFF" w:themeColor="background1"/>
      <w:spacing w:val="-10"/>
      <w:kern w:val="28"/>
      <w:sz w:val="80"/>
      <w:szCs w:val="56"/>
    </w:rPr>
  </w:style>
  <w:style w:type="table" w:styleId="PlainTable1">
    <w:name w:val="Plain Table 1"/>
    <w:basedOn w:val="TableNormal"/>
    <w:uiPriority w:val="41"/>
    <w:rsid w:val="00316C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edgehill.ac.uk/display/aqdu/Key+Guidance+Docu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o.edgehill.ac.uk/pages/viewpage.action?pageId=71188453" TargetMode="External"/><Relationship Id="rId3" Type="http://schemas.openxmlformats.org/officeDocument/2006/relationships/hyperlink" Target="http://www.edgehill.ac.uk/documents/files/02-external-examiners.pdf" TargetMode="External"/><Relationship Id="rId7" Type="http://schemas.openxmlformats.org/officeDocument/2006/relationships/hyperlink" Target="https://go.edgehill.ac.uk/display/aqdu" TargetMode="External"/><Relationship Id="rId2" Type="http://schemas.openxmlformats.org/officeDocument/2006/relationships/hyperlink" Target="http://www.qaa.ac.uk/en/quality-code/advice-and-guidance/monitoring-and-evaluation" TargetMode="External"/><Relationship Id="rId1" Type="http://schemas.openxmlformats.org/officeDocument/2006/relationships/hyperlink" Target="http://www.officeforstudents.org.uk/advice-and-guidance/regulation/conditions-of-registration/" TargetMode="External"/><Relationship Id="rId6" Type="http://schemas.openxmlformats.org/officeDocument/2006/relationships/hyperlink" Target="http://www.equalityhumanrights.com/en/equality-act/protected-characteristics" TargetMode="External"/><Relationship Id="rId5" Type="http://schemas.openxmlformats.org/officeDocument/2006/relationships/hyperlink" Target="http://www.graduateoutcomes.ac.uk" TargetMode="External"/><Relationship Id="rId4" Type="http://schemas.openxmlformats.org/officeDocument/2006/relationships/hyperlink" Target="http://www.thestudentsurvey.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E9C9F-7A0F-4AA5-A700-7A7943B555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93F52882-EC00-4A2B-92B6-EBC2BA5F280C}">
      <dgm:prSet phldrT="[Text]" custT="1"/>
      <dgm:spPr/>
      <dgm:t>
        <a:bodyPr/>
        <a:lstStyle/>
        <a:p>
          <a:pPr algn="ctr"/>
          <a:r>
            <a:rPr lang="en-GB" sz="1200"/>
            <a:t>Evidence-based</a:t>
          </a:r>
        </a:p>
      </dgm:t>
    </dgm:pt>
    <dgm:pt modelId="{34DB6A30-B41D-418A-A0A3-03B5C64E38E3}" type="parTrans" cxnId="{74F86061-0429-43E1-A01E-37803B34C873}">
      <dgm:prSet/>
      <dgm:spPr/>
      <dgm:t>
        <a:bodyPr/>
        <a:lstStyle/>
        <a:p>
          <a:pPr algn="ctr"/>
          <a:endParaRPr lang="en-GB"/>
        </a:p>
      </dgm:t>
    </dgm:pt>
    <dgm:pt modelId="{C4DAB19D-EB34-4DE6-89DC-2371CE0FCA47}" type="sibTrans" cxnId="{74F86061-0429-43E1-A01E-37803B34C873}">
      <dgm:prSet/>
      <dgm:spPr/>
      <dgm:t>
        <a:bodyPr/>
        <a:lstStyle/>
        <a:p>
          <a:pPr algn="ctr"/>
          <a:endParaRPr lang="en-GB"/>
        </a:p>
      </dgm:t>
    </dgm:pt>
    <dgm:pt modelId="{E98726C4-C4FE-4630-AA21-A3F799EC8AD1}">
      <dgm:prSet phldrT="[Text]"/>
      <dgm:spPr/>
      <dgm:t>
        <a:bodyPr/>
        <a:lstStyle/>
        <a:p>
          <a:pPr algn="l"/>
          <a:r>
            <a:rPr lang="en-GB"/>
            <a:t>Lead (OfS) Indicators</a:t>
          </a:r>
        </a:p>
      </dgm:t>
    </dgm:pt>
    <dgm:pt modelId="{E04D6F5B-A166-4B6A-BB2A-16D1F9C2F781}" type="parTrans" cxnId="{BF14C793-3D6B-4652-AC95-DF7BFDCB29B8}">
      <dgm:prSet/>
      <dgm:spPr/>
      <dgm:t>
        <a:bodyPr/>
        <a:lstStyle/>
        <a:p>
          <a:pPr algn="ctr"/>
          <a:endParaRPr lang="en-GB"/>
        </a:p>
      </dgm:t>
    </dgm:pt>
    <dgm:pt modelId="{244DF570-B3D1-4F6C-B616-07BC9A937D70}" type="sibTrans" cxnId="{BF14C793-3D6B-4652-AC95-DF7BFDCB29B8}">
      <dgm:prSet/>
      <dgm:spPr/>
      <dgm:t>
        <a:bodyPr/>
        <a:lstStyle/>
        <a:p>
          <a:pPr algn="ctr"/>
          <a:endParaRPr lang="en-GB"/>
        </a:p>
      </dgm:t>
    </dgm:pt>
    <dgm:pt modelId="{F67EAE5B-9774-46E8-A77B-B546E931580D}">
      <dgm:prSet phldrT="[Text]" custT="1"/>
      <dgm:spPr/>
      <dgm:t>
        <a:bodyPr/>
        <a:lstStyle/>
        <a:p>
          <a:pPr algn="ctr"/>
          <a:r>
            <a:rPr lang="en-GB" sz="1200"/>
            <a:t>Risk-based</a:t>
          </a:r>
        </a:p>
      </dgm:t>
    </dgm:pt>
    <dgm:pt modelId="{F19E421C-29FE-42D3-AF9C-003212F9C741}" type="parTrans" cxnId="{DA243F05-0D59-4DB0-94C4-8368059E4A10}">
      <dgm:prSet/>
      <dgm:spPr/>
      <dgm:t>
        <a:bodyPr/>
        <a:lstStyle/>
        <a:p>
          <a:pPr algn="ctr"/>
          <a:endParaRPr lang="en-GB"/>
        </a:p>
      </dgm:t>
    </dgm:pt>
    <dgm:pt modelId="{5659D409-54A9-4E6F-81CD-698221F9EA61}" type="sibTrans" cxnId="{DA243F05-0D59-4DB0-94C4-8368059E4A10}">
      <dgm:prSet/>
      <dgm:spPr/>
      <dgm:t>
        <a:bodyPr/>
        <a:lstStyle/>
        <a:p>
          <a:pPr algn="ctr"/>
          <a:endParaRPr lang="en-GB"/>
        </a:p>
      </dgm:t>
    </dgm:pt>
    <dgm:pt modelId="{CDAD70C8-8CFE-4786-BE3E-AB4498A78FE5}">
      <dgm:prSet phldrT="[Text]"/>
      <dgm:spPr/>
      <dgm:t>
        <a:bodyPr/>
        <a:lstStyle/>
        <a:p>
          <a:pPr algn="l"/>
          <a:r>
            <a:rPr lang="en-GB"/>
            <a:t>Evaluative</a:t>
          </a:r>
        </a:p>
      </dgm:t>
    </dgm:pt>
    <dgm:pt modelId="{668546FC-A609-464B-AAEA-4B473C4DA89A}" type="parTrans" cxnId="{1C1740E1-505C-4FB5-B033-90D9B4209800}">
      <dgm:prSet/>
      <dgm:spPr/>
      <dgm:t>
        <a:bodyPr/>
        <a:lstStyle/>
        <a:p>
          <a:pPr algn="ctr"/>
          <a:endParaRPr lang="en-GB"/>
        </a:p>
      </dgm:t>
    </dgm:pt>
    <dgm:pt modelId="{E93BE99D-18A9-4FE5-9088-3F4CAEA444B4}" type="sibTrans" cxnId="{1C1740E1-505C-4FB5-B033-90D9B4209800}">
      <dgm:prSet/>
      <dgm:spPr/>
      <dgm:t>
        <a:bodyPr/>
        <a:lstStyle/>
        <a:p>
          <a:pPr algn="ctr"/>
          <a:endParaRPr lang="en-GB"/>
        </a:p>
      </dgm:t>
    </dgm:pt>
    <dgm:pt modelId="{678326D6-891C-4C85-9F3D-498F92B3F0AB}">
      <dgm:prSet phldrT="[Text]" custT="1"/>
      <dgm:spPr/>
      <dgm:t>
        <a:bodyPr/>
        <a:lstStyle/>
        <a:p>
          <a:pPr algn="ctr"/>
          <a:r>
            <a:rPr lang="en-GB" sz="1200"/>
            <a:t>Enhancement-Focussed</a:t>
          </a:r>
        </a:p>
      </dgm:t>
    </dgm:pt>
    <dgm:pt modelId="{6265F809-F6F2-40FE-A5EE-B26C0708587E}" type="parTrans" cxnId="{55C57B1C-A30A-42D6-9F68-99ED683A7A88}">
      <dgm:prSet/>
      <dgm:spPr/>
      <dgm:t>
        <a:bodyPr/>
        <a:lstStyle/>
        <a:p>
          <a:pPr algn="ctr"/>
          <a:endParaRPr lang="en-GB"/>
        </a:p>
      </dgm:t>
    </dgm:pt>
    <dgm:pt modelId="{99859196-D72E-4C83-BB21-434FEC656060}" type="sibTrans" cxnId="{55C57B1C-A30A-42D6-9F68-99ED683A7A88}">
      <dgm:prSet/>
      <dgm:spPr/>
      <dgm:t>
        <a:bodyPr/>
        <a:lstStyle/>
        <a:p>
          <a:pPr algn="ctr"/>
          <a:endParaRPr lang="en-GB"/>
        </a:p>
      </dgm:t>
    </dgm:pt>
    <dgm:pt modelId="{CDE8C2A4-59B1-415A-BAA1-51042C105BB9}">
      <dgm:prSet phldrT="[Text]"/>
      <dgm:spPr/>
      <dgm:t>
        <a:bodyPr/>
        <a:lstStyle/>
        <a:p>
          <a:pPr algn="l"/>
          <a:r>
            <a:rPr lang="en-GB"/>
            <a:t>Strategic</a:t>
          </a:r>
          <a:endParaRPr lang="en-GB" b="0"/>
        </a:p>
      </dgm:t>
    </dgm:pt>
    <dgm:pt modelId="{2B5B21C2-ED6C-4BC7-BBF8-811359528358}" type="parTrans" cxnId="{7A54776F-D29E-4AAE-BF87-4C2873A5A12C}">
      <dgm:prSet/>
      <dgm:spPr/>
      <dgm:t>
        <a:bodyPr/>
        <a:lstStyle/>
        <a:p>
          <a:pPr algn="ctr"/>
          <a:endParaRPr lang="en-GB"/>
        </a:p>
      </dgm:t>
    </dgm:pt>
    <dgm:pt modelId="{CA7572EB-818E-4FD4-954A-42E3E3ABB209}" type="sibTrans" cxnId="{7A54776F-D29E-4AAE-BF87-4C2873A5A12C}">
      <dgm:prSet/>
      <dgm:spPr/>
      <dgm:t>
        <a:bodyPr/>
        <a:lstStyle/>
        <a:p>
          <a:pPr algn="ctr"/>
          <a:endParaRPr lang="en-GB"/>
        </a:p>
      </dgm:t>
    </dgm:pt>
    <dgm:pt modelId="{A0DAF0A4-7B7F-40D9-BDF8-4A5860F79058}">
      <dgm:prSet phldrT="[Text]"/>
      <dgm:spPr/>
      <dgm:t>
        <a:bodyPr/>
        <a:lstStyle/>
        <a:p>
          <a:pPr algn="l"/>
          <a:r>
            <a:rPr lang="en-GB"/>
            <a:t>Predictive</a:t>
          </a:r>
        </a:p>
      </dgm:t>
    </dgm:pt>
    <dgm:pt modelId="{BC7CF120-D844-471D-9045-591EDEC8706B}" type="parTrans" cxnId="{BF1A656A-CC2B-4C1F-B2D1-61A099920FAB}">
      <dgm:prSet/>
      <dgm:spPr/>
      <dgm:t>
        <a:bodyPr/>
        <a:lstStyle/>
        <a:p>
          <a:pPr algn="ctr"/>
          <a:endParaRPr lang="en-GB"/>
        </a:p>
      </dgm:t>
    </dgm:pt>
    <dgm:pt modelId="{040D8A5D-8289-408A-90C2-3B1D4E8F672B}" type="sibTrans" cxnId="{BF1A656A-CC2B-4C1F-B2D1-61A099920FAB}">
      <dgm:prSet/>
      <dgm:spPr/>
      <dgm:t>
        <a:bodyPr/>
        <a:lstStyle/>
        <a:p>
          <a:pPr algn="ctr"/>
          <a:endParaRPr lang="en-GB"/>
        </a:p>
      </dgm:t>
    </dgm:pt>
    <dgm:pt modelId="{5A71F01F-9518-40C3-B8BE-821749C7604B}">
      <dgm:prSet phldrT="[Text]"/>
      <dgm:spPr/>
      <dgm:t>
        <a:bodyPr/>
        <a:lstStyle/>
        <a:p>
          <a:pPr algn="l"/>
          <a:r>
            <a:rPr lang="en-GB"/>
            <a:t>Proportionate</a:t>
          </a:r>
        </a:p>
      </dgm:t>
    </dgm:pt>
    <dgm:pt modelId="{4749C1DB-9586-4A06-98AA-C1191AB04DB0}" type="parTrans" cxnId="{0E582DF0-3B36-4080-9B7A-6FB86AAD1149}">
      <dgm:prSet/>
      <dgm:spPr/>
      <dgm:t>
        <a:bodyPr/>
        <a:lstStyle/>
        <a:p>
          <a:pPr algn="ctr"/>
          <a:endParaRPr lang="en-GB"/>
        </a:p>
      </dgm:t>
    </dgm:pt>
    <dgm:pt modelId="{34E50750-BC31-4FEA-B963-51874A4482CA}" type="sibTrans" cxnId="{0E582DF0-3B36-4080-9B7A-6FB86AAD1149}">
      <dgm:prSet/>
      <dgm:spPr/>
      <dgm:t>
        <a:bodyPr/>
        <a:lstStyle/>
        <a:p>
          <a:pPr algn="ctr"/>
          <a:endParaRPr lang="en-GB"/>
        </a:p>
      </dgm:t>
    </dgm:pt>
    <dgm:pt modelId="{02CCF4A7-0A30-4CF0-882F-B1FBE63D8353}">
      <dgm:prSet phldrT="[Text]"/>
      <dgm:spPr/>
      <dgm:t>
        <a:bodyPr/>
        <a:lstStyle/>
        <a:p>
          <a:pPr algn="ctr"/>
          <a:endParaRPr lang="en-GB"/>
        </a:p>
      </dgm:t>
    </dgm:pt>
    <dgm:pt modelId="{51BEB0EB-D687-4E08-9125-5E36536A64D9}" type="parTrans" cxnId="{2B72EA27-948B-4A98-8E71-BB1F98FDFCB1}">
      <dgm:prSet/>
      <dgm:spPr/>
      <dgm:t>
        <a:bodyPr/>
        <a:lstStyle/>
        <a:p>
          <a:pPr algn="ctr"/>
          <a:endParaRPr lang="en-GB"/>
        </a:p>
      </dgm:t>
    </dgm:pt>
    <dgm:pt modelId="{AED7B016-3A0A-4797-BF32-A1C488BC3286}" type="sibTrans" cxnId="{2B72EA27-948B-4A98-8E71-BB1F98FDFCB1}">
      <dgm:prSet/>
      <dgm:spPr/>
      <dgm:t>
        <a:bodyPr/>
        <a:lstStyle/>
        <a:p>
          <a:pPr algn="ctr"/>
          <a:endParaRPr lang="en-GB"/>
        </a:p>
      </dgm:t>
    </dgm:pt>
    <dgm:pt modelId="{8A7C64E7-831B-4B91-A6DD-80CB9B60E677}">
      <dgm:prSet phldrT="[Text]"/>
      <dgm:spPr/>
      <dgm:t>
        <a:bodyPr/>
        <a:lstStyle/>
        <a:p>
          <a:pPr algn="l"/>
          <a:r>
            <a:rPr lang="en-GB"/>
            <a:t>Responsive</a:t>
          </a:r>
        </a:p>
      </dgm:t>
    </dgm:pt>
    <dgm:pt modelId="{43B3A6B9-F3CD-48CC-97F2-567E89AE6028}" type="parTrans" cxnId="{AA481FC2-2995-4C60-90DF-A44B7DD3D840}">
      <dgm:prSet/>
      <dgm:spPr/>
      <dgm:t>
        <a:bodyPr/>
        <a:lstStyle/>
        <a:p>
          <a:pPr algn="ctr"/>
          <a:endParaRPr lang="en-GB"/>
        </a:p>
      </dgm:t>
    </dgm:pt>
    <dgm:pt modelId="{52E8AEF0-7A9B-4559-A8B9-3E3177065FD3}" type="sibTrans" cxnId="{AA481FC2-2995-4C60-90DF-A44B7DD3D840}">
      <dgm:prSet/>
      <dgm:spPr/>
      <dgm:t>
        <a:bodyPr/>
        <a:lstStyle/>
        <a:p>
          <a:pPr algn="ctr"/>
          <a:endParaRPr lang="en-GB"/>
        </a:p>
      </dgm:t>
    </dgm:pt>
    <dgm:pt modelId="{9820D822-941E-471F-9B77-128491E8995D}">
      <dgm:prSet phldrT="[Text]"/>
      <dgm:spPr/>
      <dgm:t>
        <a:bodyPr/>
        <a:lstStyle/>
        <a:p>
          <a:pPr algn="l"/>
          <a:r>
            <a:rPr lang="en-GB"/>
            <a:t>Selective</a:t>
          </a:r>
          <a:endParaRPr lang="en-GB" b="0"/>
        </a:p>
      </dgm:t>
    </dgm:pt>
    <dgm:pt modelId="{28897928-AC31-4895-92A1-BAA11E713917}" type="parTrans" cxnId="{EC3CC9EF-28C1-4F32-AFCA-6DB9B85FC75A}">
      <dgm:prSet/>
      <dgm:spPr/>
      <dgm:t>
        <a:bodyPr/>
        <a:lstStyle/>
        <a:p>
          <a:pPr algn="ctr"/>
          <a:endParaRPr lang="en-GB"/>
        </a:p>
      </dgm:t>
    </dgm:pt>
    <dgm:pt modelId="{B9BCEA19-397F-48AC-9A95-98C731E99620}" type="sibTrans" cxnId="{EC3CC9EF-28C1-4F32-AFCA-6DB9B85FC75A}">
      <dgm:prSet/>
      <dgm:spPr/>
      <dgm:t>
        <a:bodyPr/>
        <a:lstStyle/>
        <a:p>
          <a:pPr algn="ctr"/>
          <a:endParaRPr lang="en-GB"/>
        </a:p>
      </dgm:t>
    </dgm:pt>
    <dgm:pt modelId="{9F924C45-261A-42C4-B9EC-C8F12459512D}">
      <dgm:prSet phldrT="[Text]"/>
      <dgm:spPr/>
      <dgm:t>
        <a:bodyPr/>
        <a:lstStyle/>
        <a:p>
          <a:pPr algn="l"/>
          <a:r>
            <a:rPr lang="en-GB"/>
            <a:t>Systematic</a:t>
          </a:r>
          <a:endParaRPr lang="en-GB" b="0"/>
        </a:p>
      </dgm:t>
    </dgm:pt>
    <dgm:pt modelId="{685ABB04-15B5-4D0E-95B4-44AA2FDCA32D}" type="parTrans" cxnId="{DB654788-FAA1-4153-8117-FA820F01B2E6}">
      <dgm:prSet/>
      <dgm:spPr/>
      <dgm:t>
        <a:bodyPr/>
        <a:lstStyle/>
        <a:p>
          <a:pPr algn="ctr"/>
          <a:endParaRPr lang="en-GB"/>
        </a:p>
      </dgm:t>
    </dgm:pt>
    <dgm:pt modelId="{3FEB75FE-DEBF-4981-ABED-3100BA174C77}" type="sibTrans" cxnId="{DB654788-FAA1-4153-8117-FA820F01B2E6}">
      <dgm:prSet/>
      <dgm:spPr/>
      <dgm:t>
        <a:bodyPr/>
        <a:lstStyle/>
        <a:p>
          <a:pPr algn="ctr"/>
          <a:endParaRPr lang="en-GB"/>
        </a:p>
      </dgm:t>
    </dgm:pt>
    <dgm:pt modelId="{88B4D43E-1D50-4163-AD30-97FA14E60F79}">
      <dgm:prSet phldrT="[Text]"/>
      <dgm:spPr/>
      <dgm:t>
        <a:bodyPr/>
        <a:lstStyle/>
        <a:p>
          <a:pPr algn="l"/>
          <a:r>
            <a:rPr lang="en-GB"/>
            <a:t>Action-focussed</a:t>
          </a:r>
        </a:p>
      </dgm:t>
    </dgm:pt>
    <dgm:pt modelId="{4E125F86-2B5F-4942-B59D-481244D8CC2C}" type="parTrans" cxnId="{1F88C05D-D0B9-4004-A3DE-3A15790B2152}">
      <dgm:prSet/>
      <dgm:spPr/>
      <dgm:t>
        <a:bodyPr/>
        <a:lstStyle/>
        <a:p>
          <a:pPr algn="ctr"/>
          <a:endParaRPr lang="en-GB"/>
        </a:p>
      </dgm:t>
    </dgm:pt>
    <dgm:pt modelId="{F5A533B5-1A77-429B-BCD7-DD7562A14068}" type="sibTrans" cxnId="{1F88C05D-D0B9-4004-A3DE-3A15790B2152}">
      <dgm:prSet/>
      <dgm:spPr/>
      <dgm:t>
        <a:bodyPr/>
        <a:lstStyle/>
        <a:p>
          <a:pPr algn="ctr"/>
          <a:endParaRPr lang="en-GB"/>
        </a:p>
      </dgm:t>
    </dgm:pt>
    <dgm:pt modelId="{37C24F88-D39E-4EEC-B351-75E777648D5B}">
      <dgm:prSet phldrT="[Text]"/>
      <dgm:spPr/>
      <dgm:t>
        <a:bodyPr/>
        <a:lstStyle/>
        <a:p>
          <a:pPr algn="l"/>
          <a:r>
            <a:rPr lang="en-GB"/>
            <a:t>Other data/KPIs as defined by Directorate</a:t>
          </a:r>
        </a:p>
      </dgm:t>
    </dgm:pt>
    <dgm:pt modelId="{CBFA295B-5426-482D-9467-CA2A746B9737}" type="sibTrans" cxnId="{6CE7F91C-60F7-4F50-A174-79D81D3DDF37}">
      <dgm:prSet/>
      <dgm:spPr/>
      <dgm:t>
        <a:bodyPr/>
        <a:lstStyle/>
        <a:p>
          <a:pPr algn="ctr"/>
          <a:endParaRPr lang="en-GB"/>
        </a:p>
      </dgm:t>
    </dgm:pt>
    <dgm:pt modelId="{59EA00C3-E023-41BB-9049-77E956AB2BB6}" type="parTrans" cxnId="{6CE7F91C-60F7-4F50-A174-79D81D3DDF37}">
      <dgm:prSet/>
      <dgm:spPr/>
      <dgm:t>
        <a:bodyPr/>
        <a:lstStyle/>
        <a:p>
          <a:pPr algn="ctr"/>
          <a:endParaRPr lang="en-GB"/>
        </a:p>
      </dgm:t>
    </dgm:pt>
    <dgm:pt modelId="{588C14B1-CF1A-4775-929D-ACDEF6799336}">
      <dgm:prSet phldrT="[Text]"/>
      <dgm:spPr/>
      <dgm:t>
        <a:bodyPr/>
        <a:lstStyle/>
        <a:p>
          <a:pPr algn="l"/>
          <a:r>
            <a:rPr lang="en-GB"/>
            <a:t>Stakeholder &amp; Student Feedback</a:t>
          </a:r>
        </a:p>
      </dgm:t>
    </dgm:pt>
    <dgm:pt modelId="{46070A27-C157-426A-AE2C-0B77246D7546}" type="sibTrans" cxnId="{0DF208AA-1F1E-4150-AFCF-DED1BC33AC39}">
      <dgm:prSet/>
      <dgm:spPr/>
      <dgm:t>
        <a:bodyPr/>
        <a:lstStyle/>
        <a:p>
          <a:pPr algn="ctr"/>
          <a:endParaRPr lang="en-GB"/>
        </a:p>
      </dgm:t>
    </dgm:pt>
    <dgm:pt modelId="{86A3EAFE-C56B-44CD-BC73-3FEBC6B1866F}" type="parTrans" cxnId="{0DF208AA-1F1E-4150-AFCF-DED1BC33AC39}">
      <dgm:prSet/>
      <dgm:spPr/>
      <dgm:t>
        <a:bodyPr/>
        <a:lstStyle/>
        <a:p>
          <a:pPr algn="ctr"/>
          <a:endParaRPr lang="en-GB"/>
        </a:p>
      </dgm:t>
    </dgm:pt>
    <dgm:pt modelId="{52D8150F-D5D1-4499-99CA-3766E479B23E}">
      <dgm:prSet phldrT="[Text]"/>
      <dgm:spPr/>
      <dgm:t>
        <a:bodyPr/>
        <a:lstStyle/>
        <a:p>
          <a:pPr algn="l"/>
          <a:r>
            <a:rPr lang="en-GB"/>
            <a:t>External Examiners' Reports </a:t>
          </a:r>
        </a:p>
      </dgm:t>
    </dgm:pt>
    <dgm:pt modelId="{32F2F3D6-1153-42A1-B420-6B76AF918383}" type="sibTrans" cxnId="{71D8DE6C-48B6-4316-8A5E-C2B188E2EEC9}">
      <dgm:prSet/>
      <dgm:spPr/>
      <dgm:t>
        <a:bodyPr/>
        <a:lstStyle/>
        <a:p>
          <a:pPr algn="ctr"/>
          <a:endParaRPr lang="en-GB"/>
        </a:p>
      </dgm:t>
    </dgm:pt>
    <dgm:pt modelId="{73A7A6CE-B9C1-4C25-9A06-4F6EA74226CF}" type="parTrans" cxnId="{71D8DE6C-48B6-4316-8A5E-C2B188E2EEC9}">
      <dgm:prSet/>
      <dgm:spPr/>
      <dgm:t>
        <a:bodyPr/>
        <a:lstStyle/>
        <a:p>
          <a:pPr algn="ctr"/>
          <a:endParaRPr lang="en-GB"/>
        </a:p>
      </dgm:t>
    </dgm:pt>
    <dgm:pt modelId="{E391E3DF-E20F-42F5-9AF0-707D1471C300}" type="pres">
      <dgm:prSet presAssocID="{728E9C9F-7A0F-4AA5-A700-7A7943B555DC}" presName="linearFlow" presStyleCnt="0">
        <dgm:presLayoutVars>
          <dgm:dir/>
          <dgm:animLvl val="lvl"/>
          <dgm:resizeHandles val="exact"/>
        </dgm:presLayoutVars>
      </dgm:prSet>
      <dgm:spPr/>
    </dgm:pt>
    <dgm:pt modelId="{807E9026-9E44-4CF2-B88C-1769696B90AE}" type="pres">
      <dgm:prSet presAssocID="{93F52882-EC00-4A2B-92B6-EBC2BA5F280C}" presName="composite" presStyleCnt="0"/>
      <dgm:spPr/>
    </dgm:pt>
    <dgm:pt modelId="{E0698B41-A199-4BC1-ADF3-F046B086D6BC}" type="pres">
      <dgm:prSet presAssocID="{93F52882-EC00-4A2B-92B6-EBC2BA5F280C}" presName="parTx" presStyleLbl="node1" presStyleIdx="0" presStyleCnt="3">
        <dgm:presLayoutVars>
          <dgm:chMax val="0"/>
          <dgm:chPref val="0"/>
          <dgm:bulletEnabled val="1"/>
        </dgm:presLayoutVars>
      </dgm:prSet>
      <dgm:spPr/>
    </dgm:pt>
    <dgm:pt modelId="{62C2E5B6-3A0F-43D8-94E0-AD7F5AFE0327}" type="pres">
      <dgm:prSet presAssocID="{93F52882-EC00-4A2B-92B6-EBC2BA5F280C}" presName="parSh" presStyleLbl="node1" presStyleIdx="0" presStyleCnt="3"/>
      <dgm:spPr/>
    </dgm:pt>
    <dgm:pt modelId="{E337BAB9-4828-4C5A-AB48-D09792C42D43}" type="pres">
      <dgm:prSet presAssocID="{93F52882-EC00-4A2B-92B6-EBC2BA5F280C}" presName="desTx" presStyleLbl="fgAcc1" presStyleIdx="0" presStyleCnt="3">
        <dgm:presLayoutVars>
          <dgm:bulletEnabled val="1"/>
        </dgm:presLayoutVars>
      </dgm:prSet>
      <dgm:spPr/>
    </dgm:pt>
    <dgm:pt modelId="{3468C17E-0DD1-4485-8A11-4BD43A3118E8}" type="pres">
      <dgm:prSet presAssocID="{C4DAB19D-EB34-4DE6-89DC-2371CE0FCA47}" presName="sibTrans" presStyleLbl="sibTrans2D1" presStyleIdx="0" presStyleCnt="2"/>
      <dgm:spPr>
        <a:prstGeom prst="mathPlus">
          <a:avLst/>
        </a:prstGeom>
      </dgm:spPr>
    </dgm:pt>
    <dgm:pt modelId="{56F5218D-0F08-4CD4-B934-4515BA24E597}" type="pres">
      <dgm:prSet presAssocID="{C4DAB19D-EB34-4DE6-89DC-2371CE0FCA47}" presName="connTx" presStyleLbl="sibTrans2D1" presStyleIdx="0" presStyleCnt="2"/>
      <dgm:spPr/>
    </dgm:pt>
    <dgm:pt modelId="{1BFDE9FD-4F09-44F7-8708-6E88AE58C71B}" type="pres">
      <dgm:prSet presAssocID="{F67EAE5B-9774-46E8-A77B-B546E931580D}" presName="composite" presStyleCnt="0"/>
      <dgm:spPr/>
    </dgm:pt>
    <dgm:pt modelId="{4F001F38-BCD8-45BA-B9F5-D28411C56C10}" type="pres">
      <dgm:prSet presAssocID="{F67EAE5B-9774-46E8-A77B-B546E931580D}" presName="parTx" presStyleLbl="node1" presStyleIdx="0" presStyleCnt="3">
        <dgm:presLayoutVars>
          <dgm:chMax val="0"/>
          <dgm:chPref val="0"/>
          <dgm:bulletEnabled val="1"/>
        </dgm:presLayoutVars>
      </dgm:prSet>
      <dgm:spPr/>
    </dgm:pt>
    <dgm:pt modelId="{5E839C49-F1AC-4794-9F5D-E21CB6A5159C}" type="pres">
      <dgm:prSet presAssocID="{F67EAE5B-9774-46E8-A77B-B546E931580D}" presName="parSh" presStyleLbl="node1" presStyleIdx="1" presStyleCnt="3"/>
      <dgm:spPr/>
    </dgm:pt>
    <dgm:pt modelId="{E4DD7F68-0852-4C99-8310-5997A253D789}" type="pres">
      <dgm:prSet presAssocID="{F67EAE5B-9774-46E8-A77B-B546E931580D}" presName="desTx" presStyleLbl="fgAcc1" presStyleIdx="1" presStyleCnt="3">
        <dgm:presLayoutVars>
          <dgm:bulletEnabled val="1"/>
        </dgm:presLayoutVars>
      </dgm:prSet>
      <dgm:spPr/>
    </dgm:pt>
    <dgm:pt modelId="{DCBEBCDA-A793-4C4A-B3BD-158FD3D812F6}" type="pres">
      <dgm:prSet presAssocID="{5659D409-54A9-4E6F-81CD-698221F9EA61}" presName="sibTrans" presStyleLbl="sibTrans2D1" presStyleIdx="1" presStyleCnt="2"/>
      <dgm:spPr>
        <a:prstGeom prst="mathPlus">
          <a:avLst/>
        </a:prstGeom>
      </dgm:spPr>
    </dgm:pt>
    <dgm:pt modelId="{9AA18D1D-18C5-44E9-AA98-EC11DBDC1032}" type="pres">
      <dgm:prSet presAssocID="{5659D409-54A9-4E6F-81CD-698221F9EA61}" presName="connTx" presStyleLbl="sibTrans2D1" presStyleIdx="1" presStyleCnt="2"/>
      <dgm:spPr/>
    </dgm:pt>
    <dgm:pt modelId="{6F1C92F9-DDD9-495F-AC17-A999CFFFA5D3}" type="pres">
      <dgm:prSet presAssocID="{678326D6-891C-4C85-9F3D-498F92B3F0AB}" presName="composite" presStyleCnt="0"/>
      <dgm:spPr/>
    </dgm:pt>
    <dgm:pt modelId="{6ED3E30F-540C-4433-A958-B2161123711A}" type="pres">
      <dgm:prSet presAssocID="{678326D6-891C-4C85-9F3D-498F92B3F0AB}" presName="parTx" presStyleLbl="node1" presStyleIdx="1" presStyleCnt="3">
        <dgm:presLayoutVars>
          <dgm:chMax val="0"/>
          <dgm:chPref val="0"/>
          <dgm:bulletEnabled val="1"/>
        </dgm:presLayoutVars>
      </dgm:prSet>
      <dgm:spPr/>
    </dgm:pt>
    <dgm:pt modelId="{3D5043F2-856D-4934-AB4D-53AC76561108}" type="pres">
      <dgm:prSet presAssocID="{678326D6-891C-4C85-9F3D-498F92B3F0AB}" presName="parSh" presStyleLbl="node1" presStyleIdx="2" presStyleCnt="3"/>
      <dgm:spPr/>
    </dgm:pt>
    <dgm:pt modelId="{439403FE-9D8C-46FA-BE70-11C4CF86E94F}" type="pres">
      <dgm:prSet presAssocID="{678326D6-891C-4C85-9F3D-498F92B3F0AB}" presName="desTx" presStyleLbl="fgAcc1" presStyleIdx="2" presStyleCnt="3">
        <dgm:presLayoutVars>
          <dgm:bulletEnabled val="1"/>
        </dgm:presLayoutVars>
      </dgm:prSet>
      <dgm:spPr/>
    </dgm:pt>
  </dgm:ptLst>
  <dgm:cxnLst>
    <dgm:cxn modelId="{DA243F05-0D59-4DB0-94C4-8368059E4A10}" srcId="{728E9C9F-7A0F-4AA5-A700-7A7943B555DC}" destId="{F67EAE5B-9774-46E8-A77B-B546E931580D}" srcOrd="1" destOrd="0" parTransId="{F19E421C-29FE-42D3-AF9C-003212F9C741}" sibTransId="{5659D409-54A9-4E6F-81CD-698221F9EA61}"/>
    <dgm:cxn modelId="{20764F06-F398-4123-AFEA-4B13C5975B49}" type="presOf" srcId="{F67EAE5B-9774-46E8-A77B-B546E931580D}" destId="{5E839C49-F1AC-4794-9F5D-E21CB6A5159C}" srcOrd="1" destOrd="0" presId="urn:microsoft.com/office/officeart/2005/8/layout/process3"/>
    <dgm:cxn modelId="{BF5E9E11-A4A9-4AD7-8F52-D6B3E45D6980}" type="presOf" srcId="{5A71F01F-9518-40C3-B8BE-821749C7604B}" destId="{E4DD7F68-0852-4C99-8310-5997A253D789}" srcOrd="0" destOrd="4" presId="urn:microsoft.com/office/officeart/2005/8/layout/process3"/>
    <dgm:cxn modelId="{55C57B1C-A30A-42D6-9F68-99ED683A7A88}" srcId="{728E9C9F-7A0F-4AA5-A700-7A7943B555DC}" destId="{678326D6-891C-4C85-9F3D-498F92B3F0AB}" srcOrd="2" destOrd="0" parTransId="{6265F809-F6F2-40FE-A5EE-B26C0708587E}" sibTransId="{99859196-D72E-4C83-BB21-434FEC656060}"/>
    <dgm:cxn modelId="{AFC2AA1C-5D8D-451C-88DC-88F3C5A57D34}" type="presOf" srcId="{9F924C45-261A-42C4-B9EC-C8F12459512D}" destId="{439403FE-9D8C-46FA-BE70-11C4CF86E94F}" srcOrd="0" destOrd="1" presId="urn:microsoft.com/office/officeart/2005/8/layout/process3"/>
    <dgm:cxn modelId="{6CE7F91C-60F7-4F50-A174-79D81D3DDF37}" srcId="{93F52882-EC00-4A2B-92B6-EBC2BA5F280C}" destId="{37C24F88-D39E-4EEC-B351-75E777648D5B}" srcOrd="1" destOrd="0" parTransId="{59EA00C3-E023-41BB-9049-77E956AB2BB6}" sibTransId="{CBFA295B-5426-482D-9467-CA2A746B9737}"/>
    <dgm:cxn modelId="{BC719E1F-BF50-4371-BB5A-0C4BD227A082}" type="presOf" srcId="{CDE8C2A4-59B1-415A-BAA1-51042C105BB9}" destId="{439403FE-9D8C-46FA-BE70-11C4CF86E94F}" srcOrd="0" destOrd="0" presId="urn:microsoft.com/office/officeart/2005/8/layout/process3"/>
    <dgm:cxn modelId="{21C5DF24-CA84-4B1E-AB89-7AB6BBF29135}" type="presOf" srcId="{93F52882-EC00-4A2B-92B6-EBC2BA5F280C}" destId="{E0698B41-A199-4BC1-ADF3-F046B086D6BC}" srcOrd="0" destOrd="0" presId="urn:microsoft.com/office/officeart/2005/8/layout/process3"/>
    <dgm:cxn modelId="{2B72EA27-948B-4A98-8E71-BB1F98FDFCB1}" srcId="{93F52882-EC00-4A2B-92B6-EBC2BA5F280C}" destId="{02CCF4A7-0A30-4CF0-882F-B1FBE63D8353}" srcOrd="4" destOrd="0" parTransId="{51BEB0EB-D687-4E08-9125-5E36536A64D9}" sibTransId="{AED7B016-3A0A-4797-BF32-A1C488BC3286}"/>
    <dgm:cxn modelId="{FBC8DF29-AADA-4FD2-9E32-8948CF32A759}" type="presOf" srcId="{02CCF4A7-0A30-4CF0-882F-B1FBE63D8353}" destId="{E337BAB9-4828-4C5A-AB48-D09792C42D43}" srcOrd="0" destOrd="4" presId="urn:microsoft.com/office/officeart/2005/8/layout/process3"/>
    <dgm:cxn modelId="{2BB0972C-D109-4405-A623-0CE25891739C}" type="presOf" srcId="{F67EAE5B-9774-46E8-A77B-B546E931580D}" destId="{4F001F38-BCD8-45BA-B9F5-D28411C56C10}" srcOrd="0" destOrd="0" presId="urn:microsoft.com/office/officeart/2005/8/layout/process3"/>
    <dgm:cxn modelId="{1F88C05D-D0B9-4004-A3DE-3A15790B2152}" srcId="{F67EAE5B-9774-46E8-A77B-B546E931580D}" destId="{88B4D43E-1D50-4163-AD30-97FA14E60F79}" srcOrd="3" destOrd="0" parTransId="{4E125F86-2B5F-4942-B59D-481244D8CC2C}" sibTransId="{F5A533B5-1A77-429B-BCD7-DD7562A14068}"/>
    <dgm:cxn modelId="{0B13D25D-5E4E-429E-BCCE-D263F5143C97}" type="presOf" srcId="{A0DAF0A4-7B7F-40D9-BDF8-4A5860F79058}" destId="{E4DD7F68-0852-4C99-8310-5997A253D789}" srcOrd="0" destOrd="1" presId="urn:microsoft.com/office/officeart/2005/8/layout/process3"/>
    <dgm:cxn modelId="{74F86061-0429-43E1-A01E-37803B34C873}" srcId="{728E9C9F-7A0F-4AA5-A700-7A7943B555DC}" destId="{93F52882-EC00-4A2B-92B6-EBC2BA5F280C}" srcOrd="0" destOrd="0" parTransId="{34DB6A30-B41D-418A-A0A3-03B5C64E38E3}" sibTransId="{C4DAB19D-EB34-4DE6-89DC-2371CE0FCA47}"/>
    <dgm:cxn modelId="{7B915E43-4788-4635-B56E-CDC4919F6684}" type="presOf" srcId="{678326D6-891C-4C85-9F3D-498F92B3F0AB}" destId="{6ED3E30F-540C-4433-A958-B2161123711A}" srcOrd="0" destOrd="0" presId="urn:microsoft.com/office/officeart/2005/8/layout/process3"/>
    <dgm:cxn modelId="{4CBE1E69-DF5A-48B6-ABC2-DB67DF40678B}" type="presOf" srcId="{9820D822-941E-471F-9B77-128491E8995D}" destId="{439403FE-9D8C-46FA-BE70-11C4CF86E94F}" srcOrd="0" destOrd="2" presId="urn:microsoft.com/office/officeart/2005/8/layout/process3"/>
    <dgm:cxn modelId="{AEFA8349-3B43-4EC0-B30C-675592013FC3}" type="presOf" srcId="{E98726C4-C4FE-4630-AA21-A3F799EC8AD1}" destId="{E337BAB9-4828-4C5A-AB48-D09792C42D43}" srcOrd="0" destOrd="0" presId="urn:microsoft.com/office/officeart/2005/8/layout/process3"/>
    <dgm:cxn modelId="{BF1A656A-CC2B-4C1F-B2D1-61A099920FAB}" srcId="{F67EAE5B-9774-46E8-A77B-B546E931580D}" destId="{A0DAF0A4-7B7F-40D9-BDF8-4A5860F79058}" srcOrd="1" destOrd="0" parTransId="{BC7CF120-D844-471D-9045-591EDEC8706B}" sibTransId="{040D8A5D-8289-408A-90C2-3B1D4E8F672B}"/>
    <dgm:cxn modelId="{71D8DE6C-48B6-4316-8A5E-C2B188E2EEC9}" srcId="{93F52882-EC00-4A2B-92B6-EBC2BA5F280C}" destId="{52D8150F-D5D1-4499-99CA-3766E479B23E}" srcOrd="3" destOrd="0" parTransId="{73A7A6CE-B9C1-4C25-9A06-4F6EA74226CF}" sibTransId="{32F2F3D6-1153-42A1-B420-6B76AF918383}"/>
    <dgm:cxn modelId="{7A54776F-D29E-4AAE-BF87-4C2873A5A12C}" srcId="{678326D6-891C-4C85-9F3D-498F92B3F0AB}" destId="{CDE8C2A4-59B1-415A-BAA1-51042C105BB9}" srcOrd="0" destOrd="0" parTransId="{2B5B21C2-ED6C-4BC7-BBF8-811359528358}" sibTransId="{CA7572EB-818E-4FD4-954A-42E3E3ABB209}"/>
    <dgm:cxn modelId="{7D8A4275-C579-4BB7-8A3B-7A9A2ED886C3}" type="presOf" srcId="{8A7C64E7-831B-4B91-A6DD-80CB9B60E677}" destId="{E4DD7F68-0852-4C99-8310-5997A253D789}" srcOrd="0" destOrd="2" presId="urn:microsoft.com/office/officeart/2005/8/layout/process3"/>
    <dgm:cxn modelId="{0876DB75-BB02-411F-8420-AAA2BE9B5F34}" type="presOf" srcId="{93F52882-EC00-4A2B-92B6-EBC2BA5F280C}" destId="{62C2E5B6-3A0F-43D8-94E0-AD7F5AFE0327}" srcOrd="1" destOrd="0" presId="urn:microsoft.com/office/officeart/2005/8/layout/process3"/>
    <dgm:cxn modelId="{DB654788-FAA1-4153-8117-FA820F01B2E6}" srcId="{678326D6-891C-4C85-9F3D-498F92B3F0AB}" destId="{9F924C45-261A-42C4-B9EC-C8F12459512D}" srcOrd="1" destOrd="0" parTransId="{685ABB04-15B5-4D0E-95B4-44AA2FDCA32D}" sibTransId="{3FEB75FE-DEBF-4981-ABED-3100BA174C77}"/>
    <dgm:cxn modelId="{B8739688-238D-4628-9E8C-8DB5065C1B62}" type="presOf" srcId="{37C24F88-D39E-4EEC-B351-75E777648D5B}" destId="{E337BAB9-4828-4C5A-AB48-D09792C42D43}" srcOrd="0" destOrd="1" presId="urn:microsoft.com/office/officeart/2005/8/layout/process3"/>
    <dgm:cxn modelId="{75B98989-56C1-4D65-B86B-CC98902A00E2}" type="presOf" srcId="{C4DAB19D-EB34-4DE6-89DC-2371CE0FCA47}" destId="{56F5218D-0F08-4CD4-B934-4515BA24E597}" srcOrd="1" destOrd="0" presId="urn:microsoft.com/office/officeart/2005/8/layout/process3"/>
    <dgm:cxn modelId="{BF14C793-3D6B-4652-AC95-DF7BFDCB29B8}" srcId="{93F52882-EC00-4A2B-92B6-EBC2BA5F280C}" destId="{E98726C4-C4FE-4630-AA21-A3F799EC8AD1}" srcOrd="0" destOrd="0" parTransId="{E04D6F5B-A166-4B6A-BB2A-16D1F9C2F781}" sibTransId="{244DF570-B3D1-4F6C-B616-07BC9A937D70}"/>
    <dgm:cxn modelId="{56444A9C-E37F-4017-8052-2E3A4976FC40}" type="presOf" srcId="{88B4D43E-1D50-4163-AD30-97FA14E60F79}" destId="{E4DD7F68-0852-4C99-8310-5997A253D789}" srcOrd="0" destOrd="3" presId="urn:microsoft.com/office/officeart/2005/8/layout/process3"/>
    <dgm:cxn modelId="{B7C1AEA8-7096-455C-8195-B5FAE95C9666}" type="presOf" srcId="{CDAD70C8-8CFE-4786-BE3E-AB4498A78FE5}" destId="{E4DD7F68-0852-4C99-8310-5997A253D789}" srcOrd="0" destOrd="0" presId="urn:microsoft.com/office/officeart/2005/8/layout/process3"/>
    <dgm:cxn modelId="{0DF208AA-1F1E-4150-AFCF-DED1BC33AC39}" srcId="{93F52882-EC00-4A2B-92B6-EBC2BA5F280C}" destId="{588C14B1-CF1A-4775-929D-ACDEF6799336}" srcOrd="2" destOrd="0" parTransId="{86A3EAFE-C56B-44CD-BC73-3FEBC6B1866F}" sibTransId="{46070A27-C157-426A-AE2C-0B77246D7546}"/>
    <dgm:cxn modelId="{AA481FC2-2995-4C60-90DF-A44B7DD3D840}" srcId="{F67EAE5B-9774-46E8-A77B-B546E931580D}" destId="{8A7C64E7-831B-4B91-A6DD-80CB9B60E677}" srcOrd="2" destOrd="0" parTransId="{43B3A6B9-F3CD-48CC-97F2-567E89AE6028}" sibTransId="{52E8AEF0-7A9B-4559-A8B9-3E3177065FD3}"/>
    <dgm:cxn modelId="{1D14B2D1-1053-49D5-8177-57B18E876D2F}" type="presOf" srcId="{728E9C9F-7A0F-4AA5-A700-7A7943B555DC}" destId="{E391E3DF-E20F-42F5-9AF0-707D1471C300}" srcOrd="0" destOrd="0" presId="urn:microsoft.com/office/officeart/2005/8/layout/process3"/>
    <dgm:cxn modelId="{17C3CADC-BAD1-4DE8-BC6A-C7C55E980968}" type="presOf" srcId="{C4DAB19D-EB34-4DE6-89DC-2371CE0FCA47}" destId="{3468C17E-0DD1-4485-8A11-4BD43A3118E8}" srcOrd="0" destOrd="0" presId="urn:microsoft.com/office/officeart/2005/8/layout/process3"/>
    <dgm:cxn modelId="{1C1740E1-505C-4FB5-B033-90D9B4209800}" srcId="{F67EAE5B-9774-46E8-A77B-B546E931580D}" destId="{CDAD70C8-8CFE-4786-BE3E-AB4498A78FE5}" srcOrd="0" destOrd="0" parTransId="{668546FC-A609-464B-AAEA-4B473C4DA89A}" sibTransId="{E93BE99D-18A9-4FE5-9088-3F4CAEA444B4}"/>
    <dgm:cxn modelId="{5C2627E5-9ECD-4D49-A606-2D76CB56719C}" type="presOf" srcId="{52D8150F-D5D1-4499-99CA-3766E479B23E}" destId="{E337BAB9-4828-4C5A-AB48-D09792C42D43}" srcOrd="0" destOrd="3" presId="urn:microsoft.com/office/officeart/2005/8/layout/process3"/>
    <dgm:cxn modelId="{1EFC8EE6-4589-4C6F-A82F-E2AD22B27831}" type="presOf" srcId="{5659D409-54A9-4E6F-81CD-698221F9EA61}" destId="{9AA18D1D-18C5-44E9-AA98-EC11DBDC1032}" srcOrd="1" destOrd="0" presId="urn:microsoft.com/office/officeart/2005/8/layout/process3"/>
    <dgm:cxn modelId="{213B4BEC-B158-4897-B268-64906656CDF4}" type="presOf" srcId="{588C14B1-CF1A-4775-929D-ACDEF6799336}" destId="{E337BAB9-4828-4C5A-AB48-D09792C42D43}" srcOrd="0" destOrd="2" presId="urn:microsoft.com/office/officeart/2005/8/layout/process3"/>
    <dgm:cxn modelId="{EC3CC9EF-28C1-4F32-AFCA-6DB9B85FC75A}" srcId="{678326D6-891C-4C85-9F3D-498F92B3F0AB}" destId="{9820D822-941E-471F-9B77-128491E8995D}" srcOrd="2" destOrd="0" parTransId="{28897928-AC31-4895-92A1-BAA11E713917}" sibTransId="{B9BCEA19-397F-48AC-9A95-98C731E99620}"/>
    <dgm:cxn modelId="{0E582DF0-3B36-4080-9B7A-6FB86AAD1149}" srcId="{F67EAE5B-9774-46E8-A77B-B546E931580D}" destId="{5A71F01F-9518-40C3-B8BE-821749C7604B}" srcOrd="4" destOrd="0" parTransId="{4749C1DB-9586-4A06-98AA-C1191AB04DB0}" sibTransId="{34E50750-BC31-4FEA-B963-51874A4482CA}"/>
    <dgm:cxn modelId="{61CD95FA-C903-4CAC-B6E0-A63DB45AE8E7}" type="presOf" srcId="{5659D409-54A9-4E6F-81CD-698221F9EA61}" destId="{DCBEBCDA-A793-4C4A-B3BD-158FD3D812F6}" srcOrd="0" destOrd="0" presId="urn:microsoft.com/office/officeart/2005/8/layout/process3"/>
    <dgm:cxn modelId="{735521FB-A7EA-45AF-93C4-AC2820BE13A6}" type="presOf" srcId="{678326D6-891C-4C85-9F3D-498F92B3F0AB}" destId="{3D5043F2-856D-4934-AB4D-53AC76561108}" srcOrd="1" destOrd="0" presId="urn:microsoft.com/office/officeart/2005/8/layout/process3"/>
    <dgm:cxn modelId="{F9D8F1CE-096E-46F1-B091-43ABA31619EA}" type="presParOf" srcId="{E391E3DF-E20F-42F5-9AF0-707D1471C300}" destId="{807E9026-9E44-4CF2-B88C-1769696B90AE}" srcOrd="0" destOrd="0" presId="urn:microsoft.com/office/officeart/2005/8/layout/process3"/>
    <dgm:cxn modelId="{DA8A28B8-BCEA-4466-9160-DCFF752D6558}" type="presParOf" srcId="{807E9026-9E44-4CF2-B88C-1769696B90AE}" destId="{E0698B41-A199-4BC1-ADF3-F046B086D6BC}" srcOrd="0" destOrd="0" presId="urn:microsoft.com/office/officeart/2005/8/layout/process3"/>
    <dgm:cxn modelId="{988B3489-8ADB-4ACF-82BE-5E68D615E21A}" type="presParOf" srcId="{807E9026-9E44-4CF2-B88C-1769696B90AE}" destId="{62C2E5B6-3A0F-43D8-94E0-AD7F5AFE0327}" srcOrd="1" destOrd="0" presId="urn:microsoft.com/office/officeart/2005/8/layout/process3"/>
    <dgm:cxn modelId="{710A300A-221F-400D-8FE0-172FB500A489}" type="presParOf" srcId="{807E9026-9E44-4CF2-B88C-1769696B90AE}" destId="{E337BAB9-4828-4C5A-AB48-D09792C42D43}" srcOrd="2" destOrd="0" presId="urn:microsoft.com/office/officeart/2005/8/layout/process3"/>
    <dgm:cxn modelId="{43ECFA82-D409-4EC6-8B7B-1F2D80A344E2}" type="presParOf" srcId="{E391E3DF-E20F-42F5-9AF0-707D1471C300}" destId="{3468C17E-0DD1-4485-8A11-4BD43A3118E8}" srcOrd="1" destOrd="0" presId="urn:microsoft.com/office/officeart/2005/8/layout/process3"/>
    <dgm:cxn modelId="{22F8C025-4650-423F-B4F3-4ECDF5EEC775}" type="presParOf" srcId="{3468C17E-0DD1-4485-8A11-4BD43A3118E8}" destId="{56F5218D-0F08-4CD4-B934-4515BA24E597}" srcOrd="0" destOrd="0" presId="urn:microsoft.com/office/officeart/2005/8/layout/process3"/>
    <dgm:cxn modelId="{28EF41A4-F0C5-45BA-A970-6409C1B03FE4}" type="presParOf" srcId="{E391E3DF-E20F-42F5-9AF0-707D1471C300}" destId="{1BFDE9FD-4F09-44F7-8708-6E88AE58C71B}" srcOrd="2" destOrd="0" presId="urn:microsoft.com/office/officeart/2005/8/layout/process3"/>
    <dgm:cxn modelId="{60C9CF8B-36AD-4D68-A0F6-EB80F04EB86F}" type="presParOf" srcId="{1BFDE9FD-4F09-44F7-8708-6E88AE58C71B}" destId="{4F001F38-BCD8-45BA-B9F5-D28411C56C10}" srcOrd="0" destOrd="0" presId="urn:microsoft.com/office/officeart/2005/8/layout/process3"/>
    <dgm:cxn modelId="{32363EF7-C7A8-45B9-849E-74F745C86E77}" type="presParOf" srcId="{1BFDE9FD-4F09-44F7-8708-6E88AE58C71B}" destId="{5E839C49-F1AC-4794-9F5D-E21CB6A5159C}" srcOrd="1" destOrd="0" presId="urn:microsoft.com/office/officeart/2005/8/layout/process3"/>
    <dgm:cxn modelId="{4F597F12-66AB-4C92-BECF-5D3A8093B73C}" type="presParOf" srcId="{1BFDE9FD-4F09-44F7-8708-6E88AE58C71B}" destId="{E4DD7F68-0852-4C99-8310-5997A253D789}" srcOrd="2" destOrd="0" presId="urn:microsoft.com/office/officeart/2005/8/layout/process3"/>
    <dgm:cxn modelId="{0EE88683-D454-48FB-81E1-EFA263E23BDE}" type="presParOf" srcId="{E391E3DF-E20F-42F5-9AF0-707D1471C300}" destId="{DCBEBCDA-A793-4C4A-B3BD-158FD3D812F6}" srcOrd="3" destOrd="0" presId="urn:microsoft.com/office/officeart/2005/8/layout/process3"/>
    <dgm:cxn modelId="{64D099E0-C7C7-43BA-8622-83AB4B914B0D}" type="presParOf" srcId="{DCBEBCDA-A793-4C4A-B3BD-158FD3D812F6}" destId="{9AA18D1D-18C5-44E9-AA98-EC11DBDC1032}" srcOrd="0" destOrd="0" presId="urn:microsoft.com/office/officeart/2005/8/layout/process3"/>
    <dgm:cxn modelId="{65760D5F-DDC2-4D0F-881C-27C7844D54D0}" type="presParOf" srcId="{E391E3DF-E20F-42F5-9AF0-707D1471C300}" destId="{6F1C92F9-DDD9-495F-AC17-A999CFFFA5D3}" srcOrd="4" destOrd="0" presId="urn:microsoft.com/office/officeart/2005/8/layout/process3"/>
    <dgm:cxn modelId="{76829D02-6014-4F63-A536-BC2435AD4FA9}" type="presParOf" srcId="{6F1C92F9-DDD9-495F-AC17-A999CFFFA5D3}" destId="{6ED3E30F-540C-4433-A958-B2161123711A}" srcOrd="0" destOrd="0" presId="urn:microsoft.com/office/officeart/2005/8/layout/process3"/>
    <dgm:cxn modelId="{1348CDDE-486F-493A-BFD6-8B3253759ED7}" type="presParOf" srcId="{6F1C92F9-DDD9-495F-AC17-A999CFFFA5D3}" destId="{3D5043F2-856D-4934-AB4D-53AC76561108}" srcOrd="1" destOrd="0" presId="urn:microsoft.com/office/officeart/2005/8/layout/process3"/>
    <dgm:cxn modelId="{9F95F1D0-64B9-4ADF-9BDB-4CA458A8288F}" type="presParOf" srcId="{6F1C92F9-DDD9-495F-AC17-A999CFFFA5D3}" destId="{439403FE-9D8C-46FA-BE70-11C4CF86E94F}"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C2E5B6-3A0F-43D8-94E0-AD7F5AFE0327}">
      <dsp:nvSpPr>
        <dsp:cNvPr id="0" name=""/>
        <dsp:cNvSpPr/>
      </dsp:nvSpPr>
      <dsp:spPr>
        <a:xfrm>
          <a:off x="2826" y="172138"/>
          <a:ext cx="1285224" cy="7015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ctr" defTabSz="533400">
            <a:lnSpc>
              <a:spcPct val="90000"/>
            </a:lnSpc>
            <a:spcBef>
              <a:spcPct val="0"/>
            </a:spcBef>
            <a:spcAft>
              <a:spcPct val="35000"/>
            </a:spcAft>
            <a:buNone/>
          </a:pPr>
          <a:r>
            <a:rPr lang="en-GB" sz="1200" kern="1200"/>
            <a:t>Evidence-based</a:t>
          </a:r>
        </a:p>
      </dsp:txBody>
      <dsp:txXfrm>
        <a:off x="2826" y="172138"/>
        <a:ext cx="1285224" cy="467723"/>
      </dsp:txXfrm>
    </dsp:sp>
    <dsp:sp modelId="{E337BAB9-4828-4C5A-AB48-D09792C42D43}">
      <dsp:nvSpPr>
        <dsp:cNvPr id="0" name=""/>
        <dsp:cNvSpPr/>
      </dsp:nvSpPr>
      <dsp:spPr>
        <a:xfrm>
          <a:off x="266065" y="639861"/>
          <a:ext cx="1285224"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Lead (OfS) Indicators</a:t>
          </a:r>
        </a:p>
        <a:p>
          <a:pPr marL="57150" lvl="1" indent="-57150" algn="l" defTabSz="444500">
            <a:lnSpc>
              <a:spcPct val="90000"/>
            </a:lnSpc>
            <a:spcBef>
              <a:spcPct val="0"/>
            </a:spcBef>
            <a:spcAft>
              <a:spcPct val="15000"/>
            </a:spcAft>
            <a:buChar char="•"/>
          </a:pPr>
          <a:r>
            <a:rPr lang="en-GB" sz="1000" kern="1200"/>
            <a:t>Other data/KPIs as defined by Directorate</a:t>
          </a:r>
        </a:p>
        <a:p>
          <a:pPr marL="57150" lvl="1" indent="-57150" algn="l" defTabSz="444500">
            <a:lnSpc>
              <a:spcPct val="90000"/>
            </a:lnSpc>
            <a:spcBef>
              <a:spcPct val="0"/>
            </a:spcBef>
            <a:spcAft>
              <a:spcPct val="15000"/>
            </a:spcAft>
            <a:buChar char="•"/>
          </a:pPr>
          <a:r>
            <a:rPr lang="en-GB" sz="1000" kern="1200"/>
            <a:t>Stakeholder &amp; Student Feedback</a:t>
          </a:r>
        </a:p>
        <a:p>
          <a:pPr marL="57150" lvl="1" indent="-57150" algn="l" defTabSz="444500">
            <a:lnSpc>
              <a:spcPct val="90000"/>
            </a:lnSpc>
            <a:spcBef>
              <a:spcPct val="0"/>
            </a:spcBef>
            <a:spcAft>
              <a:spcPct val="15000"/>
            </a:spcAft>
            <a:buChar char="•"/>
          </a:pPr>
          <a:r>
            <a:rPr lang="en-GB" sz="1000" kern="1200"/>
            <a:t>External Examiners' Reports </a:t>
          </a:r>
        </a:p>
        <a:p>
          <a:pPr marL="57150" lvl="1" indent="-57150" algn="ctr" defTabSz="444500">
            <a:lnSpc>
              <a:spcPct val="90000"/>
            </a:lnSpc>
            <a:spcBef>
              <a:spcPct val="0"/>
            </a:spcBef>
            <a:spcAft>
              <a:spcPct val="15000"/>
            </a:spcAft>
            <a:buChar char="•"/>
          </a:pPr>
          <a:endParaRPr lang="en-GB" sz="1000" kern="1200"/>
        </a:p>
      </dsp:txBody>
      <dsp:txXfrm>
        <a:off x="303708" y="677504"/>
        <a:ext cx="1209938" cy="1652714"/>
      </dsp:txXfrm>
    </dsp:sp>
    <dsp:sp modelId="{3468C17E-0DD1-4485-8A11-4BD43A3118E8}">
      <dsp:nvSpPr>
        <dsp:cNvPr id="0" name=""/>
        <dsp:cNvSpPr/>
      </dsp:nvSpPr>
      <dsp:spPr>
        <a:xfrm>
          <a:off x="1482886" y="246008"/>
          <a:ext cx="413051" cy="31998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482886" y="310005"/>
        <a:ext cx="317056" cy="191989"/>
      </dsp:txXfrm>
    </dsp:sp>
    <dsp:sp modelId="{5E839C49-F1AC-4794-9F5D-E21CB6A5159C}">
      <dsp:nvSpPr>
        <dsp:cNvPr id="0" name=""/>
        <dsp:cNvSpPr/>
      </dsp:nvSpPr>
      <dsp:spPr>
        <a:xfrm>
          <a:off x="2067393" y="172138"/>
          <a:ext cx="1285224" cy="7015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ctr" defTabSz="533400">
            <a:lnSpc>
              <a:spcPct val="90000"/>
            </a:lnSpc>
            <a:spcBef>
              <a:spcPct val="0"/>
            </a:spcBef>
            <a:spcAft>
              <a:spcPct val="35000"/>
            </a:spcAft>
            <a:buNone/>
          </a:pPr>
          <a:r>
            <a:rPr lang="en-GB" sz="1200" kern="1200"/>
            <a:t>Risk-based</a:t>
          </a:r>
        </a:p>
      </dsp:txBody>
      <dsp:txXfrm>
        <a:off x="2067393" y="172138"/>
        <a:ext cx="1285224" cy="467723"/>
      </dsp:txXfrm>
    </dsp:sp>
    <dsp:sp modelId="{E4DD7F68-0852-4C99-8310-5997A253D789}">
      <dsp:nvSpPr>
        <dsp:cNvPr id="0" name=""/>
        <dsp:cNvSpPr/>
      </dsp:nvSpPr>
      <dsp:spPr>
        <a:xfrm>
          <a:off x="2330632" y="639861"/>
          <a:ext cx="1285224"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Evaluative</a:t>
          </a:r>
        </a:p>
        <a:p>
          <a:pPr marL="57150" lvl="1" indent="-57150" algn="l" defTabSz="444500">
            <a:lnSpc>
              <a:spcPct val="90000"/>
            </a:lnSpc>
            <a:spcBef>
              <a:spcPct val="0"/>
            </a:spcBef>
            <a:spcAft>
              <a:spcPct val="15000"/>
            </a:spcAft>
            <a:buChar char="•"/>
          </a:pPr>
          <a:r>
            <a:rPr lang="en-GB" sz="1000" kern="1200"/>
            <a:t>Predictive</a:t>
          </a:r>
        </a:p>
        <a:p>
          <a:pPr marL="57150" lvl="1" indent="-57150" algn="l" defTabSz="444500">
            <a:lnSpc>
              <a:spcPct val="90000"/>
            </a:lnSpc>
            <a:spcBef>
              <a:spcPct val="0"/>
            </a:spcBef>
            <a:spcAft>
              <a:spcPct val="15000"/>
            </a:spcAft>
            <a:buChar char="•"/>
          </a:pPr>
          <a:r>
            <a:rPr lang="en-GB" sz="1000" kern="1200"/>
            <a:t>Responsive</a:t>
          </a:r>
        </a:p>
        <a:p>
          <a:pPr marL="57150" lvl="1" indent="-57150" algn="l" defTabSz="444500">
            <a:lnSpc>
              <a:spcPct val="90000"/>
            </a:lnSpc>
            <a:spcBef>
              <a:spcPct val="0"/>
            </a:spcBef>
            <a:spcAft>
              <a:spcPct val="15000"/>
            </a:spcAft>
            <a:buChar char="•"/>
          </a:pPr>
          <a:r>
            <a:rPr lang="en-GB" sz="1000" kern="1200"/>
            <a:t>Action-focussed</a:t>
          </a:r>
        </a:p>
        <a:p>
          <a:pPr marL="57150" lvl="1" indent="-57150" algn="l" defTabSz="444500">
            <a:lnSpc>
              <a:spcPct val="90000"/>
            </a:lnSpc>
            <a:spcBef>
              <a:spcPct val="0"/>
            </a:spcBef>
            <a:spcAft>
              <a:spcPct val="15000"/>
            </a:spcAft>
            <a:buChar char="•"/>
          </a:pPr>
          <a:r>
            <a:rPr lang="en-GB" sz="1000" kern="1200"/>
            <a:t>Proportionate</a:t>
          </a:r>
        </a:p>
      </dsp:txBody>
      <dsp:txXfrm>
        <a:off x="2368275" y="677504"/>
        <a:ext cx="1209938" cy="1652714"/>
      </dsp:txXfrm>
    </dsp:sp>
    <dsp:sp modelId="{DCBEBCDA-A793-4C4A-B3BD-158FD3D812F6}">
      <dsp:nvSpPr>
        <dsp:cNvPr id="0" name=""/>
        <dsp:cNvSpPr/>
      </dsp:nvSpPr>
      <dsp:spPr>
        <a:xfrm>
          <a:off x="3547453" y="246008"/>
          <a:ext cx="413051" cy="31998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547453" y="310005"/>
        <a:ext cx="317056" cy="191989"/>
      </dsp:txXfrm>
    </dsp:sp>
    <dsp:sp modelId="{3D5043F2-856D-4934-AB4D-53AC76561108}">
      <dsp:nvSpPr>
        <dsp:cNvPr id="0" name=""/>
        <dsp:cNvSpPr/>
      </dsp:nvSpPr>
      <dsp:spPr>
        <a:xfrm>
          <a:off x="4131959" y="172138"/>
          <a:ext cx="1285224" cy="7015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ctr" defTabSz="533400">
            <a:lnSpc>
              <a:spcPct val="90000"/>
            </a:lnSpc>
            <a:spcBef>
              <a:spcPct val="0"/>
            </a:spcBef>
            <a:spcAft>
              <a:spcPct val="35000"/>
            </a:spcAft>
            <a:buNone/>
          </a:pPr>
          <a:r>
            <a:rPr lang="en-GB" sz="1200" kern="1200"/>
            <a:t>Enhancement-Focussed</a:t>
          </a:r>
        </a:p>
      </dsp:txBody>
      <dsp:txXfrm>
        <a:off x="4131959" y="172138"/>
        <a:ext cx="1285224" cy="467723"/>
      </dsp:txXfrm>
    </dsp:sp>
    <dsp:sp modelId="{439403FE-9D8C-46FA-BE70-11C4CF86E94F}">
      <dsp:nvSpPr>
        <dsp:cNvPr id="0" name=""/>
        <dsp:cNvSpPr/>
      </dsp:nvSpPr>
      <dsp:spPr>
        <a:xfrm>
          <a:off x="4395198" y="639861"/>
          <a:ext cx="1285224" cy="17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Strategic</a:t>
          </a:r>
          <a:endParaRPr lang="en-GB" sz="1000" b="0" kern="1200"/>
        </a:p>
        <a:p>
          <a:pPr marL="57150" lvl="1" indent="-57150" algn="l" defTabSz="444500">
            <a:lnSpc>
              <a:spcPct val="90000"/>
            </a:lnSpc>
            <a:spcBef>
              <a:spcPct val="0"/>
            </a:spcBef>
            <a:spcAft>
              <a:spcPct val="15000"/>
            </a:spcAft>
            <a:buChar char="•"/>
          </a:pPr>
          <a:r>
            <a:rPr lang="en-GB" sz="1000" kern="1200"/>
            <a:t>Systematic</a:t>
          </a:r>
          <a:endParaRPr lang="en-GB" sz="1000" b="0" kern="1200"/>
        </a:p>
        <a:p>
          <a:pPr marL="57150" lvl="1" indent="-57150" algn="l" defTabSz="444500">
            <a:lnSpc>
              <a:spcPct val="90000"/>
            </a:lnSpc>
            <a:spcBef>
              <a:spcPct val="0"/>
            </a:spcBef>
            <a:spcAft>
              <a:spcPct val="15000"/>
            </a:spcAft>
            <a:buChar char="•"/>
          </a:pPr>
          <a:r>
            <a:rPr lang="en-GB" sz="1000" kern="1200"/>
            <a:t>Selective</a:t>
          </a:r>
          <a:endParaRPr lang="en-GB" sz="1000" b="0" kern="1200"/>
        </a:p>
      </dsp:txBody>
      <dsp:txXfrm>
        <a:off x="4432841" y="677504"/>
        <a:ext cx="1209938" cy="16527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7DD7-04BF-4A2C-AE01-7C6CA080C8A8}">
  <ds:schemaRefs>
    <ds:schemaRef ds:uri="http://schemas.microsoft.com/sharepoint/v3/contenttype/forms"/>
  </ds:schemaRefs>
</ds:datastoreItem>
</file>

<file path=customXml/itemProps2.xml><?xml version="1.0" encoding="utf-8"?>
<ds:datastoreItem xmlns:ds="http://schemas.openxmlformats.org/officeDocument/2006/customXml" ds:itemID="{734305D9-7571-422A-B1A6-CC2F709699AF}">
  <ds:schemaRefs>
    <ds:schemaRef ds:uri="cad729bd-0b6a-4129-87ee-6389f866e28a"/>
    <ds:schemaRef ds:uri="d6f84b81-f492-4944-ab1e-1881e63b8f33"/>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292982-584D-4DF6-9737-799EE9B9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112A1-67FE-404B-9163-3A3390B6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Annual Monitoring, Periodic Review and Internal Audit</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Periodic Review and Internal Audit</dc:title>
  <dc:subject/>
  <dc:creator>Leoni Stanton</dc:creator>
  <cp:keywords/>
  <dc:description/>
  <cp:lastModifiedBy>Becky Cowburn</cp:lastModifiedBy>
  <cp:revision>2</cp:revision>
  <dcterms:created xsi:type="dcterms:W3CDTF">2022-03-16T09:06:00Z</dcterms:created>
  <dcterms:modified xsi:type="dcterms:W3CDTF">2022-03-16T09:06:00Z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