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21803" w14:textId="514F2203" w:rsidR="009D4C22" w:rsidRDefault="009D4C22" w:rsidP="00522C9A">
      <w:pPr>
        <w:jc w:val="right"/>
      </w:pPr>
      <w:bookmarkStart w:id="0" w:name="_GoBack"/>
      <w:bookmarkEnd w:id="0"/>
      <w:r>
        <w:rPr>
          <w:noProof/>
        </w:rPr>
        <mc:AlternateContent>
          <mc:Choice Requires="wpg">
            <w:drawing>
              <wp:anchor distT="0" distB="0" distL="114300" distR="114300" simplePos="0" relativeHeight="251659264" behindDoc="1" locked="0" layoutInCell="1" allowOverlap="1" wp14:anchorId="5E9BD467" wp14:editId="6325AA2A">
                <wp:simplePos x="0" y="0"/>
                <wp:positionH relativeFrom="page">
                  <wp:posOffset>449580</wp:posOffset>
                </wp:positionH>
                <wp:positionV relativeFrom="page">
                  <wp:posOffset>487680</wp:posOffset>
                </wp:positionV>
                <wp:extent cx="6863977" cy="9123045"/>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3977" cy="9123045"/>
                          <a:chOff x="0" y="0"/>
                          <a:chExt cx="6864255"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680F1" w14:textId="77777777" w:rsidR="004B5085" w:rsidRDefault="004B5085" w:rsidP="00D86A7B">
                              <w:pPr>
                                <w:pStyle w:val="NoSpacing"/>
                                <w:spacing w:before="120"/>
                                <w:jc w:val="center"/>
                                <w:rPr>
                                  <w:color w:val="FFFFFF" w:themeColor="background1"/>
                                </w:rPr>
                              </w:pPr>
                            </w:p>
                            <w:p w14:paraId="1F4D487D" w14:textId="77777777" w:rsidR="004B5085" w:rsidRDefault="00A205BD" w:rsidP="00D86A7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B5085">
                                    <w:rPr>
                                      <w:caps/>
                                      <w:color w:val="FFFFFF" w:themeColor="background1"/>
                                    </w:rPr>
                                    <w:t xml:space="preserve">     </w:t>
                                  </w:r>
                                </w:sdtContent>
                              </w:sdt>
                              <w:r w:rsidR="004B5085">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255" y="1365740"/>
                            <a:ext cx="6858000" cy="5276021"/>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41BB0" w14:textId="77777777" w:rsidR="004B5085" w:rsidRDefault="004B5085" w:rsidP="00806118">
                              <w:pPr>
                                <w:pStyle w:val="Title"/>
                              </w:pPr>
                            </w:p>
                            <w:p w14:paraId="7A392ED5" w14:textId="149954DF" w:rsidR="004B5085" w:rsidRPr="00806118" w:rsidRDefault="004B5085" w:rsidP="00806118">
                              <w:pPr>
                                <w:pStyle w:val="Title"/>
                              </w:pPr>
                              <w:r w:rsidRPr="00806118">
                                <w:t>Chapter 2</w:t>
                              </w:r>
                            </w:p>
                            <w:p w14:paraId="7EC691B1" w14:textId="77777777" w:rsidR="004B5085" w:rsidRPr="00806118" w:rsidRDefault="004B5085" w:rsidP="00806118">
                              <w:pPr>
                                <w:pStyle w:val="Title"/>
                              </w:pPr>
                              <w:r w:rsidRPr="00806118">
                                <w:t>External Examiners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E9BD467" id="Group 193" o:spid="_x0000_s1026" style="position:absolute;left:0;text-align:left;margin-left:35.4pt;margin-top:38.4pt;width:540.45pt;height:718.35pt;z-index:-251657216;mso-width-percent:882;mso-height-percent:909;mso-position-horizontal-relative:page;mso-position-vertical-relative:page;mso-width-percent:882;mso-height-percent:909" coordsize="68642,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09C680F1" w14:textId="77777777" w:rsidR="004B5085" w:rsidRDefault="004B5085" w:rsidP="00D86A7B">
                        <w:pPr>
                          <w:pStyle w:val="NoSpacing"/>
                          <w:spacing w:before="120"/>
                          <w:jc w:val="center"/>
                          <w:rPr>
                            <w:color w:val="FFFFFF" w:themeColor="background1"/>
                          </w:rPr>
                        </w:pPr>
                      </w:p>
                      <w:p w14:paraId="1F4D487D" w14:textId="77777777" w:rsidR="004B5085" w:rsidRDefault="00A205BD" w:rsidP="00D86A7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B5085">
                              <w:rPr>
                                <w:caps/>
                                <w:color w:val="FFFFFF" w:themeColor="background1"/>
                              </w:rPr>
                              <w:t xml:space="preserve">     </w:t>
                            </w:r>
                          </w:sdtContent>
                        </w:sdt>
                        <w:r w:rsidR="004B5085">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2;top:13657;width:68580;height:5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35041BB0" w14:textId="77777777" w:rsidR="004B5085" w:rsidRDefault="004B5085" w:rsidP="00806118">
                        <w:pPr>
                          <w:pStyle w:val="Title"/>
                        </w:pPr>
                      </w:p>
                      <w:p w14:paraId="7A392ED5" w14:textId="149954DF" w:rsidR="004B5085" w:rsidRPr="00806118" w:rsidRDefault="004B5085" w:rsidP="00806118">
                        <w:pPr>
                          <w:pStyle w:val="Title"/>
                        </w:pPr>
                        <w:r w:rsidRPr="00806118">
                          <w:t>Chapter 2</w:t>
                        </w:r>
                      </w:p>
                      <w:p w14:paraId="7EC691B1" w14:textId="77777777" w:rsidR="004B5085" w:rsidRPr="00806118" w:rsidRDefault="004B5085" w:rsidP="00806118">
                        <w:pPr>
                          <w:pStyle w:val="Title"/>
                        </w:pPr>
                        <w:r w:rsidRPr="00806118">
                          <w:t>External Examiners</w:t>
                        </w:r>
                      </w:p>
                    </w:txbxContent>
                  </v:textbox>
                </v:shape>
                <w10:wrap anchorx="page" anchory="page"/>
              </v:group>
            </w:pict>
          </mc:Fallback>
        </mc:AlternateContent>
      </w:r>
    </w:p>
    <w:sdt>
      <w:sdtPr>
        <w:id w:val="765573399"/>
        <w:docPartObj>
          <w:docPartGallery w:val="Cover Pages"/>
          <w:docPartUnique/>
        </w:docPartObj>
      </w:sdtPr>
      <w:sdtEndPr/>
      <w:sdtContent>
        <w:p w14:paraId="15CF2153" w14:textId="11807030" w:rsidR="00522C9A" w:rsidRDefault="00522C9A" w:rsidP="00522C9A">
          <w:pPr>
            <w:contextualSpacing/>
            <w:jc w:val="right"/>
          </w:pPr>
        </w:p>
        <w:p w14:paraId="463E1B9C" w14:textId="77777777" w:rsidR="00522C9A" w:rsidRDefault="00522C9A" w:rsidP="00522C9A">
          <w:pPr>
            <w:contextualSpacing/>
            <w:jc w:val="right"/>
            <w:rPr>
              <w:rStyle w:val="TitleChar"/>
            </w:rPr>
          </w:pPr>
        </w:p>
        <w:p w14:paraId="57B5FAD3" w14:textId="565D9345" w:rsidR="00522C9A" w:rsidRPr="00522C9A" w:rsidRDefault="00522C9A" w:rsidP="00522C9A">
          <w:pPr>
            <w:contextualSpacing/>
            <w:rPr>
              <w:sz w:val="96"/>
              <w:szCs w:val="72"/>
            </w:rPr>
          </w:pPr>
        </w:p>
        <w:p w14:paraId="7B64519B" w14:textId="77777777" w:rsidR="00522C9A" w:rsidRPr="00522C9A" w:rsidRDefault="00522C9A" w:rsidP="00522C9A">
          <w:pPr>
            <w:contextualSpacing/>
            <w:rPr>
              <w:sz w:val="96"/>
              <w:szCs w:val="72"/>
            </w:rPr>
          </w:pPr>
        </w:p>
        <w:p w14:paraId="529BA929" w14:textId="77777777" w:rsidR="00522C9A" w:rsidRPr="00522C9A" w:rsidRDefault="00522C9A" w:rsidP="00522C9A">
          <w:pPr>
            <w:contextualSpacing/>
            <w:rPr>
              <w:sz w:val="96"/>
              <w:szCs w:val="72"/>
            </w:rPr>
          </w:pPr>
        </w:p>
        <w:p w14:paraId="38B55B7E" w14:textId="77777777" w:rsidR="00D86A7B" w:rsidRDefault="00D86A7B" w:rsidP="00781E9A">
          <w:pPr>
            <w:contextualSpacing/>
            <w:jc w:val="center"/>
            <w:rPr>
              <w:b/>
              <w:bCs/>
              <w:color w:val="FFFFFF" w:themeColor="background1"/>
              <w:sz w:val="32"/>
              <w:szCs w:val="28"/>
            </w:rPr>
          </w:pPr>
        </w:p>
        <w:p w14:paraId="2083C332" w14:textId="77777777" w:rsidR="00D86A7B" w:rsidRDefault="00D86A7B" w:rsidP="00781E9A">
          <w:pPr>
            <w:contextualSpacing/>
            <w:jc w:val="center"/>
            <w:rPr>
              <w:b/>
              <w:bCs/>
              <w:color w:val="FFFFFF" w:themeColor="background1"/>
              <w:sz w:val="32"/>
              <w:szCs w:val="28"/>
            </w:rPr>
          </w:pPr>
        </w:p>
        <w:p w14:paraId="79E42782" w14:textId="77777777" w:rsidR="00D86A7B" w:rsidRDefault="00D86A7B" w:rsidP="00781E9A">
          <w:pPr>
            <w:contextualSpacing/>
            <w:jc w:val="center"/>
            <w:rPr>
              <w:b/>
              <w:bCs/>
              <w:color w:val="FFFFFF" w:themeColor="background1"/>
              <w:sz w:val="32"/>
              <w:szCs w:val="28"/>
            </w:rPr>
          </w:pPr>
        </w:p>
        <w:p w14:paraId="40CC97F8" w14:textId="77777777" w:rsidR="00D86A7B" w:rsidRDefault="00D86A7B" w:rsidP="00781E9A">
          <w:pPr>
            <w:contextualSpacing/>
            <w:jc w:val="center"/>
            <w:rPr>
              <w:b/>
              <w:bCs/>
              <w:color w:val="FFFFFF" w:themeColor="background1"/>
              <w:sz w:val="32"/>
              <w:szCs w:val="28"/>
            </w:rPr>
          </w:pPr>
        </w:p>
        <w:p w14:paraId="03EED4BF" w14:textId="77777777" w:rsidR="00D86A7B" w:rsidRDefault="00D86A7B" w:rsidP="00781E9A">
          <w:pPr>
            <w:contextualSpacing/>
            <w:jc w:val="center"/>
            <w:rPr>
              <w:b/>
              <w:bCs/>
              <w:color w:val="FFFFFF" w:themeColor="background1"/>
              <w:sz w:val="32"/>
              <w:szCs w:val="28"/>
            </w:rPr>
          </w:pPr>
        </w:p>
        <w:p w14:paraId="7C645A15" w14:textId="77777777" w:rsidR="00D86A7B" w:rsidRDefault="00D86A7B" w:rsidP="00781E9A">
          <w:pPr>
            <w:contextualSpacing/>
            <w:jc w:val="center"/>
            <w:rPr>
              <w:b/>
              <w:bCs/>
              <w:color w:val="FFFFFF" w:themeColor="background1"/>
              <w:sz w:val="32"/>
              <w:szCs w:val="28"/>
            </w:rPr>
          </w:pPr>
        </w:p>
        <w:p w14:paraId="30E0C866" w14:textId="77777777" w:rsidR="00D86A7B" w:rsidRDefault="00D86A7B" w:rsidP="00781E9A">
          <w:pPr>
            <w:contextualSpacing/>
            <w:jc w:val="center"/>
            <w:rPr>
              <w:b/>
              <w:bCs/>
              <w:color w:val="FFFFFF" w:themeColor="background1"/>
              <w:sz w:val="32"/>
              <w:szCs w:val="28"/>
            </w:rPr>
          </w:pPr>
        </w:p>
        <w:p w14:paraId="3A74B2C4" w14:textId="77777777" w:rsidR="00D86A7B" w:rsidRDefault="00D86A7B" w:rsidP="00781E9A">
          <w:pPr>
            <w:contextualSpacing/>
            <w:jc w:val="center"/>
            <w:rPr>
              <w:b/>
              <w:bCs/>
              <w:color w:val="FFFFFF" w:themeColor="background1"/>
              <w:sz w:val="32"/>
              <w:szCs w:val="28"/>
            </w:rPr>
          </w:pPr>
        </w:p>
        <w:p w14:paraId="29FAEE82" w14:textId="77777777" w:rsidR="00D86A7B" w:rsidRDefault="00D86A7B" w:rsidP="00781E9A">
          <w:pPr>
            <w:contextualSpacing/>
            <w:jc w:val="center"/>
            <w:rPr>
              <w:b/>
              <w:bCs/>
              <w:color w:val="FFFFFF" w:themeColor="background1"/>
              <w:sz w:val="32"/>
              <w:szCs w:val="28"/>
            </w:rPr>
          </w:pPr>
        </w:p>
        <w:p w14:paraId="1A9CBAE2" w14:textId="77777777" w:rsidR="00D86A7B" w:rsidRDefault="00D86A7B" w:rsidP="00781E9A">
          <w:pPr>
            <w:contextualSpacing/>
            <w:jc w:val="center"/>
            <w:rPr>
              <w:b/>
              <w:bCs/>
              <w:color w:val="FFFFFF" w:themeColor="background1"/>
              <w:sz w:val="32"/>
              <w:szCs w:val="28"/>
            </w:rPr>
          </w:pPr>
        </w:p>
        <w:p w14:paraId="09BA38C9" w14:textId="77777777" w:rsidR="00D86A7B" w:rsidRDefault="00D86A7B" w:rsidP="00781E9A">
          <w:pPr>
            <w:contextualSpacing/>
            <w:jc w:val="center"/>
            <w:rPr>
              <w:b/>
              <w:bCs/>
              <w:color w:val="FFFFFF" w:themeColor="background1"/>
              <w:sz w:val="32"/>
              <w:szCs w:val="28"/>
            </w:rPr>
          </w:pPr>
        </w:p>
        <w:p w14:paraId="3C81CF23" w14:textId="77777777" w:rsidR="00D86A7B" w:rsidRDefault="00D86A7B" w:rsidP="00781E9A">
          <w:pPr>
            <w:contextualSpacing/>
            <w:jc w:val="center"/>
            <w:rPr>
              <w:b/>
              <w:bCs/>
              <w:color w:val="FFFFFF" w:themeColor="background1"/>
              <w:sz w:val="32"/>
              <w:szCs w:val="28"/>
            </w:rPr>
          </w:pPr>
        </w:p>
        <w:p w14:paraId="5AF436DF" w14:textId="53D906EF" w:rsidR="00781E9A" w:rsidRPr="00766E46" w:rsidRDefault="00522C9A" w:rsidP="00781E9A">
          <w:pPr>
            <w:contextualSpacing/>
            <w:jc w:val="center"/>
            <w:rPr>
              <w:b/>
              <w:bCs/>
              <w:color w:val="FFFFFF" w:themeColor="background1"/>
              <w:sz w:val="32"/>
              <w:szCs w:val="32"/>
            </w:rPr>
            <w:sectPr w:rsidR="00781E9A" w:rsidRPr="00766E46" w:rsidSect="002E7594">
              <w:headerReference w:type="default" r:id="rId11"/>
              <w:footerReference w:type="first" r:id="rId12"/>
              <w:pgSz w:w="11906" w:h="16838"/>
              <w:pgMar w:top="1440" w:right="1440" w:bottom="1440" w:left="1440" w:header="709" w:footer="709" w:gutter="0"/>
              <w:pgNumType w:start="1"/>
              <w:cols w:space="708"/>
              <w:titlePg/>
              <w:docGrid w:linePitch="360"/>
            </w:sectPr>
          </w:pPr>
          <w:r w:rsidRPr="000F608E">
            <w:rPr>
              <w:b/>
              <w:bCs/>
              <w:color w:val="FFFFFF" w:themeColor="background1"/>
              <w:sz w:val="32"/>
              <w:szCs w:val="32"/>
            </w:rPr>
            <w:t xml:space="preserve">Updated </w:t>
          </w:r>
          <w:r w:rsidR="00257D1B" w:rsidRPr="000F608E">
            <w:rPr>
              <w:b/>
              <w:bCs/>
              <w:color w:val="FFFFFF" w:themeColor="background1"/>
              <w:sz w:val="32"/>
              <w:szCs w:val="32"/>
            </w:rPr>
            <w:t>O</w:t>
          </w:r>
          <w:r w:rsidR="00257D1B">
            <w:rPr>
              <w:b/>
              <w:bCs/>
              <w:color w:val="FFFFFF" w:themeColor="background1"/>
              <w:sz w:val="32"/>
              <w:szCs w:val="32"/>
            </w:rPr>
            <w:t>ctober</w:t>
          </w:r>
          <w:r w:rsidR="00257D1B" w:rsidRPr="00257D1B">
            <w:rPr>
              <w:b/>
              <w:bCs/>
              <w:color w:val="FFFFFF" w:themeColor="background1"/>
              <w:sz w:val="32"/>
              <w:szCs w:val="32"/>
            </w:rPr>
            <w:t xml:space="preserve"> </w:t>
          </w:r>
          <w:r w:rsidRPr="004B5085">
            <w:rPr>
              <w:b/>
              <w:bCs/>
              <w:color w:val="FFFFFF" w:themeColor="background1"/>
              <w:sz w:val="32"/>
              <w:szCs w:val="32"/>
            </w:rPr>
            <w:t>20</w:t>
          </w:r>
          <w:r w:rsidR="00C973D6" w:rsidRPr="004B5085">
            <w:rPr>
              <w:b/>
              <w:bCs/>
              <w:color w:val="FFFFFF" w:themeColor="background1"/>
              <w:sz w:val="32"/>
              <w:szCs w:val="32"/>
            </w:rPr>
            <w:t>2</w:t>
          </w:r>
          <w:r w:rsidR="006F3A94">
            <w:rPr>
              <w:b/>
              <w:bCs/>
              <w:color w:val="FFFFFF" w:themeColor="background1"/>
              <w:sz w:val="32"/>
              <w:szCs w:val="32"/>
            </w:rPr>
            <w:t>1</w:t>
          </w:r>
        </w:p>
        <w:p w14:paraId="65E9FBF3" w14:textId="77777777" w:rsidR="00840176" w:rsidRDefault="00A205BD" w:rsidP="00A5704C">
          <w:pPr>
            <w:contextualSpacing/>
          </w:pPr>
        </w:p>
      </w:sdtContent>
    </w:sdt>
    <w:sdt>
      <w:sdtPr>
        <w:rPr>
          <w:rFonts w:eastAsiaTheme="minorHAnsi" w:cstheme="minorBidi"/>
          <w:b w:val="0"/>
          <w:color w:val="auto"/>
          <w:sz w:val="24"/>
          <w:szCs w:val="22"/>
          <w:lang w:val="en-GB"/>
        </w:rPr>
        <w:id w:val="-1810228437"/>
        <w:docPartObj>
          <w:docPartGallery w:val="Table of Contents"/>
          <w:docPartUnique/>
        </w:docPartObj>
      </w:sdtPr>
      <w:sdtEndPr>
        <w:rPr>
          <w:bCs/>
          <w:noProof/>
        </w:rPr>
      </w:sdtEndPr>
      <w:sdtContent>
        <w:p w14:paraId="5C738B8B" w14:textId="49A40A19" w:rsidR="00840176" w:rsidRDefault="00840176" w:rsidP="00A5704C">
          <w:pPr>
            <w:pStyle w:val="TOCHeading"/>
            <w:spacing w:line="240" w:lineRule="auto"/>
          </w:pPr>
          <w:r>
            <w:t>Table of Contents</w:t>
          </w:r>
        </w:p>
        <w:p w14:paraId="45760752" w14:textId="504AA85A" w:rsidR="0007015E" w:rsidRDefault="00840176">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89161764" w:history="1">
            <w:r w:rsidR="0007015E" w:rsidRPr="00D635A9">
              <w:rPr>
                <w:rStyle w:val="Hyperlink"/>
                <w:noProof/>
              </w:rPr>
              <w:t>INTRODUCTION</w:t>
            </w:r>
            <w:r w:rsidR="0007015E">
              <w:rPr>
                <w:noProof/>
                <w:webHidden/>
              </w:rPr>
              <w:tab/>
            </w:r>
            <w:r w:rsidR="0007015E">
              <w:rPr>
                <w:noProof/>
                <w:webHidden/>
              </w:rPr>
              <w:fldChar w:fldCharType="begin"/>
            </w:r>
            <w:r w:rsidR="0007015E">
              <w:rPr>
                <w:noProof/>
                <w:webHidden/>
              </w:rPr>
              <w:instrText xml:space="preserve"> PAGEREF _Toc89161764 \h </w:instrText>
            </w:r>
            <w:r w:rsidR="0007015E">
              <w:rPr>
                <w:noProof/>
                <w:webHidden/>
              </w:rPr>
            </w:r>
            <w:r w:rsidR="0007015E">
              <w:rPr>
                <w:noProof/>
                <w:webHidden/>
              </w:rPr>
              <w:fldChar w:fldCharType="separate"/>
            </w:r>
            <w:r w:rsidR="0007015E">
              <w:rPr>
                <w:noProof/>
                <w:webHidden/>
              </w:rPr>
              <w:t>3</w:t>
            </w:r>
            <w:r w:rsidR="0007015E">
              <w:rPr>
                <w:noProof/>
                <w:webHidden/>
              </w:rPr>
              <w:fldChar w:fldCharType="end"/>
            </w:r>
          </w:hyperlink>
        </w:p>
        <w:p w14:paraId="5C03A436" w14:textId="14451A6B" w:rsidR="0007015E" w:rsidRDefault="00A205BD">
          <w:pPr>
            <w:pStyle w:val="TOC1"/>
            <w:rPr>
              <w:rFonts w:asciiTheme="minorHAnsi" w:eastAsiaTheme="minorEastAsia" w:hAnsiTheme="minorHAnsi"/>
              <w:noProof/>
              <w:sz w:val="22"/>
              <w:lang w:eastAsia="en-GB"/>
            </w:rPr>
          </w:pPr>
          <w:hyperlink w:anchor="_Toc89161765" w:history="1">
            <w:r w:rsidR="0007015E" w:rsidRPr="00D635A9">
              <w:rPr>
                <w:rStyle w:val="Hyperlink"/>
                <w:noProof/>
              </w:rPr>
              <w:t>NOMINATION AND ENGAGEMENT</w:t>
            </w:r>
            <w:r w:rsidR="0007015E">
              <w:rPr>
                <w:noProof/>
                <w:webHidden/>
              </w:rPr>
              <w:tab/>
            </w:r>
            <w:r w:rsidR="0007015E">
              <w:rPr>
                <w:noProof/>
                <w:webHidden/>
              </w:rPr>
              <w:fldChar w:fldCharType="begin"/>
            </w:r>
            <w:r w:rsidR="0007015E">
              <w:rPr>
                <w:noProof/>
                <w:webHidden/>
              </w:rPr>
              <w:instrText xml:space="preserve"> PAGEREF _Toc89161765 \h </w:instrText>
            </w:r>
            <w:r w:rsidR="0007015E">
              <w:rPr>
                <w:noProof/>
                <w:webHidden/>
              </w:rPr>
            </w:r>
            <w:r w:rsidR="0007015E">
              <w:rPr>
                <w:noProof/>
                <w:webHidden/>
              </w:rPr>
              <w:fldChar w:fldCharType="separate"/>
            </w:r>
            <w:r w:rsidR="0007015E">
              <w:rPr>
                <w:noProof/>
                <w:webHidden/>
              </w:rPr>
              <w:t>5</w:t>
            </w:r>
            <w:r w:rsidR="0007015E">
              <w:rPr>
                <w:noProof/>
                <w:webHidden/>
              </w:rPr>
              <w:fldChar w:fldCharType="end"/>
            </w:r>
          </w:hyperlink>
        </w:p>
        <w:p w14:paraId="12BF9A24" w14:textId="708F8AE9" w:rsidR="0007015E" w:rsidRDefault="00A205BD">
          <w:pPr>
            <w:pStyle w:val="TOC2"/>
            <w:rPr>
              <w:rFonts w:asciiTheme="minorHAnsi" w:eastAsiaTheme="minorEastAsia" w:hAnsiTheme="minorHAnsi"/>
              <w:noProof/>
              <w:sz w:val="22"/>
              <w:lang w:eastAsia="en-GB"/>
            </w:rPr>
          </w:pPr>
          <w:hyperlink w:anchor="_Toc89161766" w:history="1">
            <w:r w:rsidR="0007015E" w:rsidRPr="00D635A9">
              <w:rPr>
                <w:rStyle w:val="Hyperlink"/>
                <w:noProof/>
              </w:rPr>
              <w:t>Criteria for engagement</w:t>
            </w:r>
            <w:r w:rsidR="0007015E">
              <w:rPr>
                <w:noProof/>
                <w:webHidden/>
              </w:rPr>
              <w:tab/>
            </w:r>
            <w:r w:rsidR="0007015E">
              <w:rPr>
                <w:noProof/>
                <w:webHidden/>
              </w:rPr>
              <w:fldChar w:fldCharType="begin"/>
            </w:r>
            <w:r w:rsidR="0007015E">
              <w:rPr>
                <w:noProof/>
                <w:webHidden/>
              </w:rPr>
              <w:instrText xml:space="preserve"> PAGEREF _Toc89161766 \h </w:instrText>
            </w:r>
            <w:r w:rsidR="0007015E">
              <w:rPr>
                <w:noProof/>
                <w:webHidden/>
              </w:rPr>
            </w:r>
            <w:r w:rsidR="0007015E">
              <w:rPr>
                <w:noProof/>
                <w:webHidden/>
              </w:rPr>
              <w:fldChar w:fldCharType="separate"/>
            </w:r>
            <w:r w:rsidR="0007015E">
              <w:rPr>
                <w:noProof/>
                <w:webHidden/>
              </w:rPr>
              <w:t>5</w:t>
            </w:r>
            <w:r w:rsidR="0007015E">
              <w:rPr>
                <w:noProof/>
                <w:webHidden/>
              </w:rPr>
              <w:fldChar w:fldCharType="end"/>
            </w:r>
          </w:hyperlink>
        </w:p>
        <w:p w14:paraId="5B89077B" w14:textId="5F995194" w:rsidR="0007015E" w:rsidRDefault="00A205BD">
          <w:pPr>
            <w:pStyle w:val="TOC2"/>
            <w:rPr>
              <w:rFonts w:asciiTheme="minorHAnsi" w:eastAsiaTheme="minorEastAsia" w:hAnsiTheme="minorHAnsi"/>
              <w:noProof/>
              <w:sz w:val="22"/>
              <w:lang w:eastAsia="en-GB"/>
            </w:rPr>
          </w:pPr>
          <w:hyperlink w:anchor="_Toc89161767" w:history="1">
            <w:r w:rsidR="0007015E" w:rsidRPr="00D635A9">
              <w:rPr>
                <w:rStyle w:val="Hyperlink"/>
                <w:noProof/>
              </w:rPr>
              <w:t>Current or previous associations</w:t>
            </w:r>
            <w:r w:rsidR="0007015E">
              <w:rPr>
                <w:noProof/>
                <w:webHidden/>
              </w:rPr>
              <w:tab/>
            </w:r>
            <w:r w:rsidR="0007015E">
              <w:rPr>
                <w:noProof/>
                <w:webHidden/>
              </w:rPr>
              <w:fldChar w:fldCharType="begin"/>
            </w:r>
            <w:r w:rsidR="0007015E">
              <w:rPr>
                <w:noProof/>
                <w:webHidden/>
              </w:rPr>
              <w:instrText xml:space="preserve"> PAGEREF _Toc89161767 \h </w:instrText>
            </w:r>
            <w:r w:rsidR="0007015E">
              <w:rPr>
                <w:noProof/>
                <w:webHidden/>
              </w:rPr>
            </w:r>
            <w:r w:rsidR="0007015E">
              <w:rPr>
                <w:noProof/>
                <w:webHidden/>
              </w:rPr>
              <w:fldChar w:fldCharType="separate"/>
            </w:r>
            <w:r w:rsidR="0007015E">
              <w:rPr>
                <w:noProof/>
                <w:webHidden/>
              </w:rPr>
              <w:t>7</w:t>
            </w:r>
            <w:r w:rsidR="0007015E">
              <w:rPr>
                <w:noProof/>
                <w:webHidden/>
              </w:rPr>
              <w:fldChar w:fldCharType="end"/>
            </w:r>
          </w:hyperlink>
        </w:p>
        <w:p w14:paraId="32F0E090" w14:textId="58DB5067" w:rsidR="0007015E" w:rsidRDefault="00A205BD">
          <w:pPr>
            <w:pStyle w:val="TOC2"/>
            <w:rPr>
              <w:rFonts w:asciiTheme="minorHAnsi" w:eastAsiaTheme="minorEastAsia" w:hAnsiTheme="minorHAnsi"/>
              <w:noProof/>
              <w:sz w:val="22"/>
              <w:lang w:eastAsia="en-GB"/>
            </w:rPr>
          </w:pPr>
          <w:hyperlink w:anchor="_Toc89161768" w:history="1">
            <w:r w:rsidR="0007015E" w:rsidRPr="00D635A9">
              <w:rPr>
                <w:rStyle w:val="Hyperlink"/>
                <w:noProof/>
              </w:rPr>
              <w:t>Reciprocity and other restrictions</w:t>
            </w:r>
            <w:r w:rsidR="0007015E">
              <w:rPr>
                <w:noProof/>
                <w:webHidden/>
              </w:rPr>
              <w:tab/>
            </w:r>
            <w:r w:rsidR="0007015E">
              <w:rPr>
                <w:noProof/>
                <w:webHidden/>
              </w:rPr>
              <w:fldChar w:fldCharType="begin"/>
            </w:r>
            <w:r w:rsidR="0007015E">
              <w:rPr>
                <w:noProof/>
                <w:webHidden/>
              </w:rPr>
              <w:instrText xml:space="preserve"> PAGEREF _Toc89161768 \h </w:instrText>
            </w:r>
            <w:r w:rsidR="0007015E">
              <w:rPr>
                <w:noProof/>
                <w:webHidden/>
              </w:rPr>
            </w:r>
            <w:r w:rsidR="0007015E">
              <w:rPr>
                <w:noProof/>
                <w:webHidden/>
              </w:rPr>
              <w:fldChar w:fldCharType="separate"/>
            </w:r>
            <w:r w:rsidR="0007015E">
              <w:rPr>
                <w:noProof/>
                <w:webHidden/>
              </w:rPr>
              <w:t>8</w:t>
            </w:r>
            <w:r w:rsidR="0007015E">
              <w:rPr>
                <w:noProof/>
                <w:webHidden/>
              </w:rPr>
              <w:fldChar w:fldCharType="end"/>
            </w:r>
          </w:hyperlink>
        </w:p>
        <w:p w14:paraId="5DE3B6D9" w14:textId="43D5FCD7" w:rsidR="0007015E" w:rsidRDefault="00A205BD">
          <w:pPr>
            <w:pStyle w:val="TOC2"/>
            <w:rPr>
              <w:rFonts w:asciiTheme="minorHAnsi" w:eastAsiaTheme="minorEastAsia" w:hAnsiTheme="minorHAnsi"/>
              <w:noProof/>
              <w:sz w:val="22"/>
              <w:lang w:eastAsia="en-GB"/>
            </w:rPr>
          </w:pPr>
          <w:hyperlink w:anchor="_Toc89161769" w:history="1">
            <w:r w:rsidR="0007015E" w:rsidRPr="00D635A9">
              <w:rPr>
                <w:rStyle w:val="Hyperlink"/>
                <w:noProof/>
              </w:rPr>
              <w:t>Criteria for Chief External Examiners</w:t>
            </w:r>
            <w:r w:rsidR="0007015E">
              <w:rPr>
                <w:noProof/>
                <w:webHidden/>
              </w:rPr>
              <w:tab/>
            </w:r>
            <w:r w:rsidR="0007015E">
              <w:rPr>
                <w:noProof/>
                <w:webHidden/>
              </w:rPr>
              <w:fldChar w:fldCharType="begin"/>
            </w:r>
            <w:r w:rsidR="0007015E">
              <w:rPr>
                <w:noProof/>
                <w:webHidden/>
              </w:rPr>
              <w:instrText xml:space="preserve"> PAGEREF _Toc89161769 \h </w:instrText>
            </w:r>
            <w:r w:rsidR="0007015E">
              <w:rPr>
                <w:noProof/>
                <w:webHidden/>
              </w:rPr>
            </w:r>
            <w:r w:rsidR="0007015E">
              <w:rPr>
                <w:noProof/>
                <w:webHidden/>
              </w:rPr>
              <w:fldChar w:fldCharType="separate"/>
            </w:r>
            <w:r w:rsidR="0007015E">
              <w:rPr>
                <w:noProof/>
                <w:webHidden/>
              </w:rPr>
              <w:t>8</w:t>
            </w:r>
            <w:r w:rsidR="0007015E">
              <w:rPr>
                <w:noProof/>
                <w:webHidden/>
              </w:rPr>
              <w:fldChar w:fldCharType="end"/>
            </w:r>
          </w:hyperlink>
        </w:p>
        <w:p w14:paraId="03EA8810" w14:textId="1107EB79" w:rsidR="0007015E" w:rsidRDefault="00A205BD">
          <w:pPr>
            <w:pStyle w:val="TOC2"/>
            <w:rPr>
              <w:rFonts w:asciiTheme="minorHAnsi" w:eastAsiaTheme="minorEastAsia" w:hAnsiTheme="minorHAnsi"/>
              <w:noProof/>
              <w:sz w:val="22"/>
              <w:lang w:eastAsia="en-GB"/>
            </w:rPr>
          </w:pPr>
          <w:hyperlink w:anchor="_Toc89161770" w:history="1">
            <w:r w:rsidR="0007015E" w:rsidRPr="00D635A9">
              <w:rPr>
                <w:rStyle w:val="Hyperlink"/>
                <w:noProof/>
              </w:rPr>
              <w:t>Nomination Process</w:t>
            </w:r>
            <w:r w:rsidR="0007015E">
              <w:rPr>
                <w:noProof/>
                <w:webHidden/>
              </w:rPr>
              <w:tab/>
            </w:r>
            <w:r w:rsidR="0007015E">
              <w:rPr>
                <w:noProof/>
                <w:webHidden/>
              </w:rPr>
              <w:fldChar w:fldCharType="begin"/>
            </w:r>
            <w:r w:rsidR="0007015E">
              <w:rPr>
                <w:noProof/>
                <w:webHidden/>
              </w:rPr>
              <w:instrText xml:space="preserve"> PAGEREF _Toc89161770 \h </w:instrText>
            </w:r>
            <w:r w:rsidR="0007015E">
              <w:rPr>
                <w:noProof/>
                <w:webHidden/>
              </w:rPr>
            </w:r>
            <w:r w:rsidR="0007015E">
              <w:rPr>
                <w:noProof/>
                <w:webHidden/>
              </w:rPr>
              <w:fldChar w:fldCharType="separate"/>
            </w:r>
            <w:r w:rsidR="0007015E">
              <w:rPr>
                <w:noProof/>
                <w:webHidden/>
              </w:rPr>
              <w:t>8</w:t>
            </w:r>
            <w:r w:rsidR="0007015E">
              <w:rPr>
                <w:noProof/>
                <w:webHidden/>
              </w:rPr>
              <w:fldChar w:fldCharType="end"/>
            </w:r>
          </w:hyperlink>
        </w:p>
        <w:p w14:paraId="5772907F" w14:textId="511AAE4B" w:rsidR="0007015E" w:rsidRDefault="00A205BD">
          <w:pPr>
            <w:pStyle w:val="TOC2"/>
            <w:rPr>
              <w:rFonts w:asciiTheme="minorHAnsi" w:eastAsiaTheme="minorEastAsia" w:hAnsiTheme="minorHAnsi"/>
              <w:noProof/>
              <w:sz w:val="22"/>
              <w:lang w:eastAsia="en-GB"/>
            </w:rPr>
          </w:pPr>
          <w:hyperlink w:anchor="_Toc89161771" w:history="1">
            <w:r w:rsidR="0007015E" w:rsidRPr="00D635A9">
              <w:rPr>
                <w:rStyle w:val="Hyperlink"/>
                <w:noProof/>
              </w:rPr>
              <w:t>Institutional Approval</w:t>
            </w:r>
            <w:r w:rsidR="0007015E">
              <w:rPr>
                <w:noProof/>
                <w:webHidden/>
              </w:rPr>
              <w:tab/>
            </w:r>
            <w:r w:rsidR="0007015E">
              <w:rPr>
                <w:noProof/>
                <w:webHidden/>
              </w:rPr>
              <w:fldChar w:fldCharType="begin"/>
            </w:r>
            <w:r w:rsidR="0007015E">
              <w:rPr>
                <w:noProof/>
                <w:webHidden/>
              </w:rPr>
              <w:instrText xml:space="preserve"> PAGEREF _Toc89161771 \h </w:instrText>
            </w:r>
            <w:r w:rsidR="0007015E">
              <w:rPr>
                <w:noProof/>
                <w:webHidden/>
              </w:rPr>
            </w:r>
            <w:r w:rsidR="0007015E">
              <w:rPr>
                <w:noProof/>
                <w:webHidden/>
              </w:rPr>
              <w:fldChar w:fldCharType="separate"/>
            </w:r>
            <w:r w:rsidR="0007015E">
              <w:rPr>
                <w:noProof/>
                <w:webHidden/>
              </w:rPr>
              <w:t>9</w:t>
            </w:r>
            <w:r w:rsidR="0007015E">
              <w:rPr>
                <w:noProof/>
                <w:webHidden/>
              </w:rPr>
              <w:fldChar w:fldCharType="end"/>
            </w:r>
          </w:hyperlink>
        </w:p>
        <w:p w14:paraId="611E4B4D" w14:textId="53E1A182" w:rsidR="0007015E" w:rsidRDefault="00A205BD">
          <w:pPr>
            <w:pStyle w:val="TOC2"/>
            <w:rPr>
              <w:rFonts w:asciiTheme="minorHAnsi" w:eastAsiaTheme="minorEastAsia" w:hAnsiTheme="minorHAnsi"/>
              <w:noProof/>
              <w:sz w:val="22"/>
              <w:lang w:eastAsia="en-GB"/>
            </w:rPr>
          </w:pPr>
          <w:hyperlink w:anchor="_Toc89161772" w:history="1">
            <w:r w:rsidR="0007015E" w:rsidRPr="00D635A9">
              <w:rPr>
                <w:rStyle w:val="Hyperlink"/>
                <w:noProof/>
              </w:rPr>
              <w:t>Period of engagement</w:t>
            </w:r>
            <w:r w:rsidR="0007015E">
              <w:rPr>
                <w:noProof/>
                <w:webHidden/>
              </w:rPr>
              <w:tab/>
            </w:r>
            <w:r w:rsidR="0007015E">
              <w:rPr>
                <w:noProof/>
                <w:webHidden/>
              </w:rPr>
              <w:fldChar w:fldCharType="begin"/>
            </w:r>
            <w:r w:rsidR="0007015E">
              <w:rPr>
                <w:noProof/>
                <w:webHidden/>
              </w:rPr>
              <w:instrText xml:space="preserve"> PAGEREF _Toc89161772 \h </w:instrText>
            </w:r>
            <w:r w:rsidR="0007015E">
              <w:rPr>
                <w:noProof/>
                <w:webHidden/>
              </w:rPr>
            </w:r>
            <w:r w:rsidR="0007015E">
              <w:rPr>
                <w:noProof/>
                <w:webHidden/>
              </w:rPr>
              <w:fldChar w:fldCharType="separate"/>
            </w:r>
            <w:r w:rsidR="0007015E">
              <w:rPr>
                <w:noProof/>
                <w:webHidden/>
              </w:rPr>
              <w:t>9</w:t>
            </w:r>
            <w:r w:rsidR="0007015E">
              <w:rPr>
                <w:noProof/>
                <w:webHidden/>
              </w:rPr>
              <w:fldChar w:fldCharType="end"/>
            </w:r>
          </w:hyperlink>
        </w:p>
        <w:p w14:paraId="623BA9C7" w14:textId="414FEEDC" w:rsidR="0007015E" w:rsidRDefault="00A205BD">
          <w:pPr>
            <w:pStyle w:val="TOC2"/>
            <w:rPr>
              <w:rFonts w:asciiTheme="minorHAnsi" w:eastAsiaTheme="minorEastAsia" w:hAnsiTheme="minorHAnsi"/>
              <w:noProof/>
              <w:sz w:val="22"/>
              <w:lang w:eastAsia="en-GB"/>
            </w:rPr>
          </w:pPr>
          <w:hyperlink w:anchor="_Toc89161773" w:history="1">
            <w:r w:rsidR="0007015E" w:rsidRPr="00D635A9">
              <w:rPr>
                <w:rStyle w:val="Hyperlink"/>
                <w:noProof/>
              </w:rPr>
              <w:t>Induction</w:t>
            </w:r>
            <w:r w:rsidR="0007015E">
              <w:rPr>
                <w:noProof/>
                <w:webHidden/>
              </w:rPr>
              <w:tab/>
            </w:r>
            <w:r w:rsidR="0007015E">
              <w:rPr>
                <w:noProof/>
                <w:webHidden/>
              </w:rPr>
              <w:fldChar w:fldCharType="begin"/>
            </w:r>
            <w:r w:rsidR="0007015E">
              <w:rPr>
                <w:noProof/>
                <w:webHidden/>
              </w:rPr>
              <w:instrText xml:space="preserve"> PAGEREF _Toc89161773 \h </w:instrText>
            </w:r>
            <w:r w:rsidR="0007015E">
              <w:rPr>
                <w:noProof/>
                <w:webHidden/>
              </w:rPr>
            </w:r>
            <w:r w:rsidR="0007015E">
              <w:rPr>
                <w:noProof/>
                <w:webHidden/>
              </w:rPr>
              <w:fldChar w:fldCharType="separate"/>
            </w:r>
            <w:r w:rsidR="0007015E">
              <w:rPr>
                <w:noProof/>
                <w:webHidden/>
              </w:rPr>
              <w:t>11</w:t>
            </w:r>
            <w:r w:rsidR="0007015E">
              <w:rPr>
                <w:noProof/>
                <w:webHidden/>
              </w:rPr>
              <w:fldChar w:fldCharType="end"/>
            </w:r>
          </w:hyperlink>
        </w:p>
        <w:p w14:paraId="25ED2B35" w14:textId="132BC02B" w:rsidR="0007015E" w:rsidRDefault="00A205BD">
          <w:pPr>
            <w:pStyle w:val="TOC2"/>
            <w:rPr>
              <w:rFonts w:asciiTheme="minorHAnsi" w:eastAsiaTheme="minorEastAsia" w:hAnsiTheme="minorHAnsi"/>
              <w:noProof/>
              <w:sz w:val="22"/>
              <w:lang w:eastAsia="en-GB"/>
            </w:rPr>
          </w:pPr>
          <w:hyperlink w:anchor="_Toc89161774" w:history="1">
            <w:r w:rsidR="0007015E" w:rsidRPr="00D635A9">
              <w:rPr>
                <w:rStyle w:val="Hyperlink"/>
                <w:noProof/>
              </w:rPr>
              <w:t>Changes of assigned modules or programmes</w:t>
            </w:r>
            <w:r w:rsidR="0007015E">
              <w:rPr>
                <w:noProof/>
                <w:webHidden/>
              </w:rPr>
              <w:tab/>
            </w:r>
            <w:r w:rsidR="0007015E">
              <w:rPr>
                <w:noProof/>
                <w:webHidden/>
              </w:rPr>
              <w:fldChar w:fldCharType="begin"/>
            </w:r>
            <w:r w:rsidR="0007015E">
              <w:rPr>
                <w:noProof/>
                <w:webHidden/>
              </w:rPr>
              <w:instrText xml:space="preserve"> PAGEREF _Toc89161774 \h </w:instrText>
            </w:r>
            <w:r w:rsidR="0007015E">
              <w:rPr>
                <w:noProof/>
                <w:webHidden/>
              </w:rPr>
            </w:r>
            <w:r w:rsidR="0007015E">
              <w:rPr>
                <w:noProof/>
                <w:webHidden/>
              </w:rPr>
              <w:fldChar w:fldCharType="separate"/>
            </w:r>
            <w:r w:rsidR="0007015E">
              <w:rPr>
                <w:noProof/>
                <w:webHidden/>
              </w:rPr>
              <w:t>11</w:t>
            </w:r>
            <w:r w:rsidR="0007015E">
              <w:rPr>
                <w:noProof/>
                <w:webHidden/>
              </w:rPr>
              <w:fldChar w:fldCharType="end"/>
            </w:r>
          </w:hyperlink>
        </w:p>
        <w:p w14:paraId="169F6A05" w14:textId="66790EDA" w:rsidR="0007015E" w:rsidRDefault="00A205BD">
          <w:pPr>
            <w:pStyle w:val="TOC2"/>
            <w:rPr>
              <w:rFonts w:asciiTheme="minorHAnsi" w:eastAsiaTheme="minorEastAsia" w:hAnsiTheme="minorHAnsi"/>
              <w:noProof/>
              <w:sz w:val="22"/>
              <w:lang w:eastAsia="en-GB"/>
            </w:rPr>
          </w:pPr>
          <w:hyperlink w:anchor="_Toc89161775" w:history="1">
            <w:r w:rsidR="0007015E" w:rsidRPr="00D635A9">
              <w:rPr>
                <w:rStyle w:val="Hyperlink"/>
                <w:noProof/>
              </w:rPr>
              <w:t>Changes of examiners’ circumstances</w:t>
            </w:r>
            <w:r w:rsidR="0007015E">
              <w:rPr>
                <w:noProof/>
                <w:webHidden/>
              </w:rPr>
              <w:tab/>
            </w:r>
            <w:r w:rsidR="0007015E">
              <w:rPr>
                <w:noProof/>
                <w:webHidden/>
              </w:rPr>
              <w:fldChar w:fldCharType="begin"/>
            </w:r>
            <w:r w:rsidR="0007015E">
              <w:rPr>
                <w:noProof/>
                <w:webHidden/>
              </w:rPr>
              <w:instrText xml:space="preserve"> PAGEREF _Toc89161775 \h </w:instrText>
            </w:r>
            <w:r w:rsidR="0007015E">
              <w:rPr>
                <w:noProof/>
                <w:webHidden/>
              </w:rPr>
            </w:r>
            <w:r w:rsidR="0007015E">
              <w:rPr>
                <w:noProof/>
                <w:webHidden/>
              </w:rPr>
              <w:fldChar w:fldCharType="separate"/>
            </w:r>
            <w:r w:rsidR="0007015E">
              <w:rPr>
                <w:noProof/>
                <w:webHidden/>
              </w:rPr>
              <w:t>13</w:t>
            </w:r>
            <w:r w:rsidR="0007015E">
              <w:rPr>
                <w:noProof/>
                <w:webHidden/>
              </w:rPr>
              <w:fldChar w:fldCharType="end"/>
            </w:r>
          </w:hyperlink>
        </w:p>
        <w:p w14:paraId="7CB30C84" w14:textId="0B3844B5" w:rsidR="0007015E" w:rsidRDefault="00A205BD">
          <w:pPr>
            <w:pStyle w:val="TOC2"/>
            <w:rPr>
              <w:rFonts w:asciiTheme="minorHAnsi" w:eastAsiaTheme="minorEastAsia" w:hAnsiTheme="minorHAnsi"/>
              <w:noProof/>
              <w:sz w:val="22"/>
              <w:lang w:eastAsia="en-GB"/>
            </w:rPr>
          </w:pPr>
          <w:hyperlink w:anchor="_Toc89161776" w:history="1">
            <w:r w:rsidR="0007015E" w:rsidRPr="00D635A9">
              <w:rPr>
                <w:rStyle w:val="Hyperlink"/>
                <w:noProof/>
              </w:rPr>
              <w:t>Published Information for Students</w:t>
            </w:r>
            <w:r w:rsidR="0007015E">
              <w:rPr>
                <w:noProof/>
                <w:webHidden/>
              </w:rPr>
              <w:tab/>
            </w:r>
            <w:r w:rsidR="0007015E">
              <w:rPr>
                <w:noProof/>
                <w:webHidden/>
              </w:rPr>
              <w:fldChar w:fldCharType="begin"/>
            </w:r>
            <w:r w:rsidR="0007015E">
              <w:rPr>
                <w:noProof/>
                <w:webHidden/>
              </w:rPr>
              <w:instrText xml:space="preserve"> PAGEREF _Toc89161776 \h </w:instrText>
            </w:r>
            <w:r w:rsidR="0007015E">
              <w:rPr>
                <w:noProof/>
                <w:webHidden/>
              </w:rPr>
            </w:r>
            <w:r w:rsidR="0007015E">
              <w:rPr>
                <w:noProof/>
                <w:webHidden/>
              </w:rPr>
              <w:fldChar w:fldCharType="separate"/>
            </w:r>
            <w:r w:rsidR="0007015E">
              <w:rPr>
                <w:noProof/>
                <w:webHidden/>
              </w:rPr>
              <w:t>13</w:t>
            </w:r>
            <w:r w:rsidR="0007015E">
              <w:rPr>
                <w:noProof/>
                <w:webHidden/>
              </w:rPr>
              <w:fldChar w:fldCharType="end"/>
            </w:r>
          </w:hyperlink>
        </w:p>
        <w:p w14:paraId="7BF427D3" w14:textId="4B4D8756" w:rsidR="0007015E" w:rsidRDefault="00A205BD">
          <w:pPr>
            <w:pStyle w:val="TOC2"/>
            <w:rPr>
              <w:rFonts w:asciiTheme="minorHAnsi" w:eastAsiaTheme="minorEastAsia" w:hAnsiTheme="minorHAnsi"/>
              <w:noProof/>
              <w:sz w:val="22"/>
              <w:lang w:eastAsia="en-GB"/>
            </w:rPr>
          </w:pPr>
          <w:hyperlink w:anchor="_Toc89161777" w:history="1">
            <w:r w:rsidR="0007015E" w:rsidRPr="00D635A9">
              <w:rPr>
                <w:rStyle w:val="Hyperlink"/>
                <w:noProof/>
              </w:rPr>
              <w:t>Research Degrees</w:t>
            </w:r>
            <w:r w:rsidR="0007015E">
              <w:rPr>
                <w:noProof/>
                <w:webHidden/>
              </w:rPr>
              <w:tab/>
            </w:r>
            <w:r w:rsidR="0007015E">
              <w:rPr>
                <w:noProof/>
                <w:webHidden/>
              </w:rPr>
              <w:fldChar w:fldCharType="begin"/>
            </w:r>
            <w:r w:rsidR="0007015E">
              <w:rPr>
                <w:noProof/>
                <w:webHidden/>
              </w:rPr>
              <w:instrText xml:space="preserve"> PAGEREF _Toc89161777 \h </w:instrText>
            </w:r>
            <w:r w:rsidR="0007015E">
              <w:rPr>
                <w:noProof/>
                <w:webHidden/>
              </w:rPr>
            </w:r>
            <w:r w:rsidR="0007015E">
              <w:rPr>
                <w:noProof/>
                <w:webHidden/>
              </w:rPr>
              <w:fldChar w:fldCharType="separate"/>
            </w:r>
            <w:r w:rsidR="0007015E">
              <w:rPr>
                <w:noProof/>
                <w:webHidden/>
              </w:rPr>
              <w:t>13</w:t>
            </w:r>
            <w:r w:rsidR="0007015E">
              <w:rPr>
                <w:noProof/>
                <w:webHidden/>
              </w:rPr>
              <w:fldChar w:fldCharType="end"/>
            </w:r>
          </w:hyperlink>
        </w:p>
        <w:p w14:paraId="60A8BDDD" w14:textId="76ACD110" w:rsidR="0007015E" w:rsidRDefault="00A205BD">
          <w:pPr>
            <w:pStyle w:val="TOC1"/>
            <w:rPr>
              <w:rFonts w:asciiTheme="minorHAnsi" w:eastAsiaTheme="minorEastAsia" w:hAnsiTheme="minorHAnsi"/>
              <w:noProof/>
              <w:sz w:val="22"/>
              <w:lang w:eastAsia="en-GB"/>
            </w:rPr>
          </w:pPr>
          <w:hyperlink w:anchor="_Toc89161778" w:history="1">
            <w:r w:rsidR="0007015E" w:rsidRPr="00D635A9">
              <w:rPr>
                <w:rStyle w:val="Hyperlink"/>
                <w:noProof/>
              </w:rPr>
              <w:t>ROLE AND RESPONSIBILITIES</w:t>
            </w:r>
            <w:r w:rsidR="0007015E">
              <w:rPr>
                <w:noProof/>
                <w:webHidden/>
              </w:rPr>
              <w:tab/>
            </w:r>
            <w:r w:rsidR="0007015E">
              <w:rPr>
                <w:noProof/>
                <w:webHidden/>
              </w:rPr>
              <w:fldChar w:fldCharType="begin"/>
            </w:r>
            <w:r w:rsidR="0007015E">
              <w:rPr>
                <w:noProof/>
                <w:webHidden/>
              </w:rPr>
              <w:instrText xml:space="preserve"> PAGEREF _Toc89161778 \h </w:instrText>
            </w:r>
            <w:r w:rsidR="0007015E">
              <w:rPr>
                <w:noProof/>
                <w:webHidden/>
              </w:rPr>
            </w:r>
            <w:r w:rsidR="0007015E">
              <w:rPr>
                <w:noProof/>
                <w:webHidden/>
              </w:rPr>
              <w:fldChar w:fldCharType="separate"/>
            </w:r>
            <w:r w:rsidR="0007015E">
              <w:rPr>
                <w:noProof/>
                <w:webHidden/>
              </w:rPr>
              <w:t>13</w:t>
            </w:r>
            <w:r w:rsidR="0007015E">
              <w:rPr>
                <w:noProof/>
                <w:webHidden/>
              </w:rPr>
              <w:fldChar w:fldCharType="end"/>
            </w:r>
          </w:hyperlink>
        </w:p>
        <w:p w14:paraId="4488BCFF" w14:textId="3F7519EA" w:rsidR="0007015E" w:rsidRDefault="00A205BD">
          <w:pPr>
            <w:pStyle w:val="TOC2"/>
            <w:rPr>
              <w:rFonts w:asciiTheme="minorHAnsi" w:eastAsiaTheme="minorEastAsia" w:hAnsiTheme="minorHAnsi"/>
              <w:noProof/>
              <w:sz w:val="22"/>
              <w:lang w:eastAsia="en-GB"/>
            </w:rPr>
          </w:pPr>
          <w:hyperlink w:anchor="_Toc89161779" w:history="1">
            <w:r w:rsidR="0007015E" w:rsidRPr="00D635A9">
              <w:rPr>
                <w:rStyle w:val="Hyperlink"/>
                <w:noProof/>
              </w:rPr>
              <w:t>Primary role of External Examiners</w:t>
            </w:r>
            <w:r w:rsidR="0007015E">
              <w:rPr>
                <w:noProof/>
                <w:webHidden/>
              </w:rPr>
              <w:tab/>
            </w:r>
            <w:r w:rsidR="0007015E">
              <w:rPr>
                <w:noProof/>
                <w:webHidden/>
              </w:rPr>
              <w:fldChar w:fldCharType="begin"/>
            </w:r>
            <w:r w:rsidR="0007015E">
              <w:rPr>
                <w:noProof/>
                <w:webHidden/>
              </w:rPr>
              <w:instrText xml:space="preserve"> PAGEREF _Toc89161779 \h </w:instrText>
            </w:r>
            <w:r w:rsidR="0007015E">
              <w:rPr>
                <w:noProof/>
                <w:webHidden/>
              </w:rPr>
            </w:r>
            <w:r w:rsidR="0007015E">
              <w:rPr>
                <w:noProof/>
                <w:webHidden/>
              </w:rPr>
              <w:fldChar w:fldCharType="separate"/>
            </w:r>
            <w:r w:rsidR="0007015E">
              <w:rPr>
                <w:noProof/>
                <w:webHidden/>
              </w:rPr>
              <w:t>14</w:t>
            </w:r>
            <w:r w:rsidR="0007015E">
              <w:rPr>
                <w:noProof/>
                <w:webHidden/>
              </w:rPr>
              <w:fldChar w:fldCharType="end"/>
            </w:r>
          </w:hyperlink>
        </w:p>
        <w:p w14:paraId="4CC76A30" w14:textId="0EF64489" w:rsidR="0007015E" w:rsidRDefault="00A205BD">
          <w:pPr>
            <w:pStyle w:val="TOC2"/>
            <w:rPr>
              <w:rFonts w:asciiTheme="minorHAnsi" w:eastAsiaTheme="minorEastAsia" w:hAnsiTheme="minorHAnsi"/>
              <w:noProof/>
              <w:sz w:val="22"/>
              <w:lang w:eastAsia="en-GB"/>
            </w:rPr>
          </w:pPr>
          <w:hyperlink w:anchor="_Toc89161780" w:history="1">
            <w:r w:rsidR="0007015E" w:rsidRPr="00D635A9">
              <w:rPr>
                <w:rStyle w:val="Hyperlink"/>
                <w:noProof/>
              </w:rPr>
              <w:t>Secondary role of External Examiners</w:t>
            </w:r>
            <w:r w:rsidR="0007015E">
              <w:rPr>
                <w:noProof/>
                <w:webHidden/>
              </w:rPr>
              <w:tab/>
            </w:r>
            <w:r w:rsidR="0007015E">
              <w:rPr>
                <w:noProof/>
                <w:webHidden/>
              </w:rPr>
              <w:fldChar w:fldCharType="begin"/>
            </w:r>
            <w:r w:rsidR="0007015E">
              <w:rPr>
                <w:noProof/>
                <w:webHidden/>
              </w:rPr>
              <w:instrText xml:space="preserve"> PAGEREF _Toc89161780 \h </w:instrText>
            </w:r>
            <w:r w:rsidR="0007015E">
              <w:rPr>
                <w:noProof/>
                <w:webHidden/>
              </w:rPr>
            </w:r>
            <w:r w:rsidR="0007015E">
              <w:rPr>
                <w:noProof/>
                <w:webHidden/>
              </w:rPr>
              <w:fldChar w:fldCharType="separate"/>
            </w:r>
            <w:r w:rsidR="0007015E">
              <w:rPr>
                <w:noProof/>
                <w:webHidden/>
              </w:rPr>
              <w:t>16</w:t>
            </w:r>
            <w:r w:rsidR="0007015E">
              <w:rPr>
                <w:noProof/>
                <w:webHidden/>
              </w:rPr>
              <w:fldChar w:fldCharType="end"/>
            </w:r>
          </w:hyperlink>
        </w:p>
        <w:p w14:paraId="19418E54" w14:textId="48A0A463" w:rsidR="0007015E" w:rsidRDefault="00A205BD">
          <w:pPr>
            <w:pStyle w:val="TOC2"/>
            <w:rPr>
              <w:rFonts w:asciiTheme="minorHAnsi" w:eastAsiaTheme="minorEastAsia" w:hAnsiTheme="minorHAnsi"/>
              <w:noProof/>
              <w:sz w:val="22"/>
              <w:lang w:eastAsia="en-GB"/>
            </w:rPr>
          </w:pPr>
          <w:hyperlink w:anchor="_Toc89161781" w:history="1">
            <w:r w:rsidR="0007015E" w:rsidRPr="00D635A9">
              <w:rPr>
                <w:rStyle w:val="Hyperlink"/>
                <w:noProof/>
              </w:rPr>
              <w:t>The Role of Chief External Examiners</w:t>
            </w:r>
            <w:r w:rsidR="0007015E">
              <w:rPr>
                <w:noProof/>
                <w:webHidden/>
              </w:rPr>
              <w:tab/>
            </w:r>
            <w:r w:rsidR="0007015E">
              <w:rPr>
                <w:noProof/>
                <w:webHidden/>
              </w:rPr>
              <w:fldChar w:fldCharType="begin"/>
            </w:r>
            <w:r w:rsidR="0007015E">
              <w:rPr>
                <w:noProof/>
                <w:webHidden/>
              </w:rPr>
              <w:instrText xml:space="preserve"> PAGEREF _Toc89161781 \h </w:instrText>
            </w:r>
            <w:r w:rsidR="0007015E">
              <w:rPr>
                <w:noProof/>
                <w:webHidden/>
              </w:rPr>
            </w:r>
            <w:r w:rsidR="0007015E">
              <w:rPr>
                <w:noProof/>
                <w:webHidden/>
              </w:rPr>
              <w:fldChar w:fldCharType="separate"/>
            </w:r>
            <w:r w:rsidR="0007015E">
              <w:rPr>
                <w:noProof/>
                <w:webHidden/>
              </w:rPr>
              <w:t>16</w:t>
            </w:r>
            <w:r w:rsidR="0007015E">
              <w:rPr>
                <w:noProof/>
                <w:webHidden/>
              </w:rPr>
              <w:fldChar w:fldCharType="end"/>
            </w:r>
          </w:hyperlink>
        </w:p>
        <w:p w14:paraId="02FDECA9" w14:textId="3AE1B085" w:rsidR="0007015E" w:rsidRDefault="00A205BD">
          <w:pPr>
            <w:pStyle w:val="TOC2"/>
            <w:rPr>
              <w:rFonts w:asciiTheme="minorHAnsi" w:eastAsiaTheme="minorEastAsia" w:hAnsiTheme="minorHAnsi"/>
              <w:noProof/>
              <w:sz w:val="22"/>
              <w:lang w:eastAsia="en-GB"/>
            </w:rPr>
          </w:pPr>
          <w:hyperlink w:anchor="_Toc89161782" w:history="1">
            <w:r w:rsidR="0007015E" w:rsidRPr="00D635A9">
              <w:rPr>
                <w:rStyle w:val="Hyperlink"/>
                <w:noProof/>
              </w:rPr>
              <w:t>Edge Hill University External Examiners Workload Model</w:t>
            </w:r>
            <w:r w:rsidR="0007015E">
              <w:rPr>
                <w:noProof/>
                <w:webHidden/>
              </w:rPr>
              <w:tab/>
            </w:r>
            <w:r w:rsidR="0007015E">
              <w:rPr>
                <w:noProof/>
                <w:webHidden/>
              </w:rPr>
              <w:fldChar w:fldCharType="begin"/>
            </w:r>
            <w:r w:rsidR="0007015E">
              <w:rPr>
                <w:noProof/>
                <w:webHidden/>
              </w:rPr>
              <w:instrText xml:space="preserve"> PAGEREF _Toc89161782 \h </w:instrText>
            </w:r>
            <w:r w:rsidR="0007015E">
              <w:rPr>
                <w:noProof/>
                <w:webHidden/>
              </w:rPr>
            </w:r>
            <w:r w:rsidR="0007015E">
              <w:rPr>
                <w:noProof/>
                <w:webHidden/>
              </w:rPr>
              <w:fldChar w:fldCharType="separate"/>
            </w:r>
            <w:r w:rsidR="0007015E">
              <w:rPr>
                <w:noProof/>
                <w:webHidden/>
              </w:rPr>
              <w:t>17</w:t>
            </w:r>
            <w:r w:rsidR="0007015E">
              <w:rPr>
                <w:noProof/>
                <w:webHidden/>
              </w:rPr>
              <w:fldChar w:fldCharType="end"/>
            </w:r>
          </w:hyperlink>
        </w:p>
        <w:p w14:paraId="626CAF16" w14:textId="3AAC6A95" w:rsidR="0007015E" w:rsidRDefault="00A205BD">
          <w:pPr>
            <w:pStyle w:val="TOC1"/>
            <w:rPr>
              <w:rFonts w:asciiTheme="minorHAnsi" w:eastAsiaTheme="minorEastAsia" w:hAnsiTheme="minorHAnsi"/>
              <w:noProof/>
              <w:sz w:val="22"/>
              <w:lang w:eastAsia="en-GB"/>
            </w:rPr>
          </w:pPr>
          <w:hyperlink w:anchor="_Toc89161783" w:history="1">
            <w:r w:rsidR="0007015E" w:rsidRPr="00D635A9">
              <w:rPr>
                <w:rStyle w:val="Hyperlink"/>
                <w:noProof/>
              </w:rPr>
              <w:t>REPORTS</w:t>
            </w:r>
            <w:r w:rsidR="0007015E">
              <w:rPr>
                <w:noProof/>
                <w:webHidden/>
              </w:rPr>
              <w:tab/>
            </w:r>
            <w:r w:rsidR="0007015E">
              <w:rPr>
                <w:noProof/>
                <w:webHidden/>
              </w:rPr>
              <w:fldChar w:fldCharType="begin"/>
            </w:r>
            <w:r w:rsidR="0007015E">
              <w:rPr>
                <w:noProof/>
                <w:webHidden/>
              </w:rPr>
              <w:instrText xml:space="preserve"> PAGEREF _Toc89161783 \h </w:instrText>
            </w:r>
            <w:r w:rsidR="0007015E">
              <w:rPr>
                <w:noProof/>
                <w:webHidden/>
              </w:rPr>
            </w:r>
            <w:r w:rsidR="0007015E">
              <w:rPr>
                <w:noProof/>
                <w:webHidden/>
              </w:rPr>
              <w:fldChar w:fldCharType="separate"/>
            </w:r>
            <w:r w:rsidR="0007015E">
              <w:rPr>
                <w:noProof/>
                <w:webHidden/>
              </w:rPr>
              <w:t>18</w:t>
            </w:r>
            <w:r w:rsidR="0007015E">
              <w:rPr>
                <w:noProof/>
                <w:webHidden/>
              </w:rPr>
              <w:fldChar w:fldCharType="end"/>
            </w:r>
          </w:hyperlink>
        </w:p>
        <w:p w14:paraId="7E85D8D3" w14:textId="0518A068" w:rsidR="0007015E" w:rsidRDefault="00A205BD">
          <w:pPr>
            <w:pStyle w:val="TOC2"/>
            <w:rPr>
              <w:rFonts w:asciiTheme="minorHAnsi" w:eastAsiaTheme="minorEastAsia" w:hAnsiTheme="minorHAnsi"/>
              <w:noProof/>
              <w:sz w:val="22"/>
              <w:lang w:eastAsia="en-GB"/>
            </w:rPr>
          </w:pPr>
          <w:hyperlink w:anchor="_Toc89161784" w:history="1">
            <w:r w:rsidR="0007015E" w:rsidRPr="00D635A9">
              <w:rPr>
                <w:rStyle w:val="Hyperlink"/>
                <w:noProof/>
              </w:rPr>
              <w:t>Institutional Overviews of External Examiner reports</w:t>
            </w:r>
            <w:r w:rsidR="0007015E">
              <w:rPr>
                <w:noProof/>
                <w:webHidden/>
              </w:rPr>
              <w:tab/>
            </w:r>
            <w:r w:rsidR="0007015E">
              <w:rPr>
                <w:noProof/>
                <w:webHidden/>
              </w:rPr>
              <w:fldChar w:fldCharType="begin"/>
            </w:r>
            <w:r w:rsidR="0007015E">
              <w:rPr>
                <w:noProof/>
                <w:webHidden/>
              </w:rPr>
              <w:instrText xml:space="preserve"> PAGEREF _Toc89161784 \h </w:instrText>
            </w:r>
            <w:r w:rsidR="0007015E">
              <w:rPr>
                <w:noProof/>
                <w:webHidden/>
              </w:rPr>
            </w:r>
            <w:r w:rsidR="0007015E">
              <w:rPr>
                <w:noProof/>
                <w:webHidden/>
              </w:rPr>
              <w:fldChar w:fldCharType="separate"/>
            </w:r>
            <w:r w:rsidR="0007015E">
              <w:rPr>
                <w:noProof/>
                <w:webHidden/>
              </w:rPr>
              <w:t>20</w:t>
            </w:r>
            <w:r w:rsidR="0007015E">
              <w:rPr>
                <w:noProof/>
                <w:webHidden/>
              </w:rPr>
              <w:fldChar w:fldCharType="end"/>
            </w:r>
          </w:hyperlink>
        </w:p>
        <w:p w14:paraId="6FDC14D4" w14:textId="031D8AC6" w:rsidR="0007015E" w:rsidRDefault="00A205BD">
          <w:pPr>
            <w:pStyle w:val="TOC1"/>
            <w:rPr>
              <w:rFonts w:asciiTheme="minorHAnsi" w:eastAsiaTheme="minorEastAsia" w:hAnsiTheme="minorHAnsi"/>
              <w:noProof/>
              <w:sz w:val="22"/>
              <w:lang w:eastAsia="en-GB"/>
            </w:rPr>
          </w:pPr>
          <w:hyperlink w:anchor="_Toc89161785" w:history="1">
            <w:r w:rsidR="0007015E" w:rsidRPr="00D635A9">
              <w:rPr>
                <w:rStyle w:val="Hyperlink"/>
                <w:noProof/>
              </w:rPr>
              <w:t>‘CAUSES FOR CONCERN’ PROCEDURES</w:t>
            </w:r>
            <w:r w:rsidR="0007015E">
              <w:rPr>
                <w:noProof/>
                <w:webHidden/>
              </w:rPr>
              <w:tab/>
            </w:r>
            <w:r w:rsidR="0007015E">
              <w:rPr>
                <w:noProof/>
                <w:webHidden/>
              </w:rPr>
              <w:fldChar w:fldCharType="begin"/>
            </w:r>
            <w:r w:rsidR="0007015E">
              <w:rPr>
                <w:noProof/>
                <w:webHidden/>
              </w:rPr>
              <w:instrText xml:space="preserve"> PAGEREF _Toc89161785 \h </w:instrText>
            </w:r>
            <w:r w:rsidR="0007015E">
              <w:rPr>
                <w:noProof/>
                <w:webHidden/>
              </w:rPr>
            </w:r>
            <w:r w:rsidR="0007015E">
              <w:rPr>
                <w:noProof/>
                <w:webHidden/>
              </w:rPr>
              <w:fldChar w:fldCharType="separate"/>
            </w:r>
            <w:r w:rsidR="0007015E">
              <w:rPr>
                <w:noProof/>
                <w:webHidden/>
              </w:rPr>
              <w:t>21</w:t>
            </w:r>
            <w:r w:rsidR="0007015E">
              <w:rPr>
                <w:noProof/>
                <w:webHidden/>
              </w:rPr>
              <w:fldChar w:fldCharType="end"/>
            </w:r>
          </w:hyperlink>
        </w:p>
        <w:p w14:paraId="691804B8" w14:textId="7DD64EED" w:rsidR="0007015E" w:rsidRDefault="00A205BD">
          <w:pPr>
            <w:pStyle w:val="TOC1"/>
            <w:rPr>
              <w:rFonts w:asciiTheme="minorHAnsi" w:eastAsiaTheme="minorEastAsia" w:hAnsiTheme="minorHAnsi"/>
              <w:noProof/>
              <w:sz w:val="22"/>
              <w:lang w:eastAsia="en-GB"/>
            </w:rPr>
          </w:pPr>
          <w:hyperlink w:anchor="_Toc89161786" w:history="1">
            <w:r w:rsidR="0007015E" w:rsidRPr="00D635A9">
              <w:rPr>
                <w:rStyle w:val="Hyperlink"/>
                <w:noProof/>
              </w:rPr>
              <w:t>ENDING AN EXTERNAL EXAMINER’S ENGAGEMENT</w:t>
            </w:r>
            <w:r w:rsidR="0007015E">
              <w:rPr>
                <w:noProof/>
                <w:webHidden/>
              </w:rPr>
              <w:tab/>
            </w:r>
            <w:r w:rsidR="0007015E">
              <w:rPr>
                <w:noProof/>
                <w:webHidden/>
              </w:rPr>
              <w:fldChar w:fldCharType="begin"/>
            </w:r>
            <w:r w:rsidR="0007015E">
              <w:rPr>
                <w:noProof/>
                <w:webHidden/>
              </w:rPr>
              <w:instrText xml:space="preserve"> PAGEREF _Toc89161786 \h </w:instrText>
            </w:r>
            <w:r w:rsidR="0007015E">
              <w:rPr>
                <w:noProof/>
                <w:webHidden/>
              </w:rPr>
            </w:r>
            <w:r w:rsidR="0007015E">
              <w:rPr>
                <w:noProof/>
                <w:webHidden/>
              </w:rPr>
              <w:fldChar w:fldCharType="separate"/>
            </w:r>
            <w:r w:rsidR="0007015E">
              <w:rPr>
                <w:noProof/>
                <w:webHidden/>
              </w:rPr>
              <w:t>21</w:t>
            </w:r>
            <w:r w:rsidR="0007015E">
              <w:rPr>
                <w:noProof/>
                <w:webHidden/>
              </w:rPr>
              <w:fldChar w:fldCharType="end"/>
            </w:r>
          </w:hyperlink>
        </w:p>
        <w:p w14:paraId="27A46788" w14:textId="597A02D9" w:rsidR="00840176" w:rsidRDefault="00840176" w:rsidP="00A5704C">
          <w:r>
            <w:rPr>
              <w:b/>
              <w:bCs/>
              <w:noProof/>
            </w:rPr>
            <w:lastRenderedPageBreak/>
            <w:fldChar w:fldCharType="end"/>
          </w:r>
        </w:p>
      </w:sdtContent>
    </w:sdt>
    <w:p w14:paraId="3916E998" w14:textId="0B49F399" w:rsidR="003544AA" w:rsidRDefault="003544AA" w:rsidP="00783ABC">
      <w:pPr>
        <w:pStyle w:val="Heading1"/>
      </w:pPr>
      <w:bookmarkStart w:id="1" w:name="_Toc89161764"/>
      <w:r>
        <w:t>INTRODUCTION</w:t>
      </w:r>
      <w:bookmarkEnd w:id="1"/>
    </w:p>
    <w:p w14:paraId="3F0C2D8E" w14:textId="72AAD67A" w:rsidR="00235C19" w:rsidRPr="00036420" w:rsidRDefault="00036420" w:rsidP="00257D1B">
      <w:pPr>
        <w:contextualSpacing/>
        <w:jc w:val="both"/>
      </w:pPr>
      <w:r w:rsidRPr="00036420">
        <w:t>Degree-awarding bodies are responsible for the quality of their educational programmes and the standards of the awards to which they lead, and the external examiner system within UK higher education is one of the principal means for assuring both. Once set at programme validation</w:t>
      </w:r>
      <w:r>
        <w:rPr>
          <w:rStyle w:val="FootnoteReference"/>
        </w:rPr>
        <w:footnoteReference w:id="1"/>
      </w:r>
      <w:r w:rsidRPr="00036420">
        <w:t xml:space="preserve">, </w:t>
      </w:r>
      <w:bookmarkStart w:id="2" w:name="_Hlk86854778"/>
      <w:r w:rsidRPr="00036420">
        <w:t>external examiners judge whether threshold standards defined within the national Framework for Higher Education Qualifications</w:t>
      </w:r>
      <w:r w:rsidR="00891187">
        <w:t xml:space="preserve"> (FHEQ)</w:t>
      </w:r>
      <w:r>
        <w:rPr>
          <w:rStyle w:val="FootnoteReference"/>
        </w:rPr>
        <w:footnoteReference w:id="2"/>
      </w:r>
      <w:r w:rsidRPr="00036420">
        <w:t xml:space="preserve"> </w:t>
      </w:r>
      <w:bookmarkEnd w:id="2"/>
      <w:r w:rsidRPr="00036420">
        <w:t>and subject benchmark statements</w:t>
      </w:r>
      <w:r>
        <w:rPr>
          <w:rStyle w:val="FootnoteReference"/>
        </w:rPr>
        <w:footnoteReference w:id="3"/>
      </w:r>
      <w:r w:rsidRPr="00036420">
        <w:t xml:space="preserve"> are being demonstrated at module and qualification award level. Beyond threshold (pass) standard, awarding bodies classify degrees according to their own academic regulations and external examiners provide judgements on whether these are applied consistently as well as commenting on the comparability of standards with similar provision elsewhere in the sector.</w:t>
      </w:r>
    </w:p>
    <w:p w14:paraId="5597A90B" w14:textId="77777777" w:rsidR="00257D1B" w:rsidRDefault="00257D1B" w:rsidP="00257D1B">
      <w:pPr>
        <w:contextualSpacing/>
        <w:jc w:val="both"/>
      </w:pPr>
    </w:p>
    <w:p w14:paraId="513C8969" w14:textId="10B6F312" w:rsidR="00036420" w:rsidRPr="00036420" w:rsidRDefault="00036420" w:rsidP="00257D1B">
      <w:pPr>
        <w:contextualSpacing/>
        <w:jc w:val="both"/>
      </w:pPr>
      <w:r w:rsidRPr="00036420">
        <w:t xml:space="preserve">External examiners are expert assessors whose authority is derived from their knowledge of, and qualifications in, their subject disciplines and their experience of </w:t>
      </w:r>
      <w:r w:rsidR="0061403E">
        <w:t>teaching and assessing students</w:t>
      </w:r>
      <w:r w:rsidRPr="00036420">
        <w:t xml:space="preserve"> at higher education level. The external examiner is also an independent assessor whose judgement will not be compromised by any prior association with the programme team or by some reciprocal arrangement with their home institution.</w:t>
      </w:r>
    </w:p>
    <w:p w14:paraId="5A0F6CCF" w14:textId="77777777" w:rsidR="00257D1B" w:rsidRDefault="00257D1B" w:rsidP="00257D1B">
      <w:pPr>
        <w:spacing w:after="0"/>
        <w:contextualSpacing/>
        <w:jc w:val="both"/>
      </w:pPr>
    </w:p>
    <w:p w14:paraId="1A705F68" w14:textId="1D8B1CB4" w:rsidR="00036420" w:rsidRDefault="00257D1B" w:rsidP="00257D1B">
      <w:pPr>
        <w:spacing w:after="0"/>
        <w:contextualSpacing/>
        <w:jc w:val="both"/>
      </w:pPr>
      <w:r>
        <w:t>The</w:t>
      </w:r>
      <w:r w:rsidR="00036420" w:rsidRPr="00036420">
        <w:t xml:space="preserve"> University’s external examiner system addresses </w:t>
      </w:r>
      <w:r w:rsidR="009D4C22">
        <w:t>the Office for Students’</w:t>
      </w:r>
      <w:r>
        <w:t xml:space="preserve"> (OfS)</w:t>
      </w:r>
      <w:r w:rsidR="009D4C22">
        <w:t xml:space="preserve"> General Ongoing Conditions of Registration</w:t>
      </w:r>
      <w:r w:rsidR="009D4C22">
        <w:rPr>
          <w:rStyle w:val="FootnoteReference"/>
        </w:rPr>
        <w:footnoteReference w:id="4"/>
      </w:r>
      <w:r w:rsidR="009D4C22">
        <w:t xml:space="preserve"> </w:t>
      </w:r>
      <w:r>
        <w:t xml:space="preserve">as specified in Figure </w:t>
      </w:r>
      <w:r w:rsidR="00891187">
        <w:t>1 and</w:t>
      </w:r>
      <w:r w:rsidR="009D4C22">
        <w:t xml:space="preserve"> </w:t>
      </w:r>
      <w:r>
        <w:t>is informed by the Advice and Guidance contained within the</w:t>
      </w:r>
      <w:r w:rsidR="00036420" w:rsidRPr="00036420">
        <w:t xml:space="preserve"> </w:t>
      </w:r>
      <w:r w:rsidR="00036420" w:rsidRPr="009D4C22">
        <w:rPr>
          <w:iCs/>
        </w:rPr>
        <w:t>UK Quality Code for Higher Education (2018)</w:t>
      </w:r>
      <w:r w:rsidR="00036420">
        <w:rPr>
          <w:rStyle w:val="FootnoteReference"/>
        </w:rPr>
        <w:footnoteReference w:id="5"/>
      </w:r>
      <w:r>
        <w:rPr>
          <w:iCs/>
        </w:rPr>
        <w:t>.</w:t>
      </w:r>
    </w:p>
    <w:p w14:paraId="3AA16B2C" w14:textId="64858A7D" w:rsidR="00257D1B" w:rsidRDefault="00257D1B" w:rsidP="00257D1B">
      <w:pPr>
        <w:spacing w:after="0"/>
        <w:contextualSpacing/>
        <w:jc w:val="both"/>
      </w:pPr>
    </w:p>
    <w:p w14:paraId="556E0A2B" w14:textId="30B10D77" w:rsidR="00257D1B" w:rsidRPr="00AB4291" w:rsidRDefault="00257D1B" w:rsidP="00257D1B">
      <w:pPr>
        <w:spacing w:before="120"/>
        <w:contextualSpacing/>
        <w:rPr>
          <w:b/>
          <w:bCs/>
          <w:sz w:val="20"/>
          <w:szCs w:val="20"/>
        </w:rPr>
      </w:pPr>
      <w:r w:rsidRPr="00257D1B">
        <w:rPr>
          <w:b/>
          <w:bCs/>
          <w:sz w:val="20"/>
          <w:szCs w:val="20"/>
        </w:rPr>
        <w:t xml:space="preserve">Figure 1: </w:t>
      </w:r>
      <w:r w:rsidRPr="00AB4291">
        <w:rPr>
          <w:b/>
          <w:bCs/>
          <w:sz w:val="20"/>
          <w:szCs w:val="20"/>
        </w:rPr>
        <w:t xml:space="preserve">The </w:t>
      </w:r>
      <w:r w:rsidRPr="00F6022B">
        <w:rPr>
          <w:b/>
          <w:bCs/>
          <w:sz w:val="20"/>
          <w:szCs w:val="20"/>
        </w:rPr>
        <w:t xml:space="preserve">ongoing </w:t>
      </w:r>
      <w:r w:rsidRPr="00AB4291">
        <w:rPr>
          <w:b/>
          <w:bCs/>
          <w:sz w:val="20"/>
          <w:szCs w:val="20"/>
        </w:rPr>
        <w:t xml:space="preserve">conditions for Quality (B1 </w:t>
      </w:r>
      <w:r>
        <w:rPr>
          <w:b/>
          <w:bCs/>
          <w:sz w:val="20"/>
          <w:szCs w:val="20"/>
        </w:rPr>
        <w:t>&amp;</w:t>
      </w:r>
      <w:r w:rsidRPr="00AB4291">
        <w:rPr>
          <w:b/>
          <w:bCs/>
          <w:sz w:val="20"/>
          <w:szCs w:val="20"/>
        </w:rPr>
        <w:t xml:space="preserve"> B4) and Standards (B5)</w:t>
      </w:r>
      <w:r w:rsidR="00891187">
        <w:rPr>
          <w:b/>
          <w:bCs/>
          <w:sz w:val="20"/>
          <w:szCs w:val="20"/>
        </w:rPr>
        <w:t xml:space="preserve"> pertinent to the external examiner system.</w:t>
      </w:r>
    </w:p>
    <w:p w14:paraId="721ECE40" w14:textId="7988FF84" w:rsidR="00257D1B" w:rsidRPr="00257D1B" w:rsidRDefault="00257D1B" w:rsidP="00257D1B">
      <w:pPr>
        <w:spacing w:after="0"/>
        <w:contextualSpacing/>
        <w:jc w:val="both"/>
        <w:rPr>
          <w:b/>
          <w:bCs/>
          <w:sz w:val="20"/>
          <w:szCs w:val="20"/>
        </w:rPr>
      </w:pPr>
    </w:p>
    <w:tbl>
      <w:tblPr>
        <w:tblStyle w:val="PlainTable1"/>
        <w:tblW w:w="0" w:type="auto"/>
        <w:tblLook w:val="04A0" w:firstRow="1" w:lastRow="0" w:firstColumn="1" w:lastColumn="0" w:noHBand="0" w:noVBand="1"/>
      </w:tblPr>
      <w:tblGrid>
        <w:gridCol w:w="562"/>
        <w:gridCol w:w="8454"/>
      </w:tblGrid>
      <w:tr w:rsidR="00257D1B" w:rsidRPr="00257D1B" w14:paraId="6B599CDF" w14:textId="77777777" w:rsidTr="00257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D25B9E7" w14:textId="77777777" w:rsidR="00257D1B" w:rsidRPr="00257D1B" w:rsidRDefault="00257D1B" w:rsidP="00891187">
            <w:pPr>
              <w:spacing w:before="120"/>
              <w:contextualSpacing/>
              <w:jc w:val="both"/>
            </w:pPr>
            <w:r w:rsidRPr="00257D1B">
              <w:t>The provider must:</w:t>
            </w:r>
          </w:p>
        </w:tc>
      </w:tr>
      <w:tr w:rsidR="00257D1B" w:rsidRPr="00257D1B" w14:paraId="3E9E8025" w14:textId="77777777" w:rsidTr="00257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7E3FB90" w14:textId="77777777" w:rsidR="00257D1B" w:rsidRPr="00257D1B" w:rsidRDefault="00257D1B" w:rsidP="00257D1B">
            <w:pPr>
              <w:spacing w:before="120"/>
              <w:rPr>
                <w:b w:val="0"/>
                <w:bCs w:val="0"/>
              </w:rPr>
            </w:pPr>
            <w:r w:rsidRPr="00257D1B">
              <w:rPr>
                <w:b w:val="0"/>
                <w:bCs w:val="0"/>
              </w:rPr>
              <w:t>B1</w:t>
            </w:r>
          </w:p>
        </w:tc>
        <w:tc>
          <w:tcPr>
            <w:tcW w:w="8454" w:type="dxa"/>
          </w:tcPr>
          <w:p w14:paraId="3036BA86" w14:textId="77777777" w:rsidR="00257D1B" w:rsidRPr="00257D1B" w:rsidRDefault="00257D1B" w:rsidP="00891187">
            <w:pPr>
              <w:spacing w:before="120"/>
              <w:contextualSpacing/>
              <w:jc w:val="both"/>
              <w:cnfStyle w:val="000000100000" w:firstRow="0" w:lastRow="0" w:firstColumn="0" w:lastColumn="0" w:oddVBand="0" w:evenVBand="0" w:oddHBand="1" w:evenHBand="0" w:firstRowFirstColumn="0" w:firstRowLastColumn="0" w:lastRowFirstColumn="0" w:lastRowLastColumn="0"/>
              <w:rPr>
                <w:b/>
                <w:bCs/>
              </w:rPr>
            </w:pPr>
            <w:r w:rsidRPr="00257D1B">
              <w:t>Deliver well designed courses that provide a high-quality academic experience for all students and enable a student’s achievement to be reliably assessed</w:t>
            </w:r>
          </w:p>
        </w:tc>
      </w:tr>
      <w:tr w:rsidR="00257D1B" w:rsidRPr="00257D1B" w14:paraId="1ACF71A2" w14:textId="77777777" w:rsidTr="00257D1B">
        <w:tc>
          <w:tcPr>
            <w:cnfStyle w:val="001000000000" w:firstRow="0" w:lastRow="0" w:firstColumn="1" w:lastColumn="0" w:oddVBand="0" w:evenVBand="0" w:oddHBand="0" w:evenHBand="0" w:firstRowFirstColumn="0" w:firstRowLastColumn="0" w:lastRowFirstColumn="0" w:lastRowLastColumn="0"/>
            <w:tcW w:w="562" w:type="dxa"/>
          </w:tcPr>
          <w:p w14:paraId="5B5836A1" w14:textId="77777777" w:rsidR="00257D1B" w:rsidRPr="00257D1B" w:rsidRDefault="00257D1B" w:rsidP="00257D1B">
            <w:pPr>
              <w:spacing w:before="120"/>
              <w:rPr>
                <w:b w:val="0"/>
                <w:bCs w:val="0"/>
              </w:rPr>
            </w:pPr>
            <w:r w:rsidRPr="00257D1B">
              <w:rPr>
                <w:b w:val="0"/>
                <w:bCs w:val="0"/>
              </w:rPr>
              <w:t>B4</w:t>
            </w:r>
          </w:p>
        </w:tc>
        <w:tc>
          <w:tcPr>
            <w:tcW w:w="8454" w:type="dxa"/>
          </w:tcPr>
          <w:p w14:paraId="6234B34D" w14:textId="77777777" w:rsidR="00257D1B" w:rsidRPr="00257D1B" w:rsidRDefault="00257D1B" w:rsidP="00891187">
            <w:pPr>
              <w:spacing w:before="120"/>
              <w:contextualSpacing/>
              <w:jc w:val="both"/>
              <w:cnfStyle w:val="000000000000" w:firstRow="0" w:lastRow="0" w:firstColumn="0" w:lastColumn="0" w:oddVBand="0" w:evenVBand="0" w:oddHBand="0" w:evenHBand="0" w:firstRowFirstColumn="0" w:firstRowLastColumn="0" w:lastRowFirstColumn="0" w:lastRowLastColumn="0"/>
              <w:rPr>
                <w:b/>
                <w:bCs/>
              </w:rPr>
            </w:pPr>
            <w:r w:rsidRPr="00257D1B">
              <w:t>Ensure that qualifications awarded to students hold their value at the point of qualification and over time, in line with sector recognised standards</w:t>
            </w:r>
          </w:p>
        </w:tc>
      </w:tr>
      <w:tr w:rsidR="00257D1B" w:rsidRPr="00257D1B" w14:paraId="5D3D541D" w14:textId="77777777" w:rsidTr="00257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3471378" w14:textId="77777777" w:rsidR="00257D1B" w:rsidRPr="00257D1B" w:rsidRDefault="00257D1B" w:rsidP="00257D1B">
            <w:pPr>
              <w:spacing w:before="120"/>
              <w:rPr>
                <w:b w:val="0"/>
                <w:bCs w:val="0"/>
              </w:rPr>
            </w:pPr>
            <w:r w:rsidRPr="00257D1B">
              <w:rPr>
                <w:b w:val="0"/>
                <w:bCs w:val="0"/>
              </w:rPr>
              <w:t>B5</w:t>
            </w:r>
          </w:p>
        </w:tc>
        <w:tc>
          <w:tcPr>
            <w:tcW w:w="8454" w:type="dxa"/>
          </w:tcPr>
          <w:p w14:paraId="78C29E3C" w14:textId="77777777" w:rsidR="00257D1B" w:rsidRPr="00257D1B" w:rsidRDefault="00257D1B" w:rsidP="00891187">
            <w:pPr>
              <w:spacing w:before="120"/>
              <w:contextualSpacing/>
              <w:jc w:val="both"/>
              <w:cnfStyle w:val="000000100000" w:firstRow="0" w:lastRow="0" w:firstColumn="0" w:lastColumn="0" w:oddVBand="0" w:evenVBand="0" w:oddHBand="1" w:evenHBand="0" w:firstRowFirstColumn="0" w:firstRowLastColumn="0" w:lastRowFirstColumn="0" w:lastRowLastColumn="0"/>
              <w:rPr>
                <w:b/>
                <w:bCs/>
              </w:rPr>
            </w:pPr>
            <w:r w:rsidRPr="00257D1B">
              <w:t>Deliver courses that meet the academic standards as they are described in the Framework for Higher Education Qualifications at level 4 or higher</w:t>
            </w:r>
          </w:p>
        </w:tc>
      </w:tr>
    </w:tbl>
    <w:p w14:paraId="269B1F89" w14:textId="77777777" w:rsidR="00257D1B" w:rsidRDefault="00257D1B" w:rsidP="00FE38C1">
      <w:pPr>
        <w:contextualSpacing/>
        <w:jc w:val="both"/>
      </w:pPr>
    </w:p>
    <w:p w14:paraId="2E73F3C5" w14:textId="2B63B710" w:rsidR="00257D1B" w:rsidRDefault="001971B1" w:rsidP="001971B1">
      <w:pPr>
        <w:contextualSpacing/>
        <w:jc w:val="both"/>
      </w:pPr>
      <w:r w:rsidRPr="00036420">
        <w:t>External examiners are engaged by the University and added to its External Examiners</w:t>
      </w:r>
      <w:r w:rsidRPr="001971B1">
        <w:t xml:space="preserve"> Register in accordance with the criteria set out in this chapter</w:t>
      </w:r>
      <w:r>
        <w:t xml:space="preserve"> </w:t>
      </w:r>
      <w:r w:rsidR="00B148A0">
        <w:t>(see</w:t>
      </w:r>
      <w:r w:rsidR="00954992">
        <w:t xml:space="preserve"> ‘C</w:t>
      </w:r>
      <w:r w:rsidR="00B148A0">
        <w:t>riteria for Engagement</w:t>
      </w:r>
      <w:r w:rsidR="00954992">
        <w:t>’ below)</w:t>
      </w:r>
      <w:r w:rsidR="00257D1B">
        <w:t xml:space="preserve">. </w:t>
      </w:r>
    </w:p>
    <w:p w14:paraId="661B93E1" w14:textId="77777777" w:rsidR="00FE38C1" w:rsidRDefault="00FE38C1" w:rsidP="00FE38C1">
      <w:pPr>
        <w:contextualSpacing/>
        <w:jc w:val="both"/>
      </w:pPr>
    </w:p>
    <w:p w14:paraId="7D77AE65" w14:textId="00DFBF4D" w:rsidR="00036420" w:rsidRDefault="00036420" w:rsidP="00FE38C1">
      <w:pPr>
        <w:contextualSpacing/>
        <w:jc w:val="both"/>
      </w:pPr>
      <w:r w:rsidRPr="00036420">
        <w:t>External examiners are assigned to all modules</w:t>
      </w:r>
      <w:r w:rsidR="00891187">
        <w:t xml:space="preserve"> / programmes</w:t>
      </w:r>
      <w:r w:rsidRPr="00036420">
        <w:t xml:space="preserve"> that lead to the award of credit at FHEQ level 5 and above</w:t>
      </w:r>
      <w:r w:rsidR="008160C0">
        <w:rPr>
          <w:rStyle w:val="FootnoteReference"/>
        </w:rPr>
        <w:footnoteReference w:id="6"/>
      </w:r>
      <w:r w:rsidRPr="00036420">
        <w:t>. With the exception of dissertation, project and ‘shell’ modules</w:t>
      </w:r>
      <w:r w:rsidR="00891187">
        <w:t>,</w:t>
      </w:r>
      <w:r w:rsidRPr="00036420">
        <w:t xml:space="preserve"> where a range of subject expertise may be required, no module is normally assigned more than one examiner</w:t>
      </w:r>
      <w:r w:rsidR="00891187">
        <w:t>.</w:t>
      </w:r>
      <w:r w:rsidRPr="00036420">
        <w:t xml:space="preserve"> </w:t>
      </w:r>
      <w:r w:rsidR="00891187">
        <w:t>E</w:t>
      </w:r>
      <w:r w:rsidRPr="00036420">
        <w:t>xcept</w:t>
      </w:r>
      <w:r w:rsidR="00891187">
        <w:t>ions are permitted</w:t>
      </w:r>
      <w:r w:rsidRPr="00036420">
        <w:t xml:space="preserve"> where the number of students </w:t>
      </w:r>
      <w:r w:rsidR="00891187">
        <w:t>registered to a module makes</w:t>
      </w:r>
      <w:r w:rsidRPr="00036420">
        <w:t xml:space="preserve"> sampling too large for a single individual</w:t>
      </w:r>
      <w:r w:rsidR="00891187">
        <w:t>.</w:t>
      </w:r>
      <w:r w:rsidRPr="00036420">
        <w:t xml:space="preserve"> </w:t>
      </w:r>
      <w:r w:rsidR="00891187">
        <w:t>I</w:t>
      </w:r>
      <w:r w:rsidRPr="00036420">
        <w:t>n such cases examiners work together to ensure parity and consistency of moderation decisions. A single programme delivered across multiple sites, e.g.</w:t>
      </w:r>
      <w:r w:rsidR="00891187">
        <w:t>,</w:t>
      </w:r>
      <w:r w:rsidRPr="00036420">
        <w:t xml:space="preserve"> by different academic partner organisations is normally assigned the same examiner to enable standards to be compared. Examiners produce an annual report on the progr</w:t>
      </w:r>
      <w:r w:rsidR="008160C0">
        <w:t>amme</w:t>
      </w:r>
      <w:r w:rsidR="00142697">
        <w:t>s</w:t>
      </w:r>
      <w:r w:rsidR="008160C0">
        <w:t>/</w:t>
      </w:r>
      <w:r w:rsidR="000031A9">
        <w:t xml:space="preserve"> </w:t>
      </w:r>
      <w:r w:rsidRPr="00036420">
        <w:t>modules to which they have been assigned and attend the relevant assessment boards</w:t>
      </w:r>
      <w:r w:rsidR="008160C0">
        <w:rPr>
          <w:rStyle w:val="FootnoteReference"/>
        </w:rPr>
        <w:footnoteReference w:id="7"/>
      </w:r>
      <w:r w:rsidRPr="00036420">
        <w:t xml:space="preserve"> where access to complete student profiles enables </w:t>
      </w:r>
      <w:r w:rsidR="00DE4E49">
        <w:t xml:space="preserve">the </w:t>
      </w:r>
      <w:r w:rsidRPr="00036420">
        <w:t>confirmation of standards at qualification award level.</w:t>
      </w:r>
    </w:p>
    <w:p w14:paraId="22BA9F1A" w14:textId="77777777" w:rsidR="00FE38C1" w:rsidRPr="00036420" w:rsidRDefault="00FE38C1" w:rsidP="00FE38C1">
      <w:pPr>
        <w:contextualSpacing/>
        <w:jc w:val="both"/>
      </w:pPr>
    </w:p>
    <w:p w14:paraId="736A52E6" w14:textId="6B493DBF" w:rsidR="00036420" w:rsidRPr="00036420" w:rsidRDefault="00036420" w:rsidP="00FE38C1">
      <w:pPr>
        <w:contextualSpacing/>
        <w:jc w:val="both"/>
      </w:pPr>
      <w:r w:rsidRPr="00036420">
        <w:t xml:space="preserve">Taking </w:t>
      </w:r>
      <w:r w:rsidR="00461B95">
        <w:t xml:space="preserve">full </w:t>
      </w:r>
      <w:r w:rsidRPr="00036420">
        <w:t>account of current QAA Advice and Guidance on the use of external experti</w:t>
      </w:r>
      <w:r w:rsidR="008160C0">
        <w:t>se in academic quality assurance</w:t>
      </w:r>
      <w:r w:rsidR="008160C0">
        <w:rPr>
          <w:rStyle w:val="FootnoteReference"/>
        </w:rPr>
        <w:footnoteReference w:id="8"/>
      </w:r>
      <w:r w:rsidRPr="00036420">
        <w:t>, this chapter provides information and guidance on:</w:t>
      </w:r>
    </w:p>
    <w:p w14:paraId="50FB2549" w14:textId="1524A3C5" w:rsidR="00036420" w:rsidRPr="00036420" w:rsidRDefault="00036420" w:rsidP="00FE38C1">
      <w:pPr>
        <w:pStyle w:val="ListParagraph"/>
        <w:numPr>
          <w:ilvl w:val="0"/>
          <w:numId w:val="3"/>
        </w:numPr>
        <w:jc w:val="both"/>
      </w:pPr>
      <w:r w:rsidRPr="00036420">
        <w:t>The nomination and engagement of external examiners</w:t>
      </w:r>
      <w:r w:rsidR="00DE4E49">
        <w:t>.</w:t>
      </w:r>
    </w:p>
    <w:p w14:paraId="4DD2325E" w14:textId="28B89952" w:rsidR="00036420" w:rsidRPr="00036420" w:rsidRDefault="00036420" w:rsidP="00FE38C1">
      <w:pPr>
        <w:pStyle w:val="ListParagraph"/>
        <w:numPr>
          <w:ilvl w:val="0"/>
          <w:numId w:val="3"/>
        </w:numPr>
        <w:jc w:val="both"/>
      </w:pPr>
      <w:r w:rsidRPr="00036420">
        <w:t>The external examiner’s role and responsibilities</w:t>
      </w:r>
      <w:r w:rsidR="00DE4E49">
        <w:t>.</w:t>
      </w:r>
    </w:p>
    <w:p w14:paraId="13E3199E" w14:textId="321E3706" w:rsidR="00036420" w:rsidRPr="00036420" w:rsidRDefault="00036420" w:rsidP="00FE38C1">
      <w:pPr>
        <w:pStyle w:val="ListParagraph"/>
        <w:numPr>
          <w:ilvl w:val="0"/>
          <w:numId w:val="3"/>
        </w:numPr>
        <w:jc w:val="both"/>
      </w:pPr>
      <w:r w:rsidRPr="00036420">
        <w:t>The production and consideration of annual reports</w:t>
      </w:r>
      <w:r w:rsidR="00DE4E49">
        <w:t>.</w:t>
      </w:r>
    </w:p>
    <w:p w14:paraId="0A5A713B" w14:textId="532501DF" w:rsidR="00036420" w:rsidRPr="00036420" w:rsidRDefault="00036420" w:rsidP="00FE38C1">
      <w:pPr>
        <w:pStyle w:val="ListParagraph"/>
        <w:numPr>
          <w:ilvl w:val="0"/>
          <w:numId w:val="3"/>
        </w:numPr>
        <w:jc w:val="both"/>
      </w:pPr>
      <w:r w:rsidRPr="00036420">
        <w:t>Access to internal and external concerns procedures</w:t>
      </w:r>
      <w:r w:rsidR="00DE4E49">
        <w:t>.</w:t>
      </w:r>
    </w:p>
    <w:p w14:paraId="4AB6AC11" w14:textId="5E9D2F46" w:rsidR="00036420" w:rsidRPr="00036420" w:rsidRDefault="00036420" w:rsidP="00FE38C1">
      <w:pPr>
        <w:pStyle w:val="ListParagraph"/>
        <w:numPr>
          <w:ilvl w:val="0"/>
          <w:numId w:val="3"/>
        </w:numPr>
        <w:jc w:val="both"/>
      </w:pPr>
      <w:r w:rsidRPr="00036420">
        <w:t>Arrangements for ending an external examiner’s engagement.</w:t>
      </w:r>
    </w:p>
    <w:p w14:paraId="5CF3D487" w14:textId="1EB26DF8" w:rsidR="00036420" w:rsidRDefault="00036420" w:rsidP="00FE38C1">
      <w:pPr>
        <w:contextualSpacing/>
        <w:jc w:val="both"/>
      </w:pPr>
      <w:r w:rsidRPr="00036420">
        <w:t xml:space="preserve">Information on the appointment of </w:t>
      </w:r>
      <w:r w:rsidR="00FE38C1">
        <w:t>University</w:t>
      </w:r>
      <w:r w:rsidRPr="00036420">
        <w:t xml:space="preserve"> staff as external examiners by other </w:t>
      </w:r>
      <w:r w:rsidR="00FE38C1">
        <w:t xml:space="preserve">HEIs </w:t>
      </w:r>
      <w:r w:rsidRPr="00036420">
        <w:t>is provided in Chapter 6 of this Handbook.</w:t>
      </w:r>
    </w:p>
    <w:p w14:paraId="3E318601" w14:textId="77777777" w:rsidR="00FE38C1" w:rsidRDefault="00FE38C1" w:rsidP="00FE38C1">
      <w:pPr>
        <w:contextualSpacing/>
        <w:jc w:val="both"/>
      </w:pPr>
    </w:p>
    <w:p w14:paraId="04B3B162" w14:textId="7B0E421F" w:rsidR="00D262E1" w:rsidRPr="00D262E1" w:rsidRDefault="008160C0" w:rsidP="00D262E1">
      <w:pPr>
        <w:spacing w:before="240" w:after="480"/>
        <w:contextualSpacing/>
        <w:jc w:val="both"/>
        <w:rPr>
          <w:bCs/>
        </w:rPr>
      </w:pPr>
      <w:r w:rsidRPr="00FE38C1">
        <w:rPr>
          <w:bCs/>
        </w:rPr>
        <w:t xml:space="preserve">All communications with external examiners in relation to their nomination and engagement, </w:t>
      </w:r>
      <w:r w:rsidR="00FE38C1">
        <w:rPr>
          <w:bCs/>
        </w:rPr>
        <w:t>including any subsequent</w:t>
      </w:r>
      <w:r w:rsidRPr="00FE38C1">
        <w:rPr>
          <w:bCs/>
        </w:rPr>
        <w:t xml:space="preserve"> changes to it, must </w:t>
      </w:r>
      <w:r w:rsidR="00FE38C1" w:rsidRPr="00FE38C1">
        <w:rPr>
          <w:bCs/>
        </w:rPr>
        <w:t>be done using</w:t>
      </w:r>
      <w:r w:rsidRPr="00FE38C1">
        <w:rPr>
          <w:bCs/>
        </w:rPr>
        <w:t xml:space="preserve"> the approved templates which are </w:t>
      </w:r>
      <w:r w:rsidR="00FE38C1" w:rsidRPr="00FE38C1">
        <w:rPr>
          <w:bCs/>
        </w:rPr>
        <w:t>available</w:t>
      </w:r>
      <w:r w:rsidRPr="00FE38C1">
        <w:rPr>
          <w:bCs/>
        </w:rPr>
        <w:t xml:space="preserve"> on the</w:t>
      </w:r>
      <w:r w:rsidRPr="008160C0">
        <w:rPr>
          <w:b/>
        </w:rPr>
        <w:t xml:space="preserve"> External Examiners Wiki</w:t>
      </w:r>
      <w:r>
        <w:rPr>
          <w:rStyle w:val="FootnoteReference"/>
          <w:b/>
        </w:rPr>
        <w:footnoteReference w:id="9"/>
      </w:r>
      <w:r w:rsidRPr="008160C0">
        <w:rPr>
          <w:b/>
        </w:rPr>
        <w:t xml:space="preserve">. </w:t>
      </w:r>
      <w:r w:rsidRPr="00FE38C1">
        <w:rPr>
          <w:bCs/>
        </w:rPr>
        <w:t>Where requested, the</w:t>
      </w:r>
      <w:r w:rsidRPr="008160C0">
        <w:rPr>
          <w:b/>
        </w:rPr>
        <w:t xml:space="preserve"> External Examiners</w:t>
      </w:r>
      <w:r w:rsidR="00553C8C">
        <w:rPr>
          <w:b/>
        </w:rPr>
        <w:t xml:space="preserve"> </w:t>
      </w:r>
      <w:r w:rsidR="003107CD">
        <w:rPr>
          <w:b/>
        </w:rPr>
        <w:t>M</w:t>
      </w:r>
      <w:r w:rsidRPr="008160C0">
        <w:rPr>
          <w:b/>
        </w:rPr>
        <w:t xml:space="preserve">ailbox </w:t>
      </w:r>
      <w:hyperlink r:id="rId13">
        <w:r w:rsidRPr="008160C0">
          <w:rPr>
            <w:rStyle w:val="Hyperlink"/>
            <w:b/>
          </w:rPr>
          <w:t xml:space="preserve">externalexaminers@edgehill.ac.uk </w:t>
        </w:r>
      </w:hyperlink>
      <w:r w:rsidRPr="00FE38C1">
        <w:rPr>
          <w:bCs/>
        </w:rPr>
        <w:t>should be copied into such communications to enable Institutional records to be updated</w:t>
      </w:r>
      <w:r w:rsidR="00CD255E" w:rsidRPr="00FE38C1">
        <w:rPr>
          <w:bCs/>
        </w:rPr>
        <w:t>.</w:t>
      </w:r>
    </w:p>
    <w:p w14:paraId="0AA781B3" w14:textId="6A890278" w:rsidR="00D908A5" w:rsidRPr="00D908A5" w:rsidRDefault="00D908A5" w:rsidP="00DE4E49">
      <w:pPr>
        <w:pStyle w:val="Heading1"/>
      </w:pPr>
      <w:bookmarkStart w:id="3" w:name="_Toc34401588"/>
      <w:bookmarkStart w:id="4" w:name="_Toc89161765"/>
      <w:r w:rsidRPr="00D908A5">
        <w:lastRenderedPageBreak/>
        <w:t>NOMINATION AND ENGAGEMENT</w:t>
      </w:r>
      <w:bookmarkEnd w:id="3"/>
      <w:bookmarkEnd w:id="4"/>
    </w:p>
    <w:p w14:paraId="5727612E" w14:textId="77777777" w:rsidR="00D908A5" w:rsidRPr="00D908A5" w:rsidRDefault="00D908A5" w:rsidP="00D908A5">
      <w:pPr>
        <w:pStyle w:val="Heading2"/>
      </w:pPr>
      <w:bookmarkStart w:id="5" w:name="_Toc34401589"/>
      <w:bookmarkStart w:id="6" w:name="_Toc89161766"/>
      <w:r w:rsidRPr="00D908A5">
        <w:t>Criteria for engagement</w:t>
      </w:r>
      <w:bookmarkEnd w:id="5"/>
      <w:bookmarkEnd w:id="6"/>
    </w:p>
    <w:p w14:paraId="3FF0178C" w14:textId="5B420A78" w:rsidR="00D908A5" w:rsidRPr="00D908A5" w:rsidRDefault="00D908A5" w:rsidP="00A13951">
      <w:pPr>
        <w:contextualSpacing/>
        <w:jc w:val="both"/>
      </w:pPr>
      <w:r w:rsidRPr="00D908A5">
        <w:t xml:space="preserve">External examiners are typically academic staff of other </w:t>
      </w:r>
      <w:r w:rsidR="00FE38C1">
        <w:t>UK HEIs</w:t>
      </w:r>
      <w:r>
        <w:t xml:space="preserve"> </w:t>
      </w:r>
      <w:r w:rsidRPr="00D908A5">
        <w:t xml:space="preserve">and are </w:t>
      </w:r>
      <w:r w:rsidRPr="00FE38C1">
        <w:rPr>
          <w:b/>
          <w:bCs/>
        </w:rPr>
        <w:t>academically qualified to at least the level of the qualification in the subject to be examined</w:t>
      </w:r>
      <w:r w:rsidRPr="00D908A5">
        <w:t xml:space="preserve">. The academic and professional criteria </w:t>
      </w:r>
      <w:r w:rsidR="00FE38C1">
        <w:t xml:space="preserve">used by the </w:t>
      </w:r>
      <w:r w:rsidRPr="00D908A5">
        <w:t xml:space="preserve">University ensure that examiners are capable of exercising impartial, independent and expert judgement to </w:t>
      </w:r>
      <w:r w:rsidR="00FE38C1">
        <w:t>confirm ongoing alignment with national</w:t>
      </w:r>
      <w:r w:rsidRPr="00D908A5">
        <w:t xml:space="preserve"> standards </w:t>
      </w:r>
      <w:r w:rsidR="00FE38C1">
        <w:t xml:space="preserve">(FHEQ) </w:t>
      </w:r>
      <w:r w:rsidRPr="00D908A5">
        <w:t xml:space="preserve">and the </w:t>
      </w:r>
      <w:r w:rsidR="00FE38C1">
        <w:t>University</w:t>
      </w:r>
      <w:r w:rsidRPr="00D908A5">
        <w:t xml:space="preserve">’s </w:t>
      </w:r>
      <w:r w:rsidR="00DE4E49">
        <w:t>Academic Regulations</w:t>
      </w:r>
      <w:r w:rsidR="00DE4E49">
        <w:rPr>
          <w:rStyle w:val="FootnoteReference"/>
        </w:rPr>
        <w:footnoteReference w:id="10"/>
      </w:r>
      <w:r w:rsidRPr="00D908A5">
        <w:t xml:space="preserve">, as well as confirming the comparability of standards with those of other </w:t>
      </w:r>
      <w:r w:rsidR="00FE38C1">
        <w:t>HEIs</w:t>
      </w:r>
      <w:r w:rsidRPr="00D908A5">
        <w:t xml:space="preserve">. The engagement of external examiners complies with </w:t>
      </w:r>
      <w:r w:rsidR="00FE38C1">
        <w:t>the University’s</w:t>
      </w:r>
      <w:r w:rsidRPr="00D908A5">
        <w:t xml:space="preserve"> statutory and legislative responsibilities in relation to the employment of casual workers.</w:t>
      </w:r>
      <w:r w:rsidR="0022594C">
        <w:t xml:space="preserve"> </w:t>
      </w:r>
      <w:r w:rsidRPr="00D908A5">
        <w:t>Individuals seeking to become external examiners of the University are expected</w:t>
      </w:r>
      <w:r w:rsidR="00D87BC5">
        <w:t xml:space="preserve"> </w:t>
      </w:r>
      <w:r w:rsidRPr="00D908A5">
        <w:t>to demonstrate appropriate evidence of:</w:t>
      </w:r>
    </w:p>
    <w:p w14:paraId="78C43ED5" w14:textId="77777777" w:rsidR="00D908A5" w:rsidRPr="00D908A5" w:rsidRDefault="00D908A5" w:rsidP="00A13951">
      <w:pPr>
        <w:pStyle w:val="ListParagraph"/>
        <w:numPr>
          <w:ilvl w:val="0"/>
          <w:numId w:val="37"/>
        </w:numPr>
        <w:jc w:val="both"/>
      </w:pPr>
      <w:r w:rsidRPr="00A13951">
        <w:rPr>
          <w:b/>
          <w:bCs/>
        </w:rPr>
        <w:t>Competence and experience</w:t>
      </w:r>
      <w:r w:rsidRPr="00D908A5">
        <w:t xml:space="preserve"> in the fields covered by the module/ programme of study to which they will be assigned.</w:t>
      </w:r>
    </w:p>
    <w:p w14:paraId="1BAB5D94" w14:textId="0CA7F955" w:rsidR="00D908A5" w:rsidRPr="00D908A5" w:rsidRDefault="00D908A5" w:rsidP="00A13951">
      <w:pPr>
        <w:pStyle w:val="ListParagraph"/>
        <w:numPr>
          <w:ilvl w:val="0"/>
          <w:numId w:val="37"/>
        </w:numPr>
        <w:jc w:val="both"/>
      </w:pPr>
      <w:r w:rsidRPr="00A13951">
        <w:rPr>
          <w:b/>
          <w:bCs/>
        </w:rPr>
        <w:t>Sufficient standing, credibility and breadth of experience</w:t>
      </w:r>
      <w:r w:rsidRPr="00D908A5">
        <w:t xml:space="preserve"> within their discipline to be able to command the respect of academic and, where appropriate, </w:t>
      </w:r>
      <w:r w:rsidR="00296B67">
        <w:t xml:space="preserve">other </w:t>
      </w:r>
      <w:r w:rsidRPr="00D908A5">
        <w:t>professional peers.</w:t>
      </w:r>
    </w:p>
    <w:p w14:paraId="1831B555" w14:textId="4DB8B9E9" w:rsidR="00D908A5" w:rsidRPr="00D908A5" w:rsidRDefault="00D908A5" w:rsidP="00A13951">
      <w:pPr>
        <w:pStyle w:val="ListParagraph"/>
        <w:numPr>
          <w:ilvl w:val="0"/>
          <w:numId w:val="37"/>
        </w:numPr>
        <w:jc w:val="both"/>
      </w:pPr>
      <w:r w:rsidRPr="00A13951">
        <w:rPr>
          <w:b/>
          <w:bCs/>
        </w:rPr>
        <w:t>Knowledge and understanding of the UK sector</w:t>
      </w:r>
      <w:r w:rsidR="008D5AB4" w:rsidRPr="00A13951">
        <w:rPr>
          <w:b/>
          <w:bCs/>
        </w:rPr>
        <w:t xml:space="preserve"> </w:t>
      </w:r>
      <w:r w:rsidRPr="00A13951">
        <w:rPr>
          <w:b/>
          <w:bCs/>
        </w:rPr>
        <w:t>agreed reference points</w:t>
      </w:r>
      <w:r w:rsidRPr="00D908A5">
        <w:t xml:space="preserve"> for the setting and maintenance of academic standards (</w:t>
      </w:r>
      <w:r w:rsidR="00A13951">
        <w:t>FHEQ,</w:t>
      </w:r>
      <w:r w:rsidR="00A13951" w:rsidRPr="00A13951">
        <w:t xml:space="preserve"> </w:t>
      </w:r>
      <w:r w:rsidR="00A13951" w:rsidRPr="00D908A5">
        <w:t>Degree Characteristics Statements and Subject Benchmark Statements</w:t>
      </w:r>
      <w:r w:rsidRPr="00D908A5">
        <w:t>) and familiarity with the standard to be expected of students in relation to their award</w:t>
      </w:r>
      <w:r w:rsidR="00A13951">
        <w:t>.</w:t>
      </w:r>
    </w:p>
    <w:p w14:paraId="46064B0E" w14:textId="3F7BABA6" w:rsidR="00D908A5" w:rsidRPr="00D908A5" w:rsidRDefault="00D908A5" w:rsidP="00A13951">
      <w:pPr>
        <w:pStyle w:val="ListParagraph"/>
        <w:numPr>
          <w:ilvl w:val="0"/>
          <w:numId w:val="37"/>
        </w:numPr>
        <w:jc w:val="both"/>
      </w:pPr>
      <w:r w:rsidRPr="00A13951">
        <w:rPr>
          <w:b/>
          <w:bCs/>
        </w:rPr>
        <w:t xml:space="preserve">Knowledge and understanding of the standards </w:t>
      </w:r>
      <w:r w:rsidR="00A13951" w:rsidRPr="00A13951">
        <w:rPr>
          <w:b/>
          <w:bCs/>
        </w:rPr>
        <w:t>and/or requirements</w:t>
      </w:r>
      <w:r w:rsidRPr="00A13951">
        <w:rPr>
          <w:b/>
          <w:bCs/>
        </w:rPr>
        <w:t xml:space="preserve"> of Professional and Statutory</w:t>
      </w:r>
      <w:r w:rsidR="008D5AB4" w:rsidRPr="00A13951">
        <w:rPr>
          <w:b/>
          <w:bCs/>
        </w:rPr>
        <w:t xml:space="preserve"> Regulatory</w:t>
      </w:r>
      <w:r w:rsidRPr="00A13951">
        <w:rPr>
          <w:b/>
          <w:bCs/>
        </w:rPr>
        <w:t xml:space="preserve"> Bodies </w:t>
      </w:r>
      <w:r w:rsidR="008D5AB4" w:rsidRPr="00A13951">
        <w:t>(PSRBs)</w:t>
      </w:r>
      <w:r w:rsidR="008D5AB4">
        <w:t xml:space="preserve"> </w:t>
      </w:r>
      <w:r w:rsidRPr="00D908A5">
        <w:t>that govern students’ awards</w:t>
      </w:r>
      <w:r w:rsidR="00A13951">
        <w:t xml:space="preserve"> (where applicable)</w:t>
      </w:r>
      <w:r w:rsidRPr="00D908A5">
        <w:t>.</w:t>
      </w:r>
    </w:p>
    <w:p w14:paraId="5A13F308" w14:textId="37FC9E23" w:rsidR="00E307C1" w:rsidRDefault="00D908A5" w:rsidP="00A13951">
      <w:pPr>
        <w:pStyle w:val="ListParagraph"/>
        <w:numPr>
          <w:ilvl w:val="0"/>
          <w:numId w:val="37"/>
        </w:numPr>
        <w:jc w:val="both"/>
      </w:pPr>
      <w:r w:rsidRPr="00A13951">
        <w:rPr>
          <w:b/>
          <w:bCs/>
        </w:rPr>
        <w:t>Awareness of current developments in the design and delivery of programmes</w:t>
      </w:r>
      <w:r w:rsidRPr="00D908A5">
        <w:t xml:space="preserve"> in their subject including competence in and experience of designing and managing assessment.</w:t>
      </w:r>
      <w:r>
        <w:t xml:space="preserve"> </w:t>
      </w:r>
    </w:p>
    <w:p w14:paraId="7A7A355E" w14:textId="77430AC4" w:rsidR="00D908A5" w:rsidRPr="00D908A5" w:rsidRDefault="00D908A5" w:rsidP="00A13951">
      <w:pPr>
        <w:pStyle w:val="ListParagraph"/>
        <w:numPr>
          <w:ilvl w:val="0"/>
          <w:numId w:val="37"/>
        </w:numPr>
        <w:jc w:val="both"/>
      </w:pPr>
      <w:r w:rsidRPr="00D908A5">
        <w:t xml:space="preserve">Current employment status including </w:t>
      </w:r>
      <w:r w:rsidRPr="00A13951">
        <w:rPr>
          <w:b/>
          <w:bCs/>
        </w:rPr>
        <w:t>eligibility</w:t>
      </w:r>
      <w:r w:rsidR="00D87BC5" w:rsidRPr="00A13951">
        <w:rPr>
          <w:rStyle w:val="FootnoteReference"/>
          <w:b/>
          <w:bCs/>
        </w:rPr>
        <w:footnoteReference w:id="11"/>
      </w:r>
      <w:r w:rsidRPr="00A13951">
        <w:rPr>
          <w:b/>
          <w:bCs/>
        </w:rPr>
        <w:t xml:space="preserve"> to work in the United Kingdom</w:t>
      </w:r>
      <w:r w:rsidRPr="00D908A5">
        <w:t xml:space="preserve"> and (where relevant) </w:t>
      </w:r>
      <w:r w:rsidRPr="00A13951">
        <w:rPr>
          <w:b/>
          <w:bCs/>
        </w:rPr>
        <w:t>PSRB registration</w:t>
      </w:r>
      <w:r w:rsidRPr="00D908A5">
        <w:t>.</w:t>
      </w:r>
    </w:p>
    <w:p w14:paraId="3D5E5CD2" w14:textId="77777777" w:rsidR="00D908A5" w:rsidRPr="00D908A5" w:rsidRDefault="00D908A5" w:rsidP="00A13951">
      <w:pPr>
        <w:pStyle w:val="ListParagraph"/>
        <w:numPr>
          <w:ilvl w:val="0"/>
          <w:numId w:val="37"/>
        </w:numPr>
        <w:jc w:val="both"/>
      </w:pPr>
      <w:r w:rsidRPr="00A13951">
        <w:rPr>
          <w:b/>
          <w:bCs/>
        </w:rPr>
        <w:t>Fluency</w:t>
      </w:r>
      <w:r w:rsidRPr="00D908A5">
        <w:t xml:space="preserve"> </w:t>
      </w:r>
      <w:r w:rsidRPr="00A13951">
        <w:rPr>
          <w:b/>
          <w:bCs/>
        </w:rPr>
        <w:t>in the English language</w:t>
      </w:r>
      <w:r w:rsidR="00D87BC5">
        <w:rPr>
          <w:rStyle w:val="FootnoteReference"/>
        </w:rPr>
        <w:footnoteReference w:id="12"/>
      </w:r>
      <w:r w:rsidRPr="00D908A5">
        <w:t>.</w:t>
      </w:r>
    </w:p>
    <w:p w14:paraId="681BBFED" w14:textId="77777777" w:rsidR="00D908A5" w:rsidRPr="00D908A5" w:rsidRDefault="00D908A5" w:rsidP="00F24423">
      <w:pPr>
        <w:jc w:val="both"/>
      </w:pPr>
      <w:r w:rsidRPr="00D908A5">
        <w:t>‘Standing, credibility and breadth of experience’ may be indicated by:</w:t>
      </w:r>
    </w:p>
    <w:p w14:paraId="0B9EC68F" w14:textId="318D586E" w:rsidR="00D908A5" w:rsidRPr="00D908A5" w:rsidRDefault="00D908A5" w:rsidP="00F24423">
      <w:pPr>
        <w:pStyle w:val="ListParagraph"/>
        <w:numPr>
          <w:ilvl w:val="0"/>
          <w:numId w:val="11"/>
        </w:numPr>
        <w:jc w:val="both"/>
      </w:pPr>
      <w:r w:rsidRPr="00D908A5">
        <w:t xml:space="preserve">The individual’s present post and place of work (as </w:t>
      </w:r>
      <w:r w:rsidR="00A13951">
        <w:t>6</w:t>
      </w:r>
      <w:r w:rsidRPr="00D908A5">
        <w:t>, above);</w:t>
      </w:r>
    </w:p>
    <w:p w14:paraId="65341F28" w14:textId="51CD203C" w:rsidR="00D908A5" w:rsidRPr="00D908A5" w:rsidRDefault="00D908A5" w:rsidP="00F24423">
      <w:pPr>
        <w:pStyle w:val="ListParagraph"/>
        <w:numPr>
          <w:ilvl w:val="0"/>
          <w:numId w:val="11"/>
        </w:numPr>
        <w:jc w:val="both"/>
      </w:pPr>
      <w:r w:rsidRPr="00D908A5">
        <w:t xml:space="preserve">The range and scope of their experience across higher education/ </w:t>
      </w:r>
      <w:r w:rsidR="00C95A5D">
        <w:t xml:space="preserve">other relevant </w:t>
      </w:r>
      <w:r w:rsidRPr="00D908A5">
        <w:t>professions;</w:t>
      </w:r>
    </w:p>
    <w:p w14:paraId="1B9C3F1D" w14:textId="77777777" w:rsidR="00D908A5" w:rsidRPr="00D908A5" w:rsidRDefault="00D908A5" w:rsidP="00F24423">
      <w:pPr>
        <w:pStyle w:val="ListParagraph"/>
        <w:numPr>
          <w:ilvl w:val="0"/>
          <w:numId w:val="11"/>
        </w:numPr>
        <w:jc w:val="both"/>
      </w:pPr>
      <w:r w:rsidRPr="00D908A5">
        <w:lastRenderedPageBreak/>
        <w:t>Current and recent active involvement in research/ scholarly/ professional activities in the relevant field of study.</w:t>
      </w:r>
    </w:p>
    <w:p w14:paraId="542DFF7F" w14:textId="6989D9A6" w:rsidR="00D908A5" w:rsidRPr="00D908A5" w:rsidRDefault="00D908A5" w:rsidP="00F24423">
      <w:pPr>
        <w:jc w:val="both"/>
      </w:pPr>
      <w:r w:rsidRPr="00D908A5">
        <w:t>While a nominee’s standing and credibility may be determined in part by their seniority within their home institution, this does not preclude the nomination of other appropriately</w:t>
      </w:r>
      <w:r w:rsidR="00E75540">
        <w:t xml:space="preserve"> </w:t>
      </w:r>
      <w:r w:rsidR="00C95A5D">
        <w:t>q</w:t>
      </w:r>
      <w:r w:rsidRPr="00D908A5">
        <w:t xml:space="preserve">ualified individuals. Where they have no previous experience of external examining, </w:t>
      </w:r>
      <w:r w:rsidR="00E75540">
        <w:t xml:space="preserve">candidates’ </w:t>
      </w:r>
      <w:r w:rsidRPr="00D908A5">
        <w:t>nomination should be supported by evidence of:</w:t>
      </w:r>
    </w:p>
    <w:p w14:paraId="03AF7B50" w14:textId="54827122" w:rsidR="00D908A5" w:rsidRPr="00D908A5" w:rsidRDefault="00E75540" w:rsidP="00F24423">
      <w:pPr>
        <w:pStyle w:val="ListParagraph"/>
        <w:numPr>
          <w:ilvl w:val="0"/>
          <w:numId w:val="12"/>
        </w:numPr>
        <w:jc w:val="both"/>
      </w:pPr>
      <w:r>
        <w:t>o</w:t>
      </w:r>
      <w:r w:rsidR="00D908A5" w:rsidRPr="00D908A5">
        <w:t>ther types of ‘externality’</w:t>
      </w:r>
      <w:r w:rsidR="00D87BC5">
        <w:rPr>
          <w:rStyle w:val="FootnoteReference"/>
        </w:rPr>
        <w:footnoteReference w:id="13"/>
      </w:r>
      <w:r w:rsidR="00D908A5" w:rsidRPr="00D908A5">
        <w:t xml:space="preserve">; </w:t>
      </w:r>
      <w:r w:rsidR="003C3573">
        <w:t xml:space="preserve">and/ </w:t>
      </w:r>
      <w:r w:rsidR="00D908A5" w:rsidRPr="00D908A5">
        <w:t>or</w:t>
      </w:r>
    </w:p>
    <w:p w14:paraId="7E1A6D2C" w14:textId="1031D9ED" w:rsidR="00D908A5" w:rsidRPr="00D908A5" w:rsidRDefault="00E75540" w:rsidP="00F24423">
      <w:pPr>
        <w:pStyle w:val="ListParagraph"/>
        <w:numPr>
          <w:ilvl w:val="0"/>
          <w:numId w:val="12"/>
        </w:numPr>
        <w:jc w:val="both"/>
      </w:pPr>
      <w:r>
        <w:t>s</w:t>
      </w:r>
      <w:r w:rsidR="00D908A5" w:rsidRPr="00D908A5">
        <w:t xml:space="preserve">ignificant experience of internal moderation or verification of assessment within their home institution; </w:t>
      </w:r>
      <w:r w:rsidR="003C3573">
        <w:t xml:space="preserve">and/ </w:t>
      </w:r>
      <w:r w:rsidR="00D908A5" w:rsidRPr="00D908A5">
        <w:t>or</w:t>
      </w:r>
    </w:p>
    <w:p w14:paraId="56DB2B44" w14:textId="1686485F" w:rsidR="00D908A5" w:rsidRPr="00D908A5" w:rsidRDefault="00E75540" w:rsidP="00F24423">
      <w:pPr>
        <w:pStyle w:val="ListParagraph"/>
        <w:numPr>
          <w:ilvl w:val="0"/>
          <w:numId w:val="12"/>
        </w:numPr>
        <w:jc w:val="both"/>
      </w:pPr>
      <w:r>
        <w:t>o</w:t>
      </w:r>
      <w:r w:rsidR="00D908A5" w:rsidRPr="00D908A5">
        <w:t>ther relevant and recent experience likely to support them in their duties, e.g.</w:t>
      </w:r>
      <w:r w:rsidR="00A13951">
        <w:t>,</w:t>
      </w:r>
      <w:r w:rsidR="00D908A5" w:rsidRPr="00D908A5">
        <w:t xml:space="preserve"> participation in their home institution’s validation, monitoring and review activities.</w:t>
      </w:r>
    </w:p>
    <w:p w14:paraId="3117BA54" w14:textId="34D1D23D" w:rsidR="00D908A5" w:rsidRPr="00D908A5" w:rsidRDefault="00D908A5" w:rsidP="00F24423">
      <w:pPr>
        <w:jc w:val="both"/>
      </w:pPr>
      <w:r w:rsidRPr="00D908A5">
        <w:t>Where possible</w:t>
      </w:r>
      <w:r w:rsidRPr="00337D25">
        <w:t>, individuals without previous experience</w:t>
      </w:r>
      <w:r w:rsidRPr="00D908A5">
        <w:t xml:space="preserve"> </w:t>
      </w:r>
      <w:r w:rsidR="00F24423">
        <w:t xml:space="preserve">either </w:t>
      </w:r>
      <w:r w:rsidRPr="00D908A5">
        <w:t>join an experienced team of examiners and/</w:t>
      </w:r>
      <w:r w:rsidR="003C3573">
        <w:t xml:space="preserve"> </w:t>
      </w:r>
      <w:r w:rsidRPr="00D908A5">
        <w:t xml:space="preserve">or are </w:t>
      </w:r>
      <w:r w:rsidRPr="00337D25">
        <w:rPr>
          <w:b/>
          <w:bCs/>
        </w:rPr>
        <w:t>mentored</w:t>
      </w:r>
      <w:r w:rsidRPr="00D908A5">
        <w:t xml:space="preserve"> by an experienced examiner </w:t>
      </w:r>
      <w:r w:rsidR="00337D25" w:rsidRPr="00337D25">
        <w:t>in the same or cognate subject area</w:t>
      </w:r>
      <w:r w:rsidRPr="00D908A5">
        <w:t xml:space="preserve">. Where an examiner’s engagement is conditional on </w:t>
      </w:r>
      <w:r w:rsidR="003C3573">
        <w:t xml:space="preserve">them </w:t>
      </w:r>
      <w:r w:rsidRPr="00D908A5">
        <w:t xml:space="preserve">being mentored, </w:t>
      </w:r>
      <w:r w:rsidR="00A13951">
        <w:t xml:space="preserve">Faculties </w:t>
      </w:r>
      <w:r w:rsidR="00F24423">
        <w:t xml:space="preserve">identify a current external examiner </w:t>
      </w:r>
      <w:r w:rsidRPr="00D908A5">
        <w:t>and outline to both parties the expectations of the mentoring relationship</w:t>
      </w:r>
      <w:r w:rsidR="00F24423">
        <w:t>. Experience is developed in the following areas as required:</w:t>
      </w:r>
      <w:r w:rsidRPr="00D908A5">
        <w:t xml:space="preserve"> </w:t>
      </w:r>
    </w:p>
    <w:p w14:paraId="7653EE32" w14:textId="31250319" w:rsidR="00D908A5" w:rsidRPr="00D908A5" w:rsidRDefault="00D908A5" w:rsidP="00F24423">
      <w:pPr>
        <w:pStyle w:val="ListParagraph"/>
        <w:numPr>
          <w:ilvl w:val="0"/>
          <w:numId w:val="13"/>
        </w:numPr>
        <w:jc w:val="both"/>
      </w:pPr>
      <w:r w:rsidRPr="00D908A5">
        <w:t>UK sector</w:t>
      </w:r>
      <w:r w:rsidR="00E75540">
        <w:t xml:space="preserve"> </w:t>
      </w:r>
      <w:r w:rsidRPr="00D908A5">
        <w:t>agreed reference points for the setting and maintenance of academic standards (Framework for Higher Education Qualifications, Degree Characteristics Statements and the relevant Subject Benchmark Statement/s).</w:t>
      </w:r>
    </w:p>
    <w:p w14:paraId="0CE5F186" w14:textId="77777777" w:rsidR="00D908A5" w:rsidRPr="00D908A5" w:rsidRDefault="00D908A5" w:rsidP="00F24423">
      <w:pPr>
        <w:pStyle w:val="ListParagraph"/>
        <w:numPr>
          <w:ilvl w:val="0"/>
          <w:numId w:val="13"/>
        </w:numPr>
        <w:jc w:val="both"/>
      </w:pPr>
      <w:r w:rsidRPr="00D908A5">
        <w:t>Moderation of assessed student work and the writing of annual reports.</w:t>
      </w:r>
    </w:p>
    <w:p w14:paraId="6C6F50CF" w14:textId="300100EE" w:rsidR="00D908A5" w:rsidRPr="00D908A5" w:rsidRDefault="00D908A5" w:rsidP="00F24423">
      <w:pPr>
        <w:pStyle w:val="ListParagraph"/>
        <w:numPr>
          <w:ilvl w:val="0"/>
          <w:numId w:val="13"/>
        </w:numPr>
        <w:jc w:val="both"/>
      </w:pPr>
      <w:r w:rsidRPr="00D908A5">
        <w:t xml:space="preserve">The operation of </w:t>
      </w:r>
      <w:r w:rsidR="00E75540">
        <w:t>a</w:t>
      </w:r>
      <w:r w:rsidRPr="00D908A5">
        <w:t xml:space="preserve">ssessment and </w:t>
      </w:r>
      <w:r w:rsidR="00E75540">
        <w:t>a</w:t>
      </w:r>
      <w:r w:rsidRPr="00D908A5">
        <w:t xml:space="preserve">ward </w:t>
      </w:r>
      <w:r w:rsidR="00E75540">
        <w:t>b</w:t>
      </w:r>
      <w:r w:rsidRPr="00D908A5">
        <w:t>oards</w:t>
      </w:r>
      <w:r w:rsidR="00E75540">
        <w:t xml:space="preserve"> </w:t>
      </w:r>
      <w:r w:rsidRPr="00D908A5">
        <w:t>and the role of the external examiner within them.</w:t>
      </w:r>
    </w:p>
    <w:p w14:paraId="1C6974CB" w14:textId="7CEECEDC" w:rsidR="00F24423" w:rsidRPr="00F24423" w:rsidRDefault="00D908A5" w:rsidP="00F24423">
      <w:pPr>
        <w:pStyle w:val="ListParagraph"/>
        <w:numPr>
          <w:ilvl w:val="0"/>
          <w:numId w:val="13"/>
        </w:numPr>
        <w:jc w:val="both"/>
      </w:pPr>
      <w:r w:rsidRPr="00D908A5">
        <w:t>Administrative processes and procedures for the engagement and payment of external examiners.</w:t>
      </w:r>
    </w:p>
    <w:p w14:paraId="0000F3A0" w14:textId="4EDE755F" w:rsidR="00D908A5" w:rsidRPr="00D908A5" w:rsidRDefault="00D908A5" w:rsidP="00F24423">
      <w:pPr>
        <w:jc w:val="both"/>
      </w:pPr>
      <w:r w:rsidRPr="00D908A5">
        <w:t xml:space="preserve">The onus is on the mentor to make initial contact with their mentee following which they </w:t>
      </w:r>
      <w:r w:rsidR="00E75540">
        <w:t>are</w:t>
      </w:r>
      <w:r w:rsidRPr="00D908A5">
        <w:t xml:space="preserve"> available to provide advice and support on request. Faculties will collect and evaluate feedback from mentors</w:t>
      </w:r>
      <w:r w:rsidR="00E75540">
        <w:t>’</w:t>
      </w:r>
      <w:r w:rsidRPr="00D908A5">
        <w:t xml:space="preserve"> and mentees</w:t>
      </w:r>
      <w:r w:rsidR="00E75540">
        <w:t>’</w:t>
      </w:r>
      <w:r w:rsidRPr="00D908A5">
        <w:t xml:space="preserve"> annual reports for reporting to</w:t>
      </w:r>
      <w:r w:rsidR="0043420A">
        <w:t xml:space="preserve"> t</w:t>
      </w:r>
      <w:r w:rsidRPr="00D908A5">
        <w:t>he relevant Faculty Board committee. Faculties provide periodic reports on the mentoring process on request from the University’s External Examiners Sub-Committee (EESC)</w:t>
      </w:r>
      <w:r w:rsidR="00D87BC5">
        <w:rPr>
          <w:rStyle w:val="FootnoteReference"/>
        </w:rPr>
        <w:footnoteReference w:id="14"/>
      </w:r>
      <w:r w:rsidRPr="00D908A5">
        <w:t>.</w:t>
      </w:r>
    </w:p>
    <w:p w14:paraId="3F68F4F9" w14:textId="77777777" w:rsidR="004D55AF" w:rsidRDefault="00D908A5" w:rsidP="00F24423">
      <w:pPr>
        <w:jc w:val="both"/>
      </w:pPr>
      <w:r w:rsidRPr="00D908A5">
        <w:t xml:space="preserve">The engagement of external examiners from </w:t>
      </w:r>
      <w:proofErr w:type="spellStart"/>
      <w:r w:rsidRPr="00D908A5">
        <w:t>outwith</w:t>
      </w:r>
      <w:proofErr w:type="spellEnd"/>
      <w:r w:rsidRPr="00D908A5">
        <w:t xml:space="preserve"> the higher education sector may be appropriate in certain circumstances, e.g.</w:t>
      </w:r>
      <w:r w:rsidR="00F24423">
        <w:t>,</w:t>
      </w:r>
      <w:r w:rsidRPr="00D908A5">
        <w:t xml:space="preserve"> to provide specific industrial or </w:t>
      </w:r>
      <w:r w:rsidR="003C3573">
        <w:t xml:space="preserve">other </w:t>
      </w:r>
      <w:r w:rsidRPr="00D908A5">
        <w:t xml:space="preserve">professional expertise. In such cases nominations will describe the extent and relevance of the individual’s knowledge and experience including any professional body recognition, and their familiarity with the design, delivery and assessment of higher education programmes. Where an individual from industry is nominated to work in tandem with an academic examiner, this is </w:t>
      </w:r>
      <w:r w:rsidR="00F24423" w:rsidRPr="00D908A5">
        <w:t>considered</w:t>
      </w:r>
      <w:r w:rsidRPr="00D908A5">
        <w:t xml:space="preserve"> during the nomination</w:t>
      </w:r>
      <w:r w:rsidR="00F24423">
        <w:t xml:space="preserve"> process</w:t>
      </w:r>
      <w:r w:rsidRPr="00D908A5">
        <w:t xml:space="preserve">. </w:t>
      </w:r>
    </w:p>
    <w:p w14:paraId="3F8EF99F" w14:textId="5A350761" w:rsidR="00D908A5" w:rsidRPr="00D908A5" w:rsidRDefault="00006AB0" w:rsidP="00F24423">
      <w:pPr>
        <w:jc w:val="both"/>
      </w:pPr>
      <w:r>
        <w:lastRenderedPageBreak/>
        <w:t>R</w:t>
      </w:r>
      <w:r w:rsidR="00D908A5" w:rsidRPr="00D908A5">
        <w:t xml:space="preserve">etirees or other former staff of </w:t>
      </w:r>
      <w:r w:rsidR="00F24423">
        <w:t>HEIs</w:t>
      </w:r>
      <w:r w:rsidR="00D908A5" w:rsidRPr="00D908A5">
        <w:t xml:space="preserve"> will normally only be considered within two years of exit or, exceptionally, where other significant evidence of their academic and professional currency is available. A former external examiner may be re-engaged only in very exceptional circumstances and after at least five years have elapsed since the end of their previous engagement.</w:t>
      </w:r>
    </w:p>
    <w:p w14:paraId="6B0B20F4" w14:textId="25A83DAB" w:rsidR="00D908A5" w:rsidRPr="00D908A5" w:rsidRDefault="00D908A5" w:rsidP="00F24423">
      <w:pPr>
        <w:jc w:val="both"/>
      </w:pPr>
      <w:r w:rsidRPr="004D55AF">
        <w:rPr>
          <w:b/>
          <w:bCs/>
        </w:rPr>
        <w:t>Nominees should normally hold no more than two external examiner positions</w:t>
      </w:r>
      <w:r w:rsidRPr="00D908A5">
        <w:t xml:space="preserve"> </w:t>
      </w:r>
      <w:r w:rsidR="00006AB0">
        <w:t xml:space="preserve">at the same time. This includes </w:t>
      </w:r>
      <w:r w:rsidR="003C3573">
        <w:t>the</w:t>
      </w:r>
      <w:r w:rsidR="00E75540">
        <w:t>ir position</w:t>
      </w:r>
      <w:r w:rsidR="003C3573">
        <w:t xml:space="preserve"> </w:t>
      </w:r>
      <w:r w:rsidRPr="00D908A5">
        <w:t>with Edge Hill</w:t>
      </w:r>
      <w:r w:rsidR="00006AB0">
        <w:t>.</w:t>
      </w:r>
      <w:r w:rsidRPr="00D908A5">
        <w:t xml:space="preserve"> </w:t>
      </w:r>
      <w:r w:rsidR="00006AB0">
        <w:t>E</w:t>
      </w:r>
      <w:r w:rsidRPr="00D908A5">
        <w:t>xceptions would require special justification during the nomination process (</w:t>
      </w:r>
      <w:r w:rsidR="00E75540">
        <w:t xml:space="preserve">see also </w:t>
      </w:r>
      <w:r w:rsidRPr="00D908A5">
        <w:t>below).</w:t>
      </w:r>
    </w:p>
    <w:p w14:paraId="24FC1040" w14:textId="733586B5" w:rsidR="00D908A5" w:rsidRPr="00D908A5" w:rsidRDefault="00D908A5" w:rsidP="00D87BC5">
      <w:pPr>
        <w:pStyle w:val="Heading2"/>
      </w:pPr>
      <w:bookmarkStart w:id="7" w:name="Current_or_previous_associations,_‘recip"/>
      <w:bookmarkStart w:id="8" w:name="_Toc34401590"/>
      <w:bookmarkStart w:id="9" w:name="_Toc89161767"/>
      <w:bookmarkEnd w:id="7"/>
      <w:r w:rsidRPr="00D908A5">
        <w:t>Current or previous associations</w:t>
      </w:r>
      <w:bookmarkEnd w:id="8"/>
      <w:bookmarkEnd w:id="9"/>
    </w:p>
    <w:p w14:paraId="14805E86" w14:textId="77777777" w:rsidR="00006AB0" w:rsidRDefault="00006AB0" w:rsidP="00006AB0">
      <w:pPr>
        <w:jc w:val="both"/>
      </w:pPr>
      <w:r>
        <w:t>D</w:t>
      </w:r>
      <w:r w:rsidR="00D908A5" w:rsidRPr="00D908A5">
        <w:t>epartments and Faculties supported by the External Examiners Administrator (</w:t>
      </w:r>
      <w:r>
        <w:t>located in the Governance, Quality Assurance and Student Casework unit</w:t>
      </w:r>
      <w:r w:rsidR="00D908A5" w:rsidRPr="00D908A5">
        <w:t xml:space="preserve">) are responsible for ensuring that nominations adhere to the University’s rules governing external examiners’ engagement. </w:t>
      </w:r>
    </w:p>
    <w:p w14:paraId="03F2202C" w14:textId="77777777" w:rsidR="00006AB0" w:rsidRDefault="00D908A5" w:rsidP="00006AB0">
      <w:pPr>
        <w:jc w:val="both"/>
      </w:pPr>
      <w:r w:rsidRPr="00D908A5">
        <w:t>External examiners should not be involved in</w:t>
      </w:r>
      <w:r w:rsidR="00006AB0">
        <w:t>:</w:t>
      </w:r>
    </w:p>
    <w:p w14:paraId="62D46FF8" w14:textId="77777777" w:rsidR="00006AB0" w:rsidRDefault="00006AB0" w:rsidP="00006AB0">
      <w:pPr>
        <w:pStyle w:val="ListParagraph"/>
        <w:numPr>
          <w:ilvl w:val="0"/>
          <w:numId w:val="38"/>
        </w:numPr>
        <w:jc w:val="both"/>
      </w:pPr>
      <w:r>
        <w:t xml:space="preserve">The </w:t>
      </w:r>
      <w:r w:rsidR="00D908A5" w:rsidRPr="00D908A5">
        <w:t>deliver</w:t>
      </w:r>
      <w:r>
        <w:t xml:space="preserve">y of </w:t>
      </w:r>
      <w:r w:rsidR="00D908A5" w:rsidRPr="00D908A5">
        <w:t xml:space="preserve">any modules </w:t>
      </w:r>
      <w:r>
        <w:t xml:space="preserve">and/ </w:t>
      </w:r>
      <w:r w:rsidR="00D908A5" w:rsidRPr="00D908A5">
        <w:t xml:space="preserve">or programmes of the University, </w:t>
      </w:r>
    </w:p>
    <w:p w14:paraId="2312829E" w14:textId="77777777" w:rsidR="00006AB0" w:rsidRDefault="00006AB0" w:rsidP="00006AB0">
      <w:pPr>
        <w:pStyle w:val="ListParagraph"/>
        <w:numPr>
          <w:ilvl w:val="0"/>
          <w:numId w:val="38"/>
        </w:numPr>
        <w:jc w:val="both"/>
      </w:pPr>
      <w:r>
        <w:t>A</w:t>
      </w:r>
      <w:r w:rsidR="00D908A5" w:rsidRPr="00D908A5">
        <w:t xml:space="preserve">dvising students about </w:t>
      </w:r>
      <w:r>
        <w:t>their modules and/ or programmes of study</w:t>
      </w:r>
      <w:r w:rsidR="00D908A5" w:rsidRPr="00D908A5">
        <w:t xml:space="preserve">, </w:t>
      </w:r>
    </w:p>
    <w:p w14:paraId="1C4E4126" w14:textId="77777777" w:rsidR="00006AB0" w:rsidRDefault="00006AB0" w:rsidP="00006AB0">
      <w:pPr>
        <w:pStyle w:val="ListParagraph"/>
        <w:numPr>
          <w:ilvl w:val="0"/>
          <w:numId w:val="38"/>
        </w:numPr>
        <w:jc w:val="both"/>
      </w:pPr>
      <w:r>
        <w:t>E</w:t>
      </w:r>
      <w:r w:rsidR="00D908A5" w:rsidRPr="00D908A5">
        <w:t>xamination and</w:t>
      </w:r>
      <w:r>
        <w:t>/or</w:t>
      </w:r>
      <w:r w:rsidR="00D908A5" w:rsidRPr="00D908A5">
        <w:t xml:space="preserve"> assessment, </w:t>
      </w:r>
    </w:p>
    <w:p w14:paraId="48912B8C" w14:textId="360B3E10" w:rsidR="00006AB0" w:rsidRDefault="00006AB0" w:rsidP="00006AB0">
      <w:pPr>
        <w:pStyle w:val="ListParagraph"/>
        <w:numPr>
          <w:ilvl w:val="0"/>
          <w:numId w:val="38"/>
        </w:numPr>
        <w:jc w:val="both"/>
      </w:pPr>
      <w:r>
        <w:t>The p</w:t>
      </w:r>
      <w:r w:rsidR="00D908A5" w:rsidRPr="00D908A5">
        <w:t>rogramme</w:t>
      </w:r>
      <w:r>
        <w:t>/s</w:t>
      </w:r>
      <w:r w:rsidR="00D908A5" w:rsidRPr="00D908A5">
        <w:t xml:space="preserve"> </w:t>
      </w:r>
      <w:r w:rsidR="00724D04">
        <w:t>development</w:t>
      </w:r>
      <w:r w:rsidR="00D87BC5">
        <w:rPr>
          <w:rStyle w:val="FootnoteReference"/>
        </w:rPr>
        <w:footnoteReference w:id="15"/>
      </w:r>
      <w:r w:rsidR="00D908A5" w:rsidRPr="00D908A5">
        <w:t xml:space="preserve"> </w:t>
      </w:r>
      <w:r>
        <w:t xml:space="preserve">(as an external consultant) </w:t>
      </w:r>
      <w:r w:rsidR="00D908A5" w:rsidRPr="00D908A5">
        <w:t xml:space="preserve">within the last three years. </w:t>
      </w:r>
    </w:p>
    <w:p w14:paraId="75083865" w14:textId="06EE384A" w:rsidR="00D908A5" w:rsidRDefault="00006AB0" w:rsidP="00006AB0">
      <w:pPr>
        <w:pStyle w:val="ListParagraph"/>
        <w:numPr>
          <w:ilvl w:val="0"/>
          <w:numId w:val="38"/>
        </w:numPr>
        <w:jc w:val="both"/>
      </w:pPr>
      <w:r>
        <w:t xml:space="preserve">Other </w:t>
      </w:r>
      <w:r w:rsidR="00D908A5" w:rsidRPr="00D908A5">
        <w:t>conflicts of interest</w:t>
      </w:r>
      <w:r>
        <w:t>,</w:t>
      </w:r>
      <w:r w:rsidR="00D908A5" w:rsidRPr="00D908A5">
        <w:t xml:space="preserve"> </w:t>
      </w:r>
      <w:r>
        <w:t>including</w:t>
      </w:r>
      <w:r w:rsidR="00D908A5" w:rsidRPr="00D908A5">
        <w:t xml:space="preserve"> </w:t>
      </w:r>
      <w:r w:rsidR="00D908A5" w:rsidRPr="00006AB0">
        <w:rPr>
          <w:b/>
        </w:rPr>
        <w:t>any</w:t>
      </w:r>
      <w:r w:rsidR="00D908A5" w:rsidRPr="00D908A5">
        <w:t xml:space="preserve"> of the following:</w:t>
      </w:r>
    </w:p>
    <w:p w14:paraId="57687007" w14:textId="7BF22248" w:rsidR="00D908A5" w:rsidRDefault="00D908A5" w:rsidP="008F31B3">
      <w:pPr>
        <w:pStyle w:val="ListParagraph"/>
        <w:numPr>
          <w:ilvl w:val="1"/>
          <w:numId w:val="39"/>
        </w:numPr>
        <w:jc w:val="both"/>
      </w:pPr>
      <w:r w:rsidRPr="00D908A5">
        <w:t xml:space="preserve">a professional, contractual or close personal relationship with </w:t>
      </w:r>
      <w:r w:rsidR="00006AB0">
        <w:t>Edge Hill</w:t>
      </w:r>
      <w:r w:rsidRPr="00D908A5">
        <w:t xml:space="preserve"> staff or students.</w:t>
      </w:r>
    </w:p>
    <w:p w14:paraId="5C9EA7C4" w14:textId="5C46A131" w:rsidR="00D908A5" w:rsidRDefault="00006AB0" w:rsidP="008F31B3">
      <w:pPr>
        <w:pStyle w:val="ListParagraph"/>
        <w:numPr>
          <w:ilvl w:val="1"/>
          <w:numId w:val="39"/>
        </w:numPr>
        <w:jc w:val="both"/>
      </w:pPr>
      <w:r>
        <w:t>E</w:t>
      </w:r>
      <w:r w:rsidR="00D908A5" w:rsidRPr="00D908A5">
        <w:t>ngage</w:t>
      </w:r>
      <w:r>
        <w:t>ment</w:t>
      </w:r>
      <w:r w:rsidR="00D908A5" w:rsidRPr="00D908A5">
        <w:t xml:space="preserve"> in substantive collaborative research with a member of Edge Hill staff.</w:t>
      </w:r>
    </w:p>
    <w:p w14:paraId="18A22A59" w14:textId="203F534E" w:rsidR="008F31B3" w:rsidRDefault="00006AB0" w:rsidP="008F31B3">
      <w:pPr>
        <w:pStyle w:val="ListParagraph"/>
        <w:numPr>
          <w:ilvl w:val="1"/>
          <w:numId w:val="39"/>
        </w:numPr>
        <w:jc w:val="both"/>
      </w:pPr>
      <w:r>
        <w:t>M</w:t>
      </w:r>
      <w:r w:rsidR="00D908A5" w:rsidRPr="00D908A5">
        <w:t>ember</w:t>
      </w:r>
      <w:r>
        <w:t>ship</w:t>
      </w:r>
      <w:r w:rsidR="00D908A5" w:rsidRPr="00D908A5">
        <w:t xml:space="preserve"> of the </w:t>
      </w:r>
      <w:r>
        <w:t xml:space="preserve">University’s </w:t>
      </w:r>
      <w:r w:rsidR="00D908A5" w:rsidRPr="00D908A5">
        <w:t>governing body</w:t>
      </w:r>
      <w:r w:rsidR="008F31B3">
        <w:t>;</w:t>
      </w:r>
      <w:r w:rsidR="00D908A5" w:rsidRPr="00D908A5">
        <w:t xml:space="preserve"> or </w:t>
      </w:r>
    </w:p>
    <w:p w14:paraId="04A2CD13" w14:textId="5DB77079" w:rsidR="004B5085" w:rsidRDefault="00EF6391" w:rsidP="004B5085">
      <w:pPr>
        <w:pStyle w:val="ListParagraph"/>
        <w:numPr>
          <w:ilvl w:val="1"/>
          <w:numId w:val="39"/>
        </w:numPr>
        <w:jc w:val="both"/>
      </w:pPr>
      <w:r w:rsidRPr="00EF6391">
        <w:rPr>
          <w:b/>
          <w:bCs/>
          <w:noProof/>
        </w:rPr>
        <mc:AlternateContent>
          <mc:Choice Requires="wps">
            <w:drawing>
              <wp:anchor distT="45720" distB="45720" distL="114300" distR="114300" simplePos="0" relativeHeight="251663360" behindDoc="0" locked="0" layoutInCell="1" allowOverlap="1" wp14:anchorId="42E13003" wp14:editId="52CBC3A7">
                <wp:simplePos x="0" y="0"/>
                <wp:positionH relativeFrom="column">
                  <wp:posOffset>-9525</wp:posOffset>
                </wp:positionH>
                <wp:positionV relativeFrom="paragraph">
                  <wp:posOffset>452120</wp:posOffset>
                </wp:positionV>
                <wp:extent cx="5753100" cy="1066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66800"/>
                        </a:xfrm>
                        <a:prstGeom prst="rect">
                          <a:avLst/>
                        </a:prstGeom>
                        <a:solidFill>
                          <a:srgbClr val="FFFFFF"/>
                        </a:solidFill>
                        <a:ln w="9525">
                          <a:solidFill>
                            <a:srgbClr val="000000"/>
                          </a:solidFill>
                          <a:miter lim="800000"/>
                          <a:headEnd/>
                          <a:tailEnd/>
                        </a:ln>
                      </wps:spPr>
                      <wps:txbx>
                        <w:txbxContent>
                          <w:p w14:paraId="3E60F3FC" w14:textId="54F93E62" w:rsidR="004B5085" w:rsidRPr="00EF6391" w:rsidRDefault="004B5085" w:rsidP="00EF6391">
                            <w:pPr>
                              <w:jc w:val="both"/>
                            </w:pPr>
                            <w:r w:rsidRPr="00EF6391">
                              <w:rPr>
                                <w:b/>
                                <w:bCs/>
                              </w:rPr>
                              <w:t>Note:</w:t>
                            </w:r>
                            <w:r w:rsidRPr="00EF6391">
                              <w:t xml:space="preserve"> </w:t>
                            </w:r>
                            <w:r w:rsidRPr="00195C62">
                              <w:t xml:space="preserve">Previous examination of a PhD viva at Edge Hill does not count as a conflict of interest and therefore does not exclusively, prevent a nominee from becoming an external examiner of our taught provision. </w:t>
                            </w:r>
                            <w:r w:rsidRPr="00EF6391">
                              <w:t>T</w:t>
                            </w:r>
                            <w:r w:rsidRPr="00195C62">
                              <w:t>aught degrees and research degrees</w:t>
                            </w:r>
                            <w:r w:rsidRPr="00EF6391">
                              <w:t xml:space="preserve"> are governed by separate and </w:t>
                            </w:r>
                            <w:r w:rsidRPr="00195C62">
                              <w:t>equally robust</w:t>
                            </w:r>
                            <w:r w:rsidRPr="00EF6391">
                              <w:t xml:space="preserve"> Regulations</w:t>
                            </w:r>
                            <w:r w:rsidRPr="00195C62">
                              <w:t>. Acting as an examiner to a PhD viva does not provide opportunity to influence our taught provision.</w:t>
                            </w:r>
                          </w:p>
                          <w:p w14:paraId="7B81C59E" w14:textId="5C0C0A6F" w:rsidR="004B5085" w:rsidRDefault="004B5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13003" id="Text Box 2" o:spid="_x0000_s1030" type="#_x0000_t202" style="position:absolute;left:0;text-align:left;margin-left:-.75pt;margin-top:35.6pt;width:453pt;height: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">
                <v:textbox>
                  <w:txbxContent>
                    <w:p w14:paraId="3E60F3FC" w14:textId="54F93E62" w:rsidR="004B5085" w:rsidRPr="00EF6391" w:rsidRDefault="004B5085" w:rsidP="00EF6391">
                      <w:pPr>
                        <w:jc w:val="both"/>
                      </w:pPr>
                      <w:r w:rsidRPr="00EF6391">
                        <w:rPr>
                          <w:b/>
                          <w:bCs/>
                        </w:rPr>
                        <w:t>Note:</w:t>
                      </w:r>
                      <w:r w:rsidRPr="00EF6391">
                        <w:t xml:space="preserve"> </w:t>
                      </w:r>
                      <w:r w:rsidRPr="00195C62">
                        <w:t xml:space="preserve">Previous examination of a PhD viva at Edge Hill does not count as a conflict of interest and therefore does not exclusively, prevent a nominee from becoming an external examiner of our taught provision. </w:t>
                      </w:r>
                      <w:r w:rsidRPr="00EF6391">
                        <w:t>T</w:t>
                      </w:r>
                      <w:r w:rsidRPr="00195C62">
                        <w:t>aught degrees and research degrees</w:t>
                      </w:r>
                      <w:r w:rsidRPr="00EF6391">
                        <w:t xml:space="preserve"> are governed by separate and </w:t>
                      </w:r>
                      <w:r w:rsidRPr="00195C62">
                        <w:t>equally robust</w:t>
                      </w:r>
                      <w:r w:rsidRPr="00EF6391">
                        <w:t xml:space="preserve"> Regulations</w:t>
                      </w:r>
                      <w:r w:rsidRPr="00195C62">
                        <w:t>. Acting as an examiner to a PhD viva does not provide opportunity to influence our taught provision.</w:t>
                      </w:r>
                    </w:p>
                    <w:p w14:paraId="7B81C59E" w14:textId="5C0C0A6F" w:rsidR="004B5085" w:rsidRDefault="004B5085"/>
                  </w:txbxContent>
                </v:textbox>
                <w10:wrap type="square"/>
              </v:shape>
            </w:pict>
          </mc:Fallback>
        </mc:AlternateContent>
      </w:r>
      <w:r w:rsidR="008F31B3">
        <w:t>Employment as a member of University staff</w:t>
      </w:r>
      <w:r w:rsidR="00D908A5" w:rsidRPr="00D908A5">
        <w:t xml:space="preserve"> or </w:t>
      </w:r>
      <w:r w:rsidR="008F31B3">
        <w:t xml:space="preserve">at </w:t>
      </w:r>
      <w:r w:rsidR="00D908A5" w:rsidRPr="00D908A5">
        <w:t>one of its academic partner organisations</w:t>
      </w:r>
      <w:r w:rsidR="008F31B3">
        <w:t>,</w:t>
      </w:r>
      <w:r w:rsidR="00D908A5" w:rsidRPr="00D908A5">
        <w:t xml:space="preserve"> including Erasmus or other overseas partner institutions. </w:t>
      </w:r>
    </w:p>
    <w:p w14:paraId="6162B2EA" w14:textId="2276967F" w:rsidR="004B5085" w:rsidRDefault="004B5085" w:rsidP="004B5085">
      <w:pPr>
        <w:pStyle w:val="ListParagraph"/>
        <w:ind w:left="1500"/>
        <w:jc w:val="both"/>
      </w:pPr>
    </w:p>
    <w:p w14:paraId="3A7857A9" w14:textId="6A79A4F9" w:rsidR="004B5085" w:rsidRDefault="004B5085" w:rsidP="004B5085">
      <w:pPr>
        <w:pStyle w:val="ListParagraph"/>
        <w:ind w:left="1500"/>
        <w:jc w:val="both"/>
      </w:pPr>
    </w:p>
    <w:p w14:paraId="57BADDD7" w14:textId="46A23873" w:rsidR="004B5085" w:rsidRDefault="004B5085" w:rsidP="004B5085">
      <w:pPr>
        <w:pStyle w:val="ListParagraph"/>
        <w:ind w:left="1500"/>
        <w:jc w:val="both"/>
      </w:pPr>
    </w:p>
    <w:p w14:paraId="585C6D17" w14:textId="77777777" w:rsidR="004B5085" w:rsidRPr="004B5085" w:rsidRDefault="004B5085" w:rsidP="004B5085">
      <w:pPr>
        <w:pStyle w:val="ListParagraph"/>
        <w:ind w:left="1500"/>
        <w:jc w:val="both"/>
      </w:pPr>
    </w:p>
    <w:p w14:paraId="454E4B3F" w14:textId="77777777" w:rsidR="004B5085" w:rsidRPr="008F31B3" w:rsidRDefault="004B5085" w:rsidP="004B5085">
      <w:pPr>
        <w:pStyle w:val="Heading2"/>
        <w:jc w:val="both"/>
      </w:pPr>
      <w:bookmarkStart w:id="10" w:name="_Toc89161768"/>
      <w:r w:rsidRPr="008F31B3">
        <w:lastRenderedPageBreak/>
        <w:t>Reciprocity and other restrictions</w:t>
      </w:r>
      <w:bookmarkEnd w:id="10"/>
    </w:p>
    <w:p w14:paraId="0C1AEF7D" w14:textId="77777777" w:rsidR="004B5085" w:rsidRPr="004B5085" w:rsidRDefault="004B5085" w:rsidP="004B5085"/>
    <w:p w14:paraId="708C5298" w14:textId="4B0BA956" w:rsidR="00A64CAB" w:rsidRDefault="006B1CC4" w:rsidP="00843F95">
      <w:pPr>
        <w:jc w:val="both"/>
      </w:pPr>
      <w:r w:rsidRPr="00036D13">
        <w:rPr>
          <w:rFonts w:asciiTheme="minorHAnsi" w:hAnsiTheme="minorHAnsi" w:cstheme="minorHAnsi"/>
        </w:rPr>
        <w:t xml:space="preserve">Reciprocity occurs </w:t>
      </w:r>
      <w:r w:rsidRPr="00036D13">
        <w:rPr>
          <w:rFonts w:asciiTheme="minorHAnsi" w:hAnsiTheme="minorHAnsi" w:cstheme="minorHAnsi"/>
          <w:b/>
        </w:rPr>
        <w:t xml:space="preserve">only </w:t>
      </w:r>
      <w:r w:rsidRPr="00036D13">
        <w:rPr>
          <w:rFonts w:asciiTheme="minorHAnsi" w:hAnsiTheme="minorHAnsi" w:cstheme="minorHAnsi"/>
        </w:rPr>
        <w:t xml:space="preserve">where staff of two </w:t>
      </w:r>
      <w:r>
        <w:rPr>
          <w:rFonts w:asciiTheme="minorHAnsi" w:hAnsiTheme="minorHAnsi" w:cstheme="minorHAnsi"/>
        </w:rPr>
        <w:t>HEIs</w:t>
      </w:r>
      <w:r w:rsidRPr="00036D13">
        <w:rPr>
          <w:rFonts w:asciiTheme="minorHAnsi" w:hAnsiTheme="minorHAnsi" w:cstheme="minorHAnsi"/>
        </w:rPr>
        <w:t xml:space="preserve"> hold external examiner positions in each other’s home departments. </w:t>
      </w:r>
      <w:r>
        <w:rPr>
          <w:rFonts w:asciiTheme="minorHAnsi" w:hAnsiTheme="minorHAnsi" w:cstheme="minorHAnsi"/>
        </w:rPr>
        <w:t>Academic staff</w:t>
      </w:r>
      <w:r w:rsidRPr="00036D13">
        <w:rPr>
          <w:rFonts w:asciiTheme="minorHAnsi" w:hAnsiTheme="minorHAnsi" w:cstheme="minorHAnsi"/>
        </w:rPr>
        <w:t xml:space="preserve"> are responsible for checking for potential reciprocity when seeking external examiner positions with other providers</w:t>
      </w:r>
      <w:r>
        <w:rPr>
          <w:rFonts w:asciiTheme="minorHAnsi" w:hAnsiTheme="minorHAnsi" w:cstheme="minorHAnsi"/>
        </w:rPr>
        <w:t>.</w:t>
      </w:r>
    </w:p>
    <w:p w14:paraId="304CF074" w14:textId="272E172F" w:rsidR="00D908A5" w:rsidRPr="00D908A5" w:rsidRDefault="00D908A5" w:rsidP="00843F95">
      <w:pPr>
        <w:jc w:val="both"/>
      </w:pPr>
      <w:r w:rsidRPr="00D908A5">
        <w:t xml:space="preserve">In addition to </w:t>
      </w:r>
      <w:r w:rsidR="00464F9E">
        <w:t>the ‘</w:t>
      </w:r>
      <w:r w:rsidRPr="00D908A5">
        <w:t xml:space="preserve">current </w:t>
      </w:r>
      <w:r w:rsidR="009376B0">
        <w:t xml:space="preserve">or previous </w:t>
      </w:r>
      <w:r w:rsidRPr="00D908A5">
        <w:t>associations</w:t>
      </w:r>
      <w:r w:rsidR="00464F9E">
        <w:t>’</w:t>
      </w:r>
      <w:r w:rsidR="009376B0">
        <w:t xml:space="preserve"> described above</w:t>
      </w:r>
      <w:r w:rsidRPr="00D908A5">
        <w:t>, other restrictions include:</w:t>
      </w:r>
    </w:p>
    <w:p w14:paraId="12B16A8F" w14:textId="0EF342D1" w:rsidR="00D908A5" w:rsidRPr="00D908A5" w:rsidRDefault="00D908A5" w:rsidP="00843F95">
      <w:pPr>
        <w:pStyle w:val="ListParagraph"/>
        <w:numPr>
          <w:ilvl w:val="0"/>
          <w:numId w:val="15"/>
        </w:numPr>
        <w:jc w:val="both"/>
      </w:pPr>
      <w:r w:rsidRPr="00D908A5">
        <w:t>Reciprocal arrangements</w:t>
      </w:r>
      <w:r w:rsidR="00195C62">
        <w:rPr>
          <w:rStyle w:val="FootnoteReference"/>
        </w:rPr>
        <w:footnoteReference w:id="16"/>
      </w:r>
      <w:r w:rsidRPr="00D908A5">
        <w:t xml:space="preserve"> with other </w:t>
      </w:r>
      <w:r w:rsidR="00195C62">
        <w:t>HEIs</w:t>
      </w:r>
      <w:r w:rsidRPr="00D908A5">
        <w:t>.</w:t>
      </w:r>
    </w:p>
    <w:p w14:paraId="3B51B050" w14:textId="77777777" w:rsidR="00D908A5" w:rsidRPr="00D908A5" w:rsidRDefault="00D908A5" w:rsidP="00843F95">
      <w:pPr>
        <w:pStyle w:val="ListParagraph"/>
        <w:numPr>
          <w:ilvl w:val="0"/>
          <w:numId w:val="15"/>
        </w:numPr>
        <w:jc w:val="both"/>
      </w:pPr>
      <w:r w:rsidRPr="00D908A5">
        <w:t>Engagement of multiple or consecutive examiners from the same department of another provider.</w:t>
      </w:r>
    </w:p>
    <w:p w14:paraId="47E5C806" w14:textId="6016A48A" w:rsidR="00D908A5" w:rsidRPr="00D908A5" w:rsidRDefault="00D908A5" w:rsidP="00843F95">
      <w:pPr>
        <w:pStyle w:val="ListParagraph"/>
        <w:numPr>
          <w:ilvl w:val="0"/>
          <w:numId w:val="15"/>
        </w:numPr>
        <w:jc w:val="both"/>
      </w:pPr>
      <w:r w:rsidRPr="00D908A5">
        <w:t>Engagement of former Edge Hill staff or students as examiners</w:t>
      </w:r>
      <w:r w:rsidR="008F31B3">
        <w:t>,</w:t>
      </w:r>
      <w:r w:rsidRPr="00D908A5">
        <w:t xml:space="preserve"> until five years have elapsed since their </w:t>
      </w:r>
      <w:r w:rsidR="0088324B">
        <w:t>exit</w:t>
      </w:r>
      <w:r w:rsidRPr="00D908A5">
        <w:t xml:space="preserve"> or after all students taught by or with them have completed their studies (whichever is the longer).</w:t>
      </w:r>
    </w:p>
    <w:p w14:paraId="55377BA6" w14:textId="77777777" w:rsidR="00D908A5" w:rsidRPr="00D908A5" w:rsidRDefault="00D908A5" w:rsidP="00843F95">
      <w:pPr>
        <w:pStyle w:val="ListParagraph"/>
        <w:numPr>
          <w:ilvl w:val="0"/>
          <w:numId w:val="15"/>
        </w:numPr>
        <w:jc w:val="both"/>
      </w:pPr>
      <w:r w:rsidRPr="00D908A5">
        <w:t>Ineligibility to work in the United Kingdom.</w:t>
      </w:r>
    </w:p>
    <w:p w14:paraId="7DEEC6DA" w14:textId="09300363" w:rsidR="00964035" w:rsidRPr="007902F4" w:rsidRDefault="008F31B3" w:rsidP="00843F95">
      <w:pPr>
        <w:jc w:val="both"/>
      </w:pPr>
      <w:r>
        <w:t>R</w:t>
      </w:r>
      <w:r w:rsidR="00D908A5" w:rsidRPr="00D908A5">
        <w:t xml:space="preserve">estriction </w:t>
      </w:r>
      <w:r>
        <w:t>(</w:t>
      </w:r>
      <w:r w:rsidR="00D908A5" w:rsidRPr="00D908A5">
        <w:t>b</w:t>
      </w:r>
      <w:r>
        <w:t>)</w:t>
      </w:r>
      <w:r w:rsidR="00D908A5" w:rsidRPr="00D908A5">
        <w:t xml:space="preserve"> </w:t>
      </w:r>
      <w:r>
        <w:t xml:space="preserve">may be relaxed in </w:t>
      </w:r>
      <w:r w:rsidRPr="008F31B3">
        <w:rPr>
          <w:i/>
          <w:iCs/>
        </w:rPr>
        <w:t>exceptional</w:t>
      </w:r>
      <w:r>
        <w:t xml:space="preserve"> circumstances, e.g.</w:t>
      </w:r>
      <w:r w:rsidR="00D908A5" w:rsidRPr="00D908A5">
        <w:t>, discipline areas that are small and specialist where the pool of potential examiners is extremely restricted and</w:t>
      </w:r>
      <w:r>
        <w:t>/ or</w:t>
      </w:r>
      <w:r w:rsidR="00D908A5" w:rsidRPr="00D908A5">
        <w:t xml:space="preserve"> limited to a very small number of </w:t>
      </w:r>
      <w:r>
        <w:t>HEIs</w:t>
      </w:r>
      <w:r w:rsidR="00D908A5" w:rsidRPr="00D908A5">
        <w:t xml:space="preserve"> – this should be specified clearly in the nomination form and the measures already taken to engage a suitable individual described</w:t>
      </w:r>
      <w:r>
        <w:t xml:space="preserve"> in the previous section</w:t>
      </w:r>
      <w:r w:rsidR="00D908A5" w:rsidRPr="00D908A5">
        <w:t>.</w:t>
      </w:r>
    </w:p>
    <w:p w14:paraId="46729214" w14:textId="23A33F93" w:rsidR="00964035" w:rsidRPr="00964035" w:rsidRDefault="00964035" w:rsidP="00843F95">
      <w:pPr>
        <w:pStyle w:val="Heading2"/>
        <w:jc w:val="both"/>
      </w:pPr>
      <w:bookmarkStart w:id="11" w:name="_Toc89161769"/>
      <w:r w:rsidRPr="00964035">
        <w:t>Criteria for Chief External Examiner</w:t>
      </w:r>
      <w:r w:rsidR="009204A1">
        <w:t>s</w:t>
      </w:r>
      <w:bookmarkEnd w:id="11"/>
    </w:p>
    <w:p w14:paraId="345AE521" w14:textId="599D792D" w:rsidR="00964035" w:rsidRPr="00BB46A8" w:rsidRDefault="0080423C" w:rsidP="00843F95">
      <w:pPr>
        <w:jc w:val="both"/>
      </w:pPr>
      <w:r w:rsidRPr="00964035">
        <w:t xml:space="preserve">Where more than one examiner has been appointed to </w:t>
      </w:r>
      <w:bookmarkStart w:id="12" w:name="_Hlk86852186"/>
      <w:r w:rsidRPr="00964035">
        <w:t xml:space="preserve">oversee </w:t>
      </w:r>
      <w:r w:rsidR="004967F2" w:rsidRPr="00964035">
        <w:t>several</w:t>
      </w:r>
      <w:r w:rsidRPr="00964035">
        <w:t xml:space="preserve"> cognate or related awards, </w:t>
      </w:r>
      <w:bookmarkEnd w:id="12"/>
      <w:r>
        <w:t>Faculties may</w:t>
      </w:r>
      <w:r w:rsidRPr="00964035">
        <w:t xml:space="preserve"> engage a </w:t>
      </w:r>
      <w:r>
        <w:t>c</w:t>
      </w:r>
      <w:r w:rsidRPr="00964035">
        <w:t xml:space="preserve">hief </w:t>
      </w:r>
      <w:r>
        <w:t>e</w:t>
      </w:r>
      <w:r w:rsidRPr="00964035">
        <w:t xml:space="preserve">xternal </w:t>
      </w:r>
      <w:r>
        <w:t>e</w:t>
      </w:r>
      <w:r w:rsidRPr="00964035">
        <w:t>xaminer</w:t>
      </w:r>
      <w:r>
        <w:t xml:space="preserve"> </w:t>
      </w:r>
      <w:r w:rsidR="00F80CD2">
        <w:t>to</w:t>
      </w:r>
      <w:r>
        <w:t xml:space="preserve"> provide</w:t>
      </w:r>
      <w:r w:rsidR="0091320A">
        <w:t xml:space="preserve"> an additional layer of oversight</w:t>
      </w:r>
      <w:r w:rsidRPr="00964035">
        <w:t xml:space="preserve"> </w:t>
      </w:r>
      <w:r w:rsidR="0091320A">
        <w:t>and to co-ordinate moderation activities</w:t>
      </w:r>
      <w:r w:rsidR="005D1FE5">
        <w:t xml:space="preserve"> (</w:t>
      </w:r>
      <w:r w:rsidR="005D3CE2">
        <w:t>S</w:t>
      </w:r>
      <w:r w:rsidR="005D1FE5">
        <w:t>ee ‘The Role of Chief External Examiners’ below)</w:t>
      </w:r>
      <w:r w:rsidR="0091320A">
        <w:t xml:space="preserve">. </w:t>
      </w:r>
      <w:r w:rsidR="00964035" w:rsidRPr="00BB46A8">
        <w:t>In addition to the standard nomination criteria</w:t>
      </w:r>
      <w:r w:rsidR="00FF5BE4">
        <w:t xml:space="preserve"> described </w:t>
      </w:r>
      <w:r w:rsidR="001916EA">
        <w:t>above</w:t>
      </w:r>
      <w:r w:rsidR="001916EA" w:rsidRPr="00BB46A8">
        <w:t>,</w:t>
      </w:r>
      <w:r w:rsidR="001916EA">
        <w:t xml:space="preserve"> </w:t>
      </w:r>
      <w:r w:rsidR="001916EA" w:rsidRPr="00BB46A8">
        <w:t>nominees</w:t>
      </w:r>
      <w:r w:rsidR="00195C62">
        <w:t xml:space="preserve"> should:</w:t>
      </w:r>
    </w:p>
    <w:p w14:paraId="1C090589" w14:textId="368513E4" w:rsidR="00154739" w:rsidRPr="004B5085" w:rsidRDefault="00154739" w:rsidP="00843F95">
      <w:pPr>
        <w:pStyle w:val="ListParagraph"/>
        <w:numPr>
          <w:ilvl w:val="0"/>
          <w:numId w:val="36"/>
        </w:numPr>
        <w:spacing w:after="160"/>
        <w:jc w:val="both"/>
      </w:pPr>
      <w:r w:rsidRPr="004B5085">
        <w:t>Be an existing member of the external examiner team for the provision.</w:t>
      </w:r>
    </w:p>
    <w:p w14:paraId="246DF71F" w14:textId="5E0FB7BF" w:rsidR="00964035" w:rsidRPr="002F4C84" w:rsidRDefault="00964035" w:rsidP="00843F95">
      <w:pPr>
        <w:pStyle w:val="ListParagraph"/>
        <w:numPr>
          <w:ilvl w:val="0"/>
          <w:numId w:val="36"/>
        </w:numPr>
        <w:spacing w:after="160"/>
        <w:jc w:val="both"/>
      </w:pPr>
      <w:r w:rsidRPr="002F4C84">
        <w:t xml:space="preserve">Be an experienced external examiner with an academic and/or professional reputation esteemed by other examiners </w:t>
      </w:r>
      <w:r w:rsidR="00195C62">
        <w:t xml:space="preserve">already </w:t>
      </w:r>
      <w:r w:rsidRPr="002F4C84">
        <w:t xml:space="preserve">engaged </w:t>
      </w:r>
      <w:r w:rsidR="00195C62">
        <w:t>in the area</w:t>
      </w:r>
      <w:r w:rsidRPr="002F4C84">
        <w:t xml:space="preserve"> academic provision.</w:t>
      </w:r>
    </w:p>
    <w:p w14:paraId="29AE389B" w14:textId="77777777" w:rsidR="00964035" w:rsidRPr="00BB46A8" w:rsidRDefault="00964035" w:rsidP="00843F95">
      <w:pPr>
        <w:pStyle w:val="ListParagraph"/>
        <w:numPr>
          <w:ilvl w:val="0"/>
          <w:numId w:val="36"/>
        </w:numPr>
        <w:spacing w:after="160"/>
        <w:jc w:val="both"/>
      </w:pPr>
      <w:r w:rsidRPr="00BB46A8">
        <w:t xml:space="preserve">Ideally, have </w:t>
      </w:r>
      <w:r w:rsidRPr="00BB46A8">
        <w:rPr>
          <w:color w:val="000000"/>
        </w:rPr>
        <w:t>Senior or Principal Fellowship of Advance HE and/or have successfully completed the Advance HE Professional Development Course for External Examiners.</w:t>
      </w:r>
    </w:p>
    <w:p w14:paraId="5A2D93E2" w14:textId="20702780" w:rsidR="002404A2" w:rsidRDefault="00964035" w:rsidP="00D262E1">
      <w:pPr>
        <w:pStyle w:val="ListParagraph"/>
        <w:numPr>
          <w:ilvl w:val="0"/>
          <w:numId w:val="36"/>
        </w:numPr>
        <w:spacing w:after="160"/>
        <w:jc w:val="both"/>
      </w:pPr>
      <w:r w:rsidRPr="00BB46A8">
        <w:t>Not exceed the maximum period of engagement as an existing examiner</w:t>
      </w:r>
      <w:r w:rsidR="00195C62">
        <w:t>.</w:t>
      </w:r>
      <w:bookmarkStart w:id="13" w:name="Nomination"/>
      <w:bookmarkStart w:id="14" w:name="_Toc34401591"/>
      <w:bookmarkEnd w:id="13"/>
    </w:p>
    <w:p w14:paraId="36EC4927" w14:textId="27A403AC" w:rsidR="00D908A5" w:rsidRPr="00D908A5" w:rsidRDefault="00D908A5" w:rsidP="00D262E1">
      <w:pPr>
        <w:pStyle w:val="Heading2"/>
        <w:contextualSpacing/>
        <w:jc w:val="both"/>
      </w:pPr>
      <w:bookmarkStart w:id="15" w:name="_Toc89161770"/>
      <w:r w:rsidRPr="00D908A5">
        <w:t>Nomination</w:t>
      </w:r>
      <w:bookmarkEnd w:id="14"/>
      <w:r w:rsidR="00843F95">
        <w:t xml:space="preserve"> Process</w:t>
      </w:r>
      <w:bookmarkEnd w:id="15"/>
    </w:p>
    <w:p w14:paraId="21BF40D3" w14:textId="7B8F9053" w:rsidR="00D908A5" w:rsidRPr="00D908A5" w:rsidRDefault="00D908A5" w:rsidP="00843F95">
      <w:pPr>
        <w:contextualSpacing/>
        <w:jc w:val="both"/>
      </w:pPr>
      <w:r w:rsidRPr="00D908A5">
        <w:t>Faculty Quality Officers alert academic departments when an external examiner is required for new provision</w:t>
      </w:r>
      <w:r w:rsidR="006A2514">
        <w:rPr>
          <w:rStyle w:val="FootnoteReference"/>
        </w:rPr>
        <w:footnoteReference w:id="17"/>
      </w:r>
      <w:r w:rsidRPr="00D908A5">
        <w:t xml:space="preserve"> and provide sufficient notice </w:t>
      </w:r>
      <w:r w:rsidR="00E75540">
        <w:t>of when</w:t>
      </w:r>
      <w:r w:rsidRPr="00D908A5">
        <w:t xml:space="preserve"> an existing examiner’s period of </w:t>
      </w:r>
      <w:r w:rsidRPr="00D908A5">
        <w:lastRenderedPageBreak/>
        <w:t>engagement is about to end</w:t>
      </w:r>
      <w:r w:rsidR="006A2514">
        <w:rPr>
          <w:rStyle w:val="FootnoteReference"/>
        </w:rPr>
        <w:footnoteReference w:id="18"/>
      </w:r>
      <w:r w:rsidRPr="00D908A5">
        <w:t>. By instruction of the University’s Directorate</w:t>
      </w:r>
      <w:r w:rsidR="00843F95">
        <w:t>,</w:t>
      </w:r>
      <w:r w:rsidRPr="00D908A5">
        <w:t xml:space="preserve"> all nominations must normally have been approved before the start of the academic session in which the individual is due to commence work, typically October for undergraduate programmes or January for some Masters programmes. Where in-year engagement</w:t>
      </w:r>
      <w:r w:rsidR="00CA673D">
        <w:t xml:space="preserve"> is</w:t>
      </w:r>
      <w:r w:rsidRPr="00D908A5">
        <w:t xml:space="preserve"> unavoidable, </w:t>
      </w:r>
      <w:r w:rsidR="00CA673D">
        <w:t xml:space="preserve">for example to cover for resignations or terminations, </w:t>
      </w:r>
      <w:r w:rsidR="00737D1D">
        <w:t xml:space="preserve">appointments are </w:t>
      </w:r>
      <w:r w:rsidR="004033F2">
        <w:t xml:space="preserve">back-dated to the start of the </w:t>
      </w:r>
      <w:r w:rsidR="009C5BF2">
        <w:t xml:space="preserve">academic </w:t>
      </w:r>
      <w:r w:rsidRPr="00D908A5">
        <w:t xml:space="preserve">session which counts towards the standard four sessions for which </w:t>
      </w:r>
      <w:r w:rsidR="00C85C52">
        <w:t>examiners</w:t>
      </w:r>
      <w:r w:rsidRPr="00D908A5">
        <w:t xml:space="preserve"> are normally engaged.</w:t>
      </w:r>
    </w:p>
    <w:p w14:paraId="3369D268" w14:textId="77777777" w:rsidR="00843F95" w:rsidRDefault="00843F95" w:rsidP="00843F95">
      <w:pPr>
        <w:contextualSpacing/>
        <w:jc w:val="both"/>
      </w:pPr>
    </w:p>
    <w:p w14:paraId="4126A875" w14:textId="3A58B78D" w:rsidR="00D908A5" w:rsidRDefault="00D908A5" w:rsidP="00843F95">
      <w:pPr>
        <w:contextualSpacing/>
        <w:jc w:val="both"/>
      </w:pPr>
      <w:r w:rsidRPr="00D908A5">
        <w:t xml:space="preserve">Heads of department complete and submit to their Faculty a </w:t>
      </w:r>
      <w:r w:rsidRPr="006A2514">
        <w:rPr>
          <w:b/>
        </w:rPr>
        <w:t>Nomination Form for a New External Examiner</w:t>
      </w:r>
      <w:r w:rsidR="006A2514">
        <w:rPr>
          <w:rStyle w:val="FootnoteReference"/>
        </w:rPr>
        <w:footnoteReference w:id="19"/>
      </w:r>
      <w:r w:rsidRPr="00D908A5">
        <w:t xml:space="preserve"> accompanied by a </w:t>
      </w:r>
      <w:r w:rsidR="00DC1403" w:rsidRPr="00843F95">
        <w:rPr>
          <w:b/>
          <w:bCs/>
        </w:rPr>
        <w:t>C</w:t>
      </w:r>
      <w:r w:rsidRPr="00843F95">
        <w:rPr>
          <w:b/>
          <w:bCs/>
        </w:rPr>
        <w:t xml:space="preserve">urriculum </w:t>
      </w:r>
      <w:r w:rsidR="00DC1403" w:rsidRPr="00843F95">
        <w:rPr>
          <w:b/>
          <w:bCs/>
        </w:rPr>
        <w:t>V</w:t>
      </w:r>
      <w:r w:rsidRPr="00843F95">
        <w:rPr>
          <w:b/>
          <w:bCs/>
        </w:rPr>
        <w:t>itae</w:t>
      </w:r>
      <w:r w:rsidRPr="00D908A5">
        <w:t xml:space="preserve"> detailing the nominee’s employment history, academic and/ or professional qualifications and any previous and current research and scholarly activity. Heads of department ensure that the proposed workload of </w:t>
      </w:r>
      <w:r w:rsidR="00F42736">
        <w:t>the</w:t>
      </w:r>
      <w:r w:rsidRPr="00D908A5">
        <w:t xml:space="preserve"> examiner does not exceed normal Institutional expectations</w:t>
      </w:r>
      <w:r w:rsidR="006A2514">
        <w:rPr>
          <w:rStyle w:val="FootnoteReference"/>
        </w:rPr>
        <w:footnoteReference w:id="20"/>
      </w:r>
      <w:r w:rsidRPr="00D908A5">
        <w:t xml:space="preserve">. </w:t>
      </w:r>
      <w:r w:rsidR="00843F95">
        <w:t>N</w:t>
      </w:r>
      <w:r w:rsidRPr="00D908A5">
        <w:t xml:space="preserve">ominations </w:t>
      </w:r>
      <w:r w:rsidR="00843F95">
        <w:t xml:space="preserve">must </w:t>
      </w:r>
      <w:r w:rsidRPr="00D908A5">
        <w:t xml:space="preserve">contain sufficient information </w:t>
      </w:r>
      <w:r w:rsidR="00843F95">
        <w:t>to allow a judgement to be made. Missing or incomplete</w:t>
      </w:r>
      <w:r w:rsidRPr="00D908A5">
        <w:t xml:space="preserve"> </w:t>
      </w:r>
      <w:r w:rsidR="00843F95">
        <w:t>information may</w:t>
      </w:r>
      <w:r w:rsidRPr="00D908A5">
        <w:t xml:space="preserve"> delay the nominee’s confirmation. Nominations are authorised in the first instance by the PVC Dean or Associate Dean of the relevant Faculty before being submitted to the </w:t>
      </w:r>
      <w:r w:rsidR="00337D25" w:rsidRPr="00036D13">
        <w:rPr>
          <w:rFonts w:asciiTheme="minorHAnsi" w:hAnsiTheme="minorHAnsi" w:cstheme="minorHAnsi"/>
        </w:rPr>
        <w:t>External Examiners Administrator</w:t>
      </w:r>
      <w:r w:rsidR="00337D25">
        <w:t xml:space="preserve"> (</w:t>
      </w:r>
      <w:r w:rsidR="00843F95">
        <w:t>GQASC</w:t>
      </w:r>
      <w:r w:rsidR="00337D25">
        <w:t>)</w:t>
      </w:r>
      <w:r w:rsidRPr="00D908A5">
        <w:t>.</w:t>
      </w:r>
    </w:p>
    <w:p w14:paraId="78866A38" w14:textId="57A5E9EB" w:rsidR="0080423C" w:rsidRDefault="0080423C" w:rsidP="00843F95">
      <w:pPr>
        <w:contextualSpacing/>
        <w:jc w:val="both"/>
      </w:pPr>
    </w:p>
    <w:p w14:paraId="130BB4B7" w14:textId="09A82674" w:rsidR="0080423C" w:rsidRDefault="0080423C" w:rsidP="00843F95">
      <w:pPr>
        <w:contextualSpacing/>
        <w:jc w:val="both"/>
      </w:pPr>
      <w:r w:rsidRPr="0080423C">
        <w:t xml:space="preserve">Where a </w:t>
      </w:r>
      <w:r w:rsidR="00B251A5" w:rsidRPr="0080423C">
        <w:t>department</w:t>
      </w:r>
      <w:r w:rsidRPr="0080423C">
        <w:t xml:space="preserve"> believes there is a need for a chief external examiner to provide additional oversight</w:t>
      </w:r>
      <w:r>
        <w:t xml:space="preserve"> across a number of </w:t>
      </w:r>
      <w:r w:rsidR="007228E8">
        <w:t>awards</w:t>
      </w:r>
      <w:r w:rsidRPr="0080423C">
        <w:t>, a short business case should be submitted to the EESC. If approved, the Department should</w:t>
      </w:r>
      <w:r w:rsidR="007228E8">
        <w:t xml:space="preserve"> complete a</w:t>
      </w:r>
      <w:r w:rsidRPr="0080423C">
        <w:t xml:space="preserve"> </w:t>
      </w:r>
      <w:r w:rsidR="007228E8" w:rsidRPr="0080423C">
        <w:rPr>
          <w:b/>
        </w:rPr>
        <w:t>Changes to Academic Provision Coverage Form</w:t>
      </w:r>
      <w:r w:rsidR="007228E8" w:rsidRPr="0080423C">
        <w:rPr>
          <w:vertAlign w:val="superscript"/>
        </w:rPr>
        <w:footnoteReference w:id="21"/>
      </w:r>
      <w:r w:rsidR="00445E02">
        <w:rPr>
          <w:bCs/>
        </w:rPr>
        <w:t xml:space="preserve"> for faculty consideration and approval</w:t>
      </w:r>
      <w:r w:rsidR="0002535A">
        <w:rPr>
          <w:bCs/>
        </w:rPr>
        <w:t>.</w:t>
      </w:r>
      <w:r w:rsidR="0002535A" w:rsidRPr="0002535A">
        <w:rPr>
          <w:bCs/>
        </w:rPr>
        <w:t xml:space="preserve"> </w:t>
      </w:r>
      <w:r w:rsidR="0002535A">
        <w:rPr>
          <w:bCs/>
        </w:rPr>
        <w:t xml:space="preserve">Faculties </w:t>
      </w:r>
      <w:r w:rsidR="00EE7CD4">
        <w:t>submit</w:t>
      </w:r>
      <w:r w:rsidRPr="0080423C">
        <w:t xml:space="preserve"> approved</w:t>
      </w:r>
      <w:r w:rsidR="001339F0">
        <w:t xml:space="preserve"> </w:t>
      </w:r>
      <w:r w:rsidR="00EE7CD4">
        <w:t>C</w:t>
      </w:r>
      <w:r w:rsidR="001339F0">
        <w:t xml:space="preserve">overage </w:t>
      </w:r>
      <w:r w:rsidR="00EE7CD4">
        <w:t>F</w:t>
      </w:r>
      <w:r w:rsidR="001339F0">
        <w:t>orm</w:t>
      </w:r>
      <w:r w:rsidR="00EE7CD4">
        <w:t>s to EESC for information only</w:t>
      </w:r>
      <w:r w:rsidR="001339F0">
        <w:t>.</w:t>
      </w:r>
      <w:r w:rsidRPr="0080423C">
        <w:t xml:space="preserve"> </w:t>
      </w:r>
    </w:p>
    <w:p w14:paraId="74DEC4F2" w14:textId="77777777" w:rsidR="00EE7CD4" w:rsidRPr="00D908A5" w:rsidRDefault="00EE7CD4" w:rsidP="00EE7CD4">
      <w:pPr>
        <w:pStyle w:val="Heading2"/>
      </w:pPr>
      <w:bookmarkStart w:id="16" w:name="_Toc34401592"/>
      <w:bookmarkStart w:id="17" w:name="_Toc89161771"/>
      <w:r w:rsidRPr="00D908A5">
        <w:t>Institutional Approval</w:t>
      </w:r>
      <w:bookmarkEnd w:id="16"/>
      <w:bookmarkEnd w:id="17"/>
    </w:p>
    <w:p w14:paraId="213660D1" w14:textId="77777777" w:rsidR="00EE7CD4" w:rsidRDefault="00EE7CD4" w:rsidP="00EE7CD4">
      <w:r w:rsidRPr="00D908A5">
        <w:t xml:space="preserve">All nominees must have received both </w:t>
      </w:r>
      <w:r w:rsidRPr="006A2514">
        <w:rPr>
          <w:b/>
        </w:rPr>
        <w:t xml:space="preserve">Committee Approval </w:t>
      </w:r>
      <w:r w:rsidRPr="00D908A5">
        <w:t xml:space="preserve">and </w:t>
      </w:r>
      <w:r w:rsidRPr="006A2514">
        <w:rPr>
          <w:b/>
        </w:rPr>
        <w:t>Personnel Approval</w:t>
      </w:r>
      <w:r w:rsidRPr="00D908A5">
        <w:t xml:space="preserve"> prior to undertaking any work for the University (see </w:t>
      </w:r>
      <w:r>
        <w:rPr>
          <w:iCs/>
        </w:rPr>
        <w:t>figure 2</w:t>
      </w:r>
      <w:r w:rsidRPr="00D908A5">
        <w:t xml:space="preserve">). </w:t>
      </w:r>
    </w:p>
    <w:p w14:paraId="3E2CF0CB" w14:textId="77777777" w:rsidR="00EE7CD4" w:rsidRDefault="00EE7CD4" w:rsidP="00EE7CD4">
      <w:pPr>
        <w:pStyle w:val="ListParagraph"/>
        <w:numPr>
          <w:ilvl w:val="0"/>
          <w:numId w:val="41"/>
        </w:numPr>
      </w:pPr>
      <w:r w:rsidRPr="00843F95">
        <w:rPr>
          <w:b/>
          <w:bCs/>
        </w:rPr>
        <w:t>During Committee Approval</w:t>
      </w:r>
      <w:r w:rsidRPr="00D908A5">
        <w:t>, EESC considers</w:t>
      </w:r>
      <w:r>
        <w:rPr>
          <w:rStyle w:val="FootnoteReference"/>
        </w:rPr>
        <w:footnoteReference w:id="22"/>
      </w:r>
      <w:r w:rsidRPr="00D908A5">
        <w:t xml:space="preserve"> nominations</w:t>
      </w:r>
      <w:r>
        <w:t xml:space="preserve"> </w:t>
      </w:r>
      <w:r w:rsidRPr="00D908A5">
        <w:t xml:space="preserve">and </w:t>
      </w:r>
      <w:r>
        <w:t xml:space="preserve">confirms </w:t>
      </w:r>
      <w:r w:rsidRPr="00D908A5">
        <w:t>suitability</w:t>
      </w:r>
      <w:r>
        <w:t>.</w:t>
      </w:r>
      <w:r w:rsidRPr="00D908A5">
        <w:t xml:space="preserve"> </w:t>
      </w:r>
      <w:r>
        <w:t>T</w:t>
      </w:r>
      <w:r w:rsidRPr="00D908A5">
        <w:t xml:space="preserve">he Academic Quality Enhancement Committee </w:t>
      </w:r>
      <w:r>
        <w:t>is informed of all confirmations via the EESC Minutes</w:t>
      </w:r>
      <w:r w:rsidRPr="00D908A5">
        <w:t xml:space="preserve">. </w:t>
      </w:r>
    </w:p>
    <w:p w14:paraId="5D1E5E6E" w14:textId="77777777" w:rsidR="00EE7CD4" w:rsidRDefault="00EE7CD4" w:rsidP="00EE7CD4">
      <w:pPr>
        <w:pStyle w:val="ListParagraph"/>
        <w:numPr>
          <w:ilvl w:val="0"/>
          <w:numId w:val="41"/>
        </w:numPr>
      </w:pPr>
      <w:r w:rsidRPr="00843F95">
        <w:rPr>
          <w:b/>
          <w:bCs/>
        </w:rPr>
        <w:t>Personnel Approval</w:t>
      </w:r>
      <w:r w:rsidRPr="00D908A5">
        <w:t xml:space="preserve"> considers all HR-related requirements including pre-engagement checks. </w:t>
      </w:r>
    </w:p>
    <w:p w14:paraId="1D0F3C6F" w14:textId="5448CFE0" w:rsidR="000505A4" w:rsidRPr="004B5085" w:rsidRDefault="004B5085" w:rsidP="000505A4">
      <w:pPr>
        <w:spacing w:after="0"/>
        <w:rPr>
          <w:szCs w:val="24"/>
        </w:rPr>
      </w:pPr>
      <w:r w:rsidRPr="004B5085">
        <w:rPr>
          <w:szCs w:val="24"/>
        </w:rPr>
        <w:lastRenderedPageBreak/>
        <w:t>Committee Approval and Personnel Approval run concurrently. On completion, the External Examiners Administrator notifies the outcome to the nominee and proposing Faculty</w:t>
      </w:r>
      <w:r>
        <w:rPr>
          <w:szCs w:val="24"/>
        </w:rPr>
        <w:t xml:space="preserve"> (see figure 2)</w:t>
      </w:r>
      <w:r w:rsidRPr="004B5085">
        <w:rPr>
          <w:szCs w:val="24"/>
        </w:rPr>
        <w:t>.</w:t>
      </w:r>
    </w:p>
    <w:p w14:paraId="0265F1FE" w14:textId="77777777" w:rsidR="004B5085" w:rsidRDefault="004B5085" w:rsidP="000505A4">
      <w:pPr>
        <w:rPr>
          <w:b/>
          <w:bCs/>
          <w:sz w:val="20"/>
          <w:szCs w:val="20"/>
        </w:rPr>
      </w:pPr>
    </w:p>
    <w:p w14:paraId="59CF57E9" w14:textId="77777777" w:rsidR="004B5085" w:rsidRPr="00D908A5" w:rsidRDefault="004B5085" w:rsidP="004B5085">
      <w:pPr>
        <w:pStyle w:val="Heading2"/>
      </w:pPr>
      <w:bookmarkStart w:id="18" w:name="_Toc89161772"/>
      <w:r w:rsidRPr="00D908A5">
        <w:t>Period of engagement</w:t>
      </w:r>
      <w:bookmarkEnd w:id="18"/>
    </w:p>
    <w:p w14:paraId="026C6F4C" w14:textId="77777777" w:rsidR="004B5085" w:rsidRPr="00D908A5" w:rsidRDefault="004B5085" w:rsidP="004B5085">
      <w:pPr>
        <w:contextualSpacing/>
        <w:jc w:val="both"/>
      </w:pPr>
      <w:r w:rsidRPr="00D908A5">
        <w:t>External examiners are typically placed on the External Examiners Register for a period of four academic sessions (years). In certain circumstances</w:t>
      </w:r>
      <w:r>
        <w:t xml:space="preserve"> </w:t>
      </w:r>
      <w:r w:rsidRPr="00D908A5">
        <w:t>an examiner may be retained on the Register for a longer period</w:t>
      </w:r>
      <w:r>
        <w:t>. F</w:t>
      </w:r>
      <w:r w:rsidRPr="00D908A5">
        <w:t>or example</w:t>
      </w:r>
      <w:r>
        <w:t xml:space="preserve">, </w:t>
      </w:r>
      <w:r w:rsidRPr="00D908A5">
        <w:t>where a closed programme is being ‘taught out’ and there is no more than one academic session remaining</w:t>
      </w:r>
      <w:r>
        <w:t>; or where efforts to secure a replacement have been exhausted</w:t>
      </w:r>
      <w:r w:rsidRPr="00D908A5">
        <w:t xml:space="preserve">. Departments complete a </w:t>
      </w:r>
      <w:r w:rsidRPr="00337D25">
        <w:rPr>
          <w:b/>
        </w:rPr>
        <w:t>Permission to Remain on the External Examiners Register Form</w:t>
      </w:r>
      <w:r>
        <w:rPr>
          <w:rStyle w:val="FootnoteReference"/>
        </w:rPr>
        <w:footnoteReference w:id="23"/>
      </w:r>
      <w:r w:rsidRPr="00D908A5">
        <w:t xml:space="preserve"> which is considered and approved by EESC.</w:t>
      </w:r>
    </w:p>
    <w:p w14:paraId="5B82537D" w14:textId="494EF7CF" w:rsidR="00EE7CD4" w:rsidRPr="00D908A5" w:rsidRDefault="00EE7CD4" w:rsidP="00843F95">
      <w:pPr>
        <w:contextualSpacing/>
        <w:jc w:val="both"/>
      </w:pPr>
    </w:p>
    <w:p w14:paraId="157ACDE1" w14:textId="1A1C3404" w:rsidR="00B220EF" w:rsidRPr="004B5085" w:rsidRDefault="004B5085" w:rsidP="004B5085">
      <w:pPr>
        <w:pStyle w:val="BodyText"/>
        <w:spacing w:before="7"/>
        <w:rPr>
          <w:bCs/>
          <w:iCs/>
        </w:rPr>
      </w:pPr>
      <w:bookmarkStart w:id="19" w:name="Institutional_Approval"/>
      <w:bookmarkStart w:id="20" w:name="Period_of_engagement"/>
      <w:bookmarkStart w:id="21" w:name="Fig.1__‘Edge_Hill_University_External_Ex"/>
      <w:bookmarkEnd w:id="19"/>
      <w:bookmarkEnd w:id="20"/>
      <w:bookmarkEnd w:id="21"/>
      <w:r w:rsidRPr="00337D25">
        <w:rPr>
          <w:b/>
          <w:bCs/>
        </w:rPr>
        <w:t>If an examiner’s period of engagement is interrupted</w:t>
      </w:r>
      <w:r w:rsidRPr="00D908A5">
        <w:t xml:space="preserve">, </w:t>
      </w:r>
      <w:r>
        <w:t>e.g</w:t>
      </w:r>
      <w:r w:rsidRPr="00D908A5">
        <w:t>.</w:t>
      </w:r>
      <w:r>
        <w:t>,</w:t>
      </w:r>
      <w:r w:rsidRPr="00D908A5">
        <w:t xml:space="preserve"> through long-term sickness or maternity leave, they </w:t>
      </w:r>
      <w:r>
        <w:t>are</w:t>
      </w:r>
      <w:r w:rsidRPr="00D908A5">
        <w:t xml:space="preserve"> not be prohibited from resuming and completing the typical four academic sessions. </w:t>
      </w:r>
      <w:r w:rsidRPr="00337D25">
        <w:rPr>
          <w:b/>
          <w:bCs/>
        </w:rPr>
        <w:t>Where an examiner ceases to be employed</w:t>
      </w:r>
      <w:r w:rsidRPr="00337D25">
        <w:rPr>
          <w:rStyle w:val="FootnoteReference"/>
          <w:b/>
          <w:bCs/>
        </w:rPr>
        <w:footnoteReference w:id="24"/>
      </w:r>
      <w:r w:rsidRPr="00337D25">
        <w:rPr>
          <w:b/>
          <w:bCs/>
        </w:rPr>
        <w:t xml:space="preserve"> by a recognised HEI</w:t>
      </w:r>
      <w:r>
        <w:t xml:space="preserve"> </w:t>
      </w:r>
      <w:r w:rsidRPr="00D908A5">
        <w:t xml:space="preserve">during their </w:t>
      </w:r>
      <w:r>
        <w:t xml:space="preserve">period of </w:t>
      </w:r>
      <w:r w:rsidRPr="00D908A5">
        <w:t>engagement, they should notify the University and may remain on the Register for a maximum of two further years if they have not resumed relevant</w:t>
      </w:r>
      <w:r>
        <w:rPr>
          <w:rStyle w:val="FootnoteReference"/>
        </w:rPr>
        <w:footnoteReference w:id="25"/>
      </w:r>
      <w:r w:rsidRPr="00D908A5">
        <w:t xml:space="preserve"> HE employment in the meantime.</w:t>
      </w:r>
    </w:p>
    <w:p w14:paraId="2338DD06" w14:textId="582C0EE1" w:rsidR="00B220EF" w:rsidRPr="004B5085" w:rsidRDefault="00B220EF" w:rsidP="00B220EF">
      <w:pPr>
        <w:pStyle w:val="BodyText"/>
        <w:spacing w:before="4"/>
        <w:rPr>
          <w:bCs/>
          <w:iCs/>
        </w:rPr>
      </w:pPr>
    </w:p>
    <w:p w14:paraId="7C84D2D1" w14:textId="303AB639" w:rsidR="0052758B" w:rsidRPr="004B5085" w:rsidRDefault="000505A4" w:rsidP="004B5085">
      <w:pPr>
        <w:contextualSpacing/>
        <w:rPr>
          <w:b/>
          <w:bCs/>
        </w:rPr>
      </w:pPr>
      <w:bookmarkStart w:id="22" w:name="_Toc34401593"/>
      <w:bookmarkStart w:id="23" w:name="_Toc34401594"/>
      <w:r w:rsidRPr="004B5085">
        <w:rPr>
          <w:b/>
          <w:bCs/>
          <w:i/>
          <w:noProof/>
          <w:sz w:val="15"/>
        </w:rPr>
        <w:lastRenderedPageBreak/>
        <w:drawing>
          <wp:anchor distT="0" distB="0" distL="114300" distR="114300" simplePos="0" relativeHeight="251664384" behindDoc="1" locked="0" layoutInCell="1" allowOverlap="1" wp14:anchorId="5AFE942F" wp14:editId="733A7E00">
            <wp:simplePos x="0" y="0"/>
            <wp:positionH relativeFrom="margin">
              <wp:posOffset>142875</wp:posOffset>
            </wp:positionH>
            <wp:positionV relativeFrom="paragraph">
              <wp:posOffset>485775</wp:posOffset>
            </wp:positionV>
            <wp:extent cx="5943600" cy="7634605"/>
            <wp:effectExtent l="0" t="0" r="0" b="4445"/>
            <wp:wrapTight wrapText="bothSides">
              <wp:wrapPolygon edited="0">
                <wp:start x="0" y="0"/>
                <wp:lineTo x="0" y="21559"/>
                <wp:lineTo x="21531" y="21559"/>
                <wp:lineTo x="21531" y="0"/>
                <wp:lineTo x="0" y="0"/>
              </wp:wrapPolygon>
            </wp:wrapTight>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7634605"/>
                    </a:xfrm>
                    <a:prstGeom prst="rect">
                      <a:avLst/>
                    </a:prstGeom>
                  </pic:spPr>
                </pic:pic>
              </a:graphicData>
            </a:graphic>
            <wp14:sizeRelH relativeFrom="margin">
              <wp14:pctWidth>0</wp14:pctWidth>
            </wp14:sizeRelH>
            <wp14:sizeRelV relativeFrom="margin">
              <wp14:pctHeight>0</wp14:pctHeight>
            </wp14:sizeRelV>
          </wp:anchor>
        </w:drawing>
      </w:r>
      <w:r w:rsidR="004B5085" w:rsidRPr="004B5085">
        <w:rPr>
          <w:b/>
          <w:bCs/>
        </w:rPr>
        <w:t>Figure2: The External Examiner Approval Process</w:t>
      </w:r>
    </w:p>
    <w:bookmarkEnd w:id="22"/>
    <w:p w14:paraId="704F6ED8" w14:textId="77777777" w:rsidR="004D55AF" w:rsidRDefault="004D55AF" w:rsidP="004D55AF">
      <w:pPr>
        <w:contextualSpacing/>
        <w:jc w:val="both"/>
      </w:pPr>
    </w:p>
    <w:p w14:paraId="7A5959D7" w14:textId="0D361D26" w:rsidR="004D55AF" w:rsidRDefault="004D55AF" w:rsidP="004D55AF">
      <w:pPr>
        <w:contextualSpacing/>
        <w:jc w:val="both"/>
      </w:pPr>
      <w:r w:rsidRPr="00337D25">
        <w:rPr>
          <w:b/>
          <w:bCs/>
        </w:rPr>
        <w:lastRenderedPageBreak/>
        <w:t>Where a serving external examiner is offered employment by Edge Hill University</w:t>
      </w:r>
      <w:r w:rsidRPr="00D908A5">
        <w:t xml:space="preserve">, the head of the appointing department notifies the Faculty and External Examiners Administrator at the earliest opportunity and takes immediate steps to nominate a suitable replacement </w:t>
      </w:r>
      <w:r>
        <w:t xml:space="preserve">examiner </w:t>
      </w:r>
      <w:r w:rsidRPr="00D908A5">
        <w:t xml:space="preserve">or arrange cover by another examiner </w:t>
      </w:r>
      <w:bookmarkStart w:id="24" w:name="_Hlk86845330"/>
      <w:r w:rsidRPr="00D908A5">
        <w:t xml:space="preserve">in the same or cognate subject area </w:t>
      </w:r>
      <w:bookmarkEnd w:id="24"/>
      <w:r w:rsidRPr="00D908A5">
        <w:t>(see ‘Changes to assigned modules or programmes’, below).</w:t>
      </w:r>
    </w:p>
    <w:p w14:paraId="5783F011" w14:textId="02F489DB" w:rsidR="00B220EF" w:rsidRPr="00B220EF" w:rsidRDefault="00B220EF" w:rsidP="00B220EF">
      <w:pPr>
        <w:pStyle w:val="Heading2"/>
      </w:pPr>
      <w:bookmarkStart w:id="25" w:name="_Toc89161773"/>
      <w:r w:rsidRPr="00B220EF">
        <w:t>Induction</w:t>
      </w:r>
      <w:bookmarkEnd w:id="23"/>
      <w:bookmarkEnd w:id="25"/>
    </w:p>
    <w:p w14:paraId="7B9DA18D" w14:textId="2F39417E" w:rsidR="00B220EF" w:rsidRPr="00B220EF" w:rsidRDefault="00B220EF" w:rsidP="004D55AF">
      <w:pPr>
        <w:jc w:val="both"/>
      </w:pPr>
      <w:r w:rsidRPr="00B220EF">
        <w:t>The University ensure</w:t>
      </w:r>
      <w:r w:rsidR="004D55AF">
        <w:t>s</w:t>
      </w:r>
      <w:r w:rsidRPr="00B220EF">
        <w:t xml:space="preserve"> that all examiners are informed about its organisational procedures and practices with specific relation to assessment and the regulations that govern it. New examiners receive written</w:t>
      </w:r>
      <w:r>
        <w:t xml:space="preserve"> confirmation of the programme</w:t>
      </w:r>
      <w:r w:rsidR="00D1717D">
        <w:t>s</w:t>
      </w:r>
      <w:r>
        <w:t>/</w:t>
      </w:r>
      <w:r w:rsidR="00D1717D">
        <w:t xml:space="preserve"> </w:t>
      </w:r>
      <w:r w:rsidRPr="00B220EF">
        <w:t>modules to which they have been assigned, in addition to:</w:t>
      </w:r>
    </w:p>
    <w:p w14:paraId="694B9535" w14:textId="77777777" w:rsidR="00B220EF" w:rsidRPr="00E00760" w:rsidRDefault="00B220EF" w:rsidP="004D55AF">
      <w:pPr>
        <w:pStyle w:val="ListParagraph"/>
        <w:numPr>
          <w:ilvl w:val="0"/>
          <w:numId w:val="16"/>
        </w:numPr>
        <w:jc w:val="both"/>
        <w:rPr>
          <w:iCs/>
        </w:rPr>
      </w:pPr>
      <w:r w:rsidRPr="00B220EF">
        <w:t xml:space="preserve">A copy of the </w:t>
      </w:r>
      <w:r w:rsidRPr="00D1717D">
        <w:rPr>
          <w:iCs/>
        </w:rPr>
        <w:t>University’s</w:t>
      </w:r>
      <w:r w:rsidRPr="00B220EF">
        <w:rPr>
          <w:i/>
        </w:rPr>
        <w:t xml:space="preserve"> </w:t>
      </w:r>
      <w:r w:rsidRPr="00E00760">
        <w:rPr>
          <w:iCs/>
        </w:rPr>
        <w:t>Academic Regulations</w:t>
      </w:r>
      <w:r w:rsidRPr="00E00760">
        <w:rPr>
          <w:rStyle w:val="FootnoteReference"/>
          <w:iCs/>
        </w:rPr>
        <w:footnoteReference w:id="26"/>
      </w:r>
      <w:r w:rsidRPr="00E00760">
        <w:rPr>
          <w:iCs/>
        </w:rPr>
        <w:t>.</w:t>
      </w:r>
    </w:p>
    <w:p w14:paraId="13A7FD2E" w14:textId="77777777" w:rsidR="00B220EF" w:rsidRPr="00E00760" w:rsidRDefault="00B220EF" w:rsidP="004D55AF">
      <w:pPr>
        <w:pStyle w:val="ListParagraph"/>
        <w:numPr>
          <w:ilvl w:val="0"/>
          <w:numId w:val="16"/>
        </w:numPr>
        <w:jc w:val="both"/>
        <w:rPr>
          <w:iCs/>
        </w:rPr>
      </w:pPr>
      <w:r w:rsidRPr="00E00760">
        <w:rPr>
          <w:iCs/>
        </w:rPr>
        <w:t>A hyperlink to the External Examiners Handbook</w:t>
      </w:r>
      <w:r w:rsidRPr="00E00760">
        <w:rPr>
          <w:rStyle w:val="FootnoteReference"/>
          <w:iCs/>
        </w:rPr>
        <w:footnoteReference w:id="27"/>
      </w:r>
      <w:r w:rsidRPr="00E00760">
        <w:rPr>
          <w:iCs/>
        </w:rPr>
        <w:t xml:space="preserve"> incorporating the guidance contained in this chapter with accompanying information on fees, operation of assessment boards and key institutional contacts.</w:t>
      </w:r>
    </w:p>
    <w:p w14:paraId="2EA888E8" w14:textId="2BB3A7E6" w:rsidR="00B220EF" w:rsidRPr="00B220EF" w:rsidRDefault="00B220EF" w:rsidP="004D55AF">
      <w:pPr>
        <w:pStyle w:val="ListParagraph"/>
        <w:numPr>
          <w:ilvl w:val="0"/>
          <w:numId w:val="16"/>
        </w:numPr>
        <w:jc w:val="both"/>
      </w:pPr>
      <w:r w:rsidRPr="00E00760">
        <w:rPr>
          <w:iCs/>
        </w:rPr>
        <w:t>A copy of the Privacy Notice for External Examiners</w:t>
      </w:r>
      <w:r w:rsidR="00E00760">
        <w:rPr>
          <w:rStyle w:val="FootnoteReference"/>
          <w:iCs/>
        </w:rPr>
        <w:footnoteReference w:id="28"/>
      </w:r>
      <w:r w:rsidRPr="00E00760">
        <w:rPr>
          <w:iCs/>
        </w:rPr>
        <w:t xml:space="preserve"> which advises how their data is used and handled in line with General Data Protection</w:t>
      </w:r>
      <w:r w:rsidRPr="00B220EF">
        <w:t xml:space="preserve"> Regulation (GDPR).</w:t>
      </w:r>
    </w:p>
    <w:p w14:paraId="1298F2CB" w14:textId="68188505" w:rsidR="00B220EF" w:rsidRPr="00B220EF" w:rsidRDefault="00B220EF" w:rsidP="004D55AF">
      <w:pPr>
        <w:jc w:val="both"/>
      </w:pPr>
      <w:r w:rsidRPr="00B220EF">
        <w:t xml:space="preserve">New external examiners are </w:t>
      </w:r>
      <w:r w:rsidR="00D1717D">
        <w:t>advised</w:t>
      </w:r>
      <w:r w:rsidRPr="00B220EF">
        <w:t xml:space="preserve"> to inform their employer of their engagement with </w:t>
      </w:r>
      <w:r w:rsidR="004D55AF">
        <w:t>the</w:t>
      </w:r>
      <w:r w:rsidRPr="00B220EF">
        <w:t xml:space="preserve"> University and are encouraged to visit </w:t>
      </w:r>
      <w:r w:rsidR="009140E8">
        <w:t xml:space="preserve">the campus </w:t>
      </w:r>
      <w:r w:rsidRPr="00B220EF">
        <w:t xml:space="preserve">in advance of taking up their duties. An annual Induction </w:t>
      </w:r>
      <w:r w:rsidR="00CE0106">
        <w:t xml:space="preserve">event </w:t>
      </w:r>
      <w:r w:rsidRPr="00B220EF">
        <w:t xml:space="preserve">is held in January and provides an opportunity to meet with host departments and </w:t>
      </w:r>
      <w:r w:rsidR="00116AB4">
        <w:t xml:space="preserve">to </w:t>
      </w:r>
      <w:r w:rsidRPr="00B220EF">
        <w:t>network with other examiners. Induction sessions cover the role of the external examiner in UK higher education, use of national reference points (FHEQ and QAA subject benchmarks) and practical workshop-style activities.</w:t>
      </w:r>
    </w:p>
    <w:p w14:paraId="10A7064E" w14:textId="5A35E1EF" w:rsidR="00B220EF" w:rsidRPr="00B220EF" w:rsidRDefault="00B220EF" w:rsidP="004D55AF">
      <w:pPr>
        <w:jc w:val="both"/>
      </w:pPr>
      <w:r w:rsidRPr="00B220EF">
        <w:t>External examiners familiarise themselves with and observe the University’s policies on data protection</w:t>
      </w:r>
      <w:r>
        <w:rPr>
          <w:rStyle w:val="FootnoteReference"/>
        </w:rPr>
        <w:footnoteReference w:id="29"/>
      </w:r>
      <w:r w:rsidRPr="00B220EF">
        <w:t xml:space="preserve"> and information security</w:t>
      </w:r>
      <w:r>
        <w:rPr>
          <w:rStyle w:val="FootnoteReference"/>
        </w:rPr>
        <w:footnoteReference w:id="30"/>
      </w:r>
      <w:r w:rsidRPr="00B220EF">
        <w:t>. Any information passed between the University and its external examiners, e.g.</w:t>
      </w:r>
      <w:r w:rsidR="004D55AF">
        <w:t>,</w:t>
      </w:r>
      <w:r w:rsidRPr="00B220EF">
        <w:t xml:space="preserve"> students’ names and grades</w:t>
      </w:r>
      <w:r w:rsidR="004D55AF">
        <w:t>,</w:t>
      </w:r>
      <w:r w:rsidR="00794A90">
        <w:t xml:space="preserve"> </w:t>
      </w:r>
      <w:r w:rsidRPr="00B220EF">
        <w:t xml:space="preserve">is </w:t>
      </w:r>
      <w:r w:rsidR="00794A90">
        <w:t xml:space="preserve">kept </w:t>
      </w:r>
      <w:r w:rsidRPr="00B220EF">
        <w:t>strictly confidential.</w:t>
      </w:r>
    </w:p>
    <w:p w14:paraId="72A9866B" w14:textId="18068BC5" w:rsidR="00B220EF" w:rsidRPr="00B220EF" w:rsidRDefault="00B220EF" w:rsidP="00B220EF">
      <w:pPr>
        <w:pStyle w:val="Heading2"/>
      </w:pPr>
      <w:bookmarkStart w:id="26" w:name="_Toc34401595"/>
      <w:bookmarkStart w:id="27" w:name="_Toc89161774"/>
      <w:bookmarkStart w:id="28" w:name="_Hlk52118213"/>
      <w:r w:rsidRPr="00B220EF">
        <w:t xml:space="preserve">Changes </w:t>
      </w:r>
      <w:r w:rsidR="00534013">
        <w:t>of</w:t>
      </w:r>
      <w:r w:rsidRPr="00B220EF">
        <w:t xml:space="preserve"> assigned </w:t>
      </w:r>
      <w:r w:rsidR="0035021D">
        <w:t>modules</w:t>
      </w:r>
      <w:r w:rsidRPr="00B220EF">
        <w:t xml:space="preserve"> or </w:t>
      </w:r>
      <w:r w:rsidR="0035021D">
        <w:t>programme</w:t>
      </w:r>
      <w:r w:rsidRPr="00B220EF">
        <w:t>s</w:t>
      </w:r>
      <w:bookmarkEnd w:id="26"/>
      <w:bookmarkEnd w:id="27"/>
    </w:p>
    <w:p w14:paraId="6C96BDE4" w14:textId="43D96325" w:rsidR="00B220EF" w:rsidRPr="00B220EF" w:rsidRDefault="00B220EF" w:rsidP="004D55AF">
      <w:pPr>
        <w:jc w:val="both"/>
      </w:pPr>
      <w:r w:rsidRPr="00B220EF">
        <w:t xml:space="preserve">Where an external examiner has been assigned to modules that combine to form a programme or ‘portfolio’ of cognate subject modules, the </w:t>
      </w:r>
      <w:r w:rsidRPr="00C91D6C">
        <w:rPr>
          <w:b/>
          <w:bCs/>
        </w:rPr>
        <w:t>replacement or addition of modules</w:t>
      </w:r>
      <w:r w:rsidRPr="00B220EF">
        <w:t xml:space="preserve"> </w:t>
      </w:r>
      <w:r w:rsidR="00073E0D">
        <w:t>within th</w:t>
      </w:r>
      <w:r w:rsidR="00792C8B">
        <w:t>e</w:t>
      </w:r>
      <w:r w:rsidR="00073E0D">
        <w:t xml:space="preserve"> programme/ portfolio </w:t>
      </w:r>
      <w:r w:rsidRPr="00B220EF">
        <w:t xml:space="preserve">does not require </w:t>
      </w:r>
      <w:r w:rsidR="00794A90">
        <w:t xml:space="preserve">further Institution-level </w:t>
      </w:r>
      <w:r w:rsidRPr="00B220EF">
        <w:t xml:space="preserve">approval. </w:t>
      </w:r>
      <w:r w:rsidR="0091351F" w:rsidRPr="00B220EF">
        <w:t>Facult</w:t>
      </w:r>
      <w:r w:rsidR="00A73270">
        <w:t>ies</w:t>
      </w:r>
      <w:r w:rsidR="0091351F" w:rsidRPr="00B220EF">
        <w:t xml:space="preserve"> describe </w:t>
      </w:r>
      <w:r w:rsidR="00A73270">
        <w:t>their</w:t>
      </w:r>
      <w:r w:rsidR="0091351F" w:rsidRPr="00B220EF">
        <w:t xml:space="preserve"> </w:t>
      </w:r>
      <w:r w:rsidR="0091351F">
        <w:t xml:space="preserve">own </w:t>
      </w:r>
      <w:r w:rsidR="0091351F" w:rsidRPr="00B220EF">
        <w:t>process for approving such changes</w:t>
      </w:r>
      <w:r w:rsidR="00A73270">
        <w:t xml:space="preserve"> in their </w:t>
      </w:r>
      <w:r w:rsidRPr="00B220EF">
        <w:t>Faculty Academic Quality</w:t>
      </w:r>
      <w:r w:rsidR="00CF1A13">
        <w:t xml:space="preserve"> </w:t>
      </w:r>
      <w:r w:rsidRPr="00B220EF">
        <w:t>Statement</w:t>
      </w:r>
      <w:r w:rsidR="00992CB5">
        <w:t>s</w:t>
      </w:r>
      <w:r w:rsidR="009F6F38">
        <w:rPr>
          <w:rStyle w:val="FootnoteReference"/>
        </w:rPr>
        <w:footnoteReference w:id="31"/>
      </w:r>
      <w:r w:rsidRPr="00B220EF">
        <w:t>, ensuring that:</w:t>
      </w:r>
    </w:p>
    <w:p w14:paraId="068DB5AA" w14:textId="0DA4E090" w:rsidR="00B220EF" w:rsidRPr="00B220EF" w:rsidRDefault="00B220EF" w:rsidP="004D55AF">
      <w:pPr>
        <w:pStyle w:val="ListParagraph"/>
        <w:numPr>
          <w:ilvl w:val="0"/>
          <w:numId w:val="17"/>
        </w:numPr>
        <w:jc w:val="both"/>
      </w:pPr>
      <w:r w:rsidRPr="00B220EF">
        <w:lastRenderedPageBreak/>
        <w:t xml:space="preserve">Any </w:t>
      </w:r>
      <w:r w:rsidR="001417AD">
        <w:t>substituted</w:t>
      </w:r>
      <w:r w:rsidRPr="00B220EF">
        <w:t xml:space="preserve"> or additional modules are within the external examiner’s subject expertise (where they are not, the Faculty will nominate an additional examiner for approval by EESC in the normal manner);</w:t>
      </w:r>
    </w:p>
    <w:p w14:paraId="54D82E6A" w14:textId="7D63546B" w:rsidR="00073E0D" w:rsidRDefault="00B220EF" w:rsidP="004D55AF">
      <w:pPr>
        <w:pStyle w:val="ListParagraph"/>
        <w:numPr>
          <w:ilvl w:val="0"/>
          <w:numId w:val="17"/>
        </w:numPr>
        <w:jc w:val="both"/>
      </w:pPr>
      <w:r w:rsidRPr="00B220EF">
        <w:t xml:space="preserve">The examiner’s workload remains sustainable such that the totality of provision assigned to them </w:t>
      </w:r>
      <w:r w:rsidR="001417AD">
        <w:t xml:space="preserve">will </w:t>
      </w:r>
      <w:r w:rsidRPr="00B220EF">
        <w:t>receive sufficient academic scrutiny and does not exceed normal Institutional expectations</w:t>
      </w:r>
      <w:r w:rsidR="009F6F38">
        <w:rPr>
          <w:rStyle w:val="FootnoteReference"/>
        </w:rPr>
        <w:footnoteReference w:id="32"/>
      </w:r>
      <w:r w:rsidRPr="00B220EF">
        <w:t>.</w:t>
      </w:r>
      <w:r w:rsidR="00073E0D">
        <w:t xml:space="preserve"> </w:t>
      </w:r>
      <w:r w:rsidR="00E46B39" w:rsidRPr="00E46B39">
        <w:t>M</w:t>
      </w:r>
      <w:r w:rsidR="00073E0D" w:rsidRPr="00B220EF">
        <w:t>oderation activity resulting from changes of assigned modules should not exceed an additional 3.75 hours per year and Faculties will consider this when evaluating the totality of an examiner’s workload.</w:t>
      </w:r>
    </w:p>
    <w:p w14:paraId="7C832DA9" w14:textId="7B4BE1F9" w:rsidR="00C91D6C" w:rsidRDefault="00C91D6C" w:rsidP="004D55AF">
      <w:pPr>
        <w:spacing w:before="240"/>
        <w:jc w:val="both"/>
      </w:pPr>
      <w:r w:rsidRPr="00B220EF">
        <w:t xml:space="preserve">Changes of assigned modules are </w:t>
      </w:r>
      <w:r>
        <w:t>confirmed with</w:t>
      </w:r>
      <w:r w:rsidRPr="00B220EF">
        <w:t xml:space="preserve"> the external examiner via the appropriate template email and copied to the External Examiners </w:t>
      </w:r>
      <w:r>
        <w:t>M</w:t>
      </w:r>
      <w:r w:rsidRPr="00B220EF">
        <w:t xml:space="preserve">ailbox </w:t>
      </w:r>
      <w:hyperlink r:id="rId15">
        <w:r w:rsidRPr="00B220EF">
          <w:rPr>
            <w:rStyle w:val="Hyperlink"/>
          </w:rPr>
          <w:t xml:space="preserve">externalexaminers@edgehill.ac.uk </w:t>
        </w:r>
      </w:hyperlink>
      <w:r w:rsidRPr="00B220EF">
        <w:t xml:space="preserve">to enable updating of the External Examiners </w:t>
      </w:r>
      <w:r>
        <w:t>Register</w:t>
      </w:r>
      <w:r w:rsidRPr="00B220EF">
        <w:t>.</w:t>
      </w:r>
    </w:p>
    <w:p w14:paraId="6EF6E2F4" w14:textId="01660011" w:rsidR="00B220EF" w:rsidRPr="00B220EF" w:rsidRDefault="00B220EF" w:rsidP="004D55AF">
      <w:pPr>
        <w:spacing w:before="360"/>
        <w:jc w:val="both"/>
      </w:pPr>
      <w:r w:rsidRPr="00B220EF">
        <w:t>Where</w:t>
      </w:r>
      <w:r w:rsidR="004D55AF">
        <w:t>,</w:t>
      </w:r>
      <w:r w:rsidRPr="00B220EF">
        <w:t xml:space="preserve"> </w:t>
      </w:r>
      <w:r w:rsidR="00073E0D">
        <w:t>by mutual agreement</w:t>
      </w:r>
      <w:r w:rsidR="004D55AF">
        <w:t>,</w:t>
      </w:r>
      <w:r w:rsidR="00073E0D">
        <w:t xml:space="preserve"> </w:t>
      </w:r>
      <w:r w:rsidRPr="00B220EF">
        <w:t xml:space="preserve">an external examiner is asked to assume responsibility for </w:t>
      </w:r>
      <w:r w:rsidR="00073E0D">
        <w:t xml:space="preserve">an </w:t>
      </w:r>
      <w:r w:rsidR="00073E0D" w:rsidRPr="00073E0D">
        <w:rPr>
          <w:b/>
          <w:bCs/>
        </w:rPr>
        <w:t xml:space="preserve">additional </w:t>
      </w:r>
      <w:r w:rsidRPr="00073E0D">
        <w:rPr>
          <w:b/>
          <w:bCs/>
        </w:rPr>
        <w:t>programme</w:t>
      </w:r>
      <w:r w:rsidRPr="00B220EF">
        <w:t xml:space="preserve"> </w:t>
      </w:r>
      <w:r w:rsidR="003770F3">
        <w:t xml:space="preserve">- </w:t>
      </w:r>
      <w:r w:rsidRPr="00B220EF">
        <w:t xml:space="preserve">typically following the re-validation or replacement of an existing programme, or to </w:t>
      </w:r>
      <w:r w:rsidR="00073E0D">
        <w:t>fill</w:t>
      </w:r>
      <w:r w:rsidRPr="00B220EF">
        <w:t xml:space="preserve"> </w:t>
      </w:r>
      <w:r w:rsidR="00DB1368">
        <w:t>a programme</w:t>
      </w:r>
      <w:r w:rsidR="00073E0D">
        <w:t xml:space="preserve"> vacancy</w:t>
      </w:r>
      <w:r w:rsidRPr="00B220EF">
        <w:t xml:space="preserve"> in the same subject area</w:t>
      </w:r>
      <w:r w:rsidR="003770F3">
        <w:t xml:space="preserve"> -</w:t>
      </w:r>
      <w:r w:rsidRPr="00B220EF">
        <w:t xml:space="preserve"> the Faculty ensures that:</w:t>
      </w:r>
    </w:p>
    <w:p w14:paraId="106D96EA" w14:textId="3775E54F" w:rsidR="00B220EF" w:rsidRPr="00B220EF" w:rsidRDefault="00B220EF" w:rsidP="004D55AF">
      <w:pPr>
        <w:pStyle w:val="ListParagraph"/>
        <w:numPr>
          <w:ilvl w:val="0"/>
          <w:numId w:val="18"/>
        </w:numPr>
        <w:jc w:val="both"/>
      </w:pPr>
      <w:r w:rsidRPr="00B220EF">
        <w:t>The programme is within the external examiner’s subject expertise (where it is not, the Faculty will nominate another examiner for approval by EESC in the normal manner)</w:t>
      </w:r>
      <w:r w:rsidR="005B404B">
        <w:t>; and,</w:t>
      </w:r>
    </w:p>
    <w:p w14:paraId="4D12016C" w14:textId="1F2DBDE2" w:rsidR="00B220EF" w:rsidRPr="00B220EF" w:rsidRDefault="005B404B" w:rsidP="00CF1A13">
      <w:pPr>
        <w:pStyle w:val="ListParagraph"/>
        <w:numPr>
          <w:ilvl w:val="0"/>
          <w:numId w:val="18"/>
        </w:numPr>
      </w:pPr>
      <w:bookmarkStart w:id="29" w:name="_Hlk86851123"/>
      <w:r>
        <w:t xml:space="preserve">The </w:t>
      </w:r>
      <w:r w:rsidR="004D55AF">
        <w:t xml:space="preserve">GQASC </w:t>
      </w:r>
      <w:r>
        <w:t xml:space="preserve">unit </w:t>
      </w:r>
      <w:r w:rsidR="00B220EF" w:rsidRPr="00B220EF">
        <w:t xml:space="preserve">are notified through receipt of a </w:t>
      </w:r>
      <w:r>
        <w:t xml:space="preserve">Faculty-approved </w:t>
      </w:r>
      <w:bookmarkStart w:id="30" w:name="_Hlk86851215"/>
      <w:r w:rsidR="00B220EF" w:rsidRPr="00CF1A13">
        <w:rPr>
          <w:b/>
        </w:rPr>
        <w:t>Changes to Academic Provision Coverage Form</w:t>
      </w:r>
      <w:r w:rsidR="00CF1A13">
        <w:rPr>
          <w:rStyle w:val="FootnoteReference"/>
        </w:rPr>
        <w:footnoteReference w:id="33"/>
      </w:r>
      <w:bookmarkEnd w:id="30"/>
      <w:r w:rsidR="00B220EF" w:rsidRPr="00B220EF">
        <w:t>.</w:t>
      </w:r>
      <w:r w:rsidRPr="005B404B">
        <w:rPr>
          <w:rFonts w:asciiTheme="minorHAnsi" w:hAnsiTheme="minorHAnsi" w:cstheme="minorHAnsi"/>
        </w:rPr>
        <w:t xml:space="preserve"> </w:t>
      </w:r>
      <w:r w:rsidRPr="005B404B">
        <w:t>Coverage Forms are received by EESC for noting only (in agenda Section C).</w:t>
      </w:r>
    </w:p>
    <w:bookmarkEnd w:id="29"/>
    <w:p w14:paraId="3C9769A7" w14:textId="529B278D" w:rsidR="00C91D6C" w:rsidRDefault="00C91D6C" w:rsidP="0052758B">
      <w:pPr>
        <w:spacing w:before="240"/>
        <w:jc w:val="both"/>
      </w:pPr>
      <w:r>
        <w:t>Depending on its relationship to the examiner’s original</w:t>
      </w:r>
      <w:r w:rsidR="00792C8B">
        <w:t>ly assigned</w:t>
      </w:r>
      <w:r>
        <w:t xml:space="preserve"> programme</w:t>
      </w:r>
      <w:r w:rsidR="00E46B39">
        <w:t xml:space="preserve"> (</w:t>
      </w:r>
      <w:r>
        <w:t>typically characterised by</w:t>
      </w:r>
      <w:r w:rsidR="00132B41">
        <w:t xml:space="preserve"> any</w:t>
      </w:r>
      <w:r>
        <w:t xml:space="preserve"> </w:t>
      </w:r>
      <w:r w:rsidR="0034047C">
        <w:t>module</w:t>
      </w:r>
      <w:r w:rsidR="00132B41">
        <w:t xml:space="preserve"> </w:t>
      </w:r>
      <w:r w:rsidR="0034047C">
        <w:t>sharing</w:t>
      </w:r>
      <w:r w:rsidR="00534013">
        <w:t xml:space="preserve"> or </w:t>
      </w:r>
      <w:r w:rsidR="00132B41">
        <w:t xml:space="preserve">simultaneous </w:t>
      </w:r>
      <w:r w:rsidR="00534013">
        <w:t>phasing in</w:t>
      </w:r>
      <w:r w:rsidR="00132B41">
        <w:t>/</w:t>
      </w:r>
      <w:r w:rsidR="00534013">
        <w:t xml:space="preserve"> out of modules</w:t>
      </w:r>
      <w:r w:rsidR="00E46B39">
        <w:t>)</w:t>
      </w:r>
      <w:r w:rsidR="003770F3">
        <w:t>,</w:t>
      </w:r>
      <w:r>
        <w:t xml:space="preserve"> the a</w:t>
      </w:r>
      <w:r w:rsidR="00073E0D">
        <w:t xml:space="preserve">dditional programme may be </w:t>
      </w:r>
      <w:r w:rsidR="00073E0D" w:rsidRPr="00C91D6C">
        <w:rPr>
          <w:u w:val="single"/>
        </w:rPr>
        <w:t>either</w:t>
      </w:r>
      <w:r>
        <w:t>:</w:t>
      </w:r>
    </w:p>
    <w:p w14:paraId="5CCD458B" w14:textId="6ECE26BC" w:rsidR="00C91D6C" w:rsidRDefault="00073E0D" w:rsidP="0052758B">
      <w:pPr>
        <w:pStyle w:val="ListParagraph"/>
        <w:numPr>
          <w:ilvl w:val="0"/>
          <w:numId w:val="17"/>
        </w:numPr>
        <w:jc w:val="both"/>
      </w:pPr>
      <w:r>
        <w:t xml:space="preserve">absorbed </w:t>
      </w:r>
      <w:r w:rsidR="00C91D6C">
        <w:t>within</w:t>
      </w:r>
      <w:r>
        <w:t xml:space="preserve"> </w:t>
      </w:r>
      <w:r w:rsidR="00C91D6C">
        <w:t>the</w:t>
      </w:r>
      <w:r w:rsidR="00132B41">
        <w:t xml:space="preserve"> examiner’s</w:t>
      </w:r>
      <w:r w:rsidR="00C91D6C">
        <w:t xml:space="preserve"> </w:t>
      </w:r>
      <w:r w:rsidR="00132B41">
        <w:t>existing</w:t>
      </w:r>
      <w:r w:rsidR="00C91D6C">
        <w:t xml:space="preserve"> remit, in which case </w:t>
      </w:r>
      <w:r w:rsidR="00E46B39">
        <w:t>the totality should be sustainable within the</w:t>
      </w:r>
      <w:r w:rsidR="00132B41">
        <w:t>ir</w:t>
      </w:r>
      <w:r w:rsidR="00E46B39">
        <w:t xml:space="preserve"> contract</w:t>
      </w:r>
      <w:r w:rsidR="00132B41">
        <w:t>ed hours</w:t>
      </w:r>
      <w:r w:rsidR="00E46B39">
        <w:t xml:space="preserve"> and any additional </w:t>
      </w:r>
      <w:r w:rsidR="00C91D6C" w:rsidRPr="00B220EF">
        <w:t xml:space="preserve">moderation activity </w:t>
      </w:r>
      <w:r w:rsidR="005B404B" w:rsidRPr="00B220EF">
        <w:t>does not exceed</w:t>
      </w:r>
      <w:r w:rsidR="00C91D6C" w:rsidRPr="00B220EF">
        <w:t xml:space="preserve"> </w:t>
      </w:r>
      <w:r w:rsidR="00756B9B">
        <w:t>+</w:t>
      </w:r>
      <w:r w:rsidR="00C91D6C" w:rsidRPr="00B220EF">
        <w:t>3.75 hours per year</w:t>
      </w:r>
      <w:r w:rsidR="0034047C">
        <w:t>; or</w:t>
      </w:r>
    </w:p>
    <w:p w14:paraId="09698FA5" w14:textId="5C86584B" w:rsidR="003A045C" w:rsidRDefault="00792C8B" w:rsidP="0052758B">
      <w:pPr>
        <w:pStyle w:val="ListParagraph"/>
        <w:numPr>
          <w:ilvl w:val="0"/>
          <w:numId w:val="17"/>
        </w:numPr>
        <w:jc w:val="both"/>
      </w:pPr>
      <w:r>
        <w:t>t</w:t>
      </w:r>
      <w:r w:rsidR="0034047C">
        <w:t xml:space="preserve">reated separately from their existing remit with </w:t>
      </w:r>
      <w:r>
        <w:t>a</w:t>
      </w:r>
      <w:r w:rsidR="0034047C">
        <w:t xml:space="preserve"> full annual allowance of </w:t>
      </w:r>
      <w:r w:rsidR="00132B41">
        <w:t xml:space="preserve">hours and </w:t>
      </w:r>
      <w:r w:rsidR="0034047C">
        <w:t>fees for the programme</w:t>
      </w:r>
      <w:r w:rsidR="00756B9B">
        <w:t xml:space="preserve"> that has been added</w:t>
      </w:r>
      <w:r w:rsidR="0034047C">
        <w:t xml:space="preserve">. </w:t>
      </w:r>
      <w:r w:rsidR="00C91D6C">
        <w:t xml:space="preserve"> </w:t>
      </w:r>
    </w:p>
    <w:p w14:paraId="0C63730B" w14:textId="28F60FE9" w:rsidR="003A045C" w:rsidRPr="003A045C" w:rsidRDefault="003A045C" w:rsidP="003A045C">
      <w:r w:rsidRPr="005B404B">
        <w:rPr>
          <w:noProof/>
        </w:rPr>
        <mc:AlternateContent>
          <mc:Choice Requires="wps">
            <w:drawing>
              <wp:anchor distT="45720" distB="45720" distL="114300" distR="114300" simplePos="0" relativeHeight="251661312" behindDoc="0" locked="0" layoutInCell="1" allowOverlap="1" wp14:anchorId="4F574DB2" wp14:editId="47A23FE8">
                <wp:simplePos x="0" y="0"/>
                <wp:positionH relativeFrom="column">
                  <wp:posOffset>-76200</wp:posOffset>
                </wp:positionH>
                <wp:positionV relativeFrom="paragraph">
                  <wp:posOffset>226060</wp:posOffset>
                </wp:positionV>
                <wp:extent cx="581977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33400"/>
                        </a:xfrm>
                        <a:prstGeom prst="rect">
                          <a:avLst/>
                        </a:prstGeom>
                        <a:solidFill>
                          <a:srgbClr val="FFFFFF"/>
                        </a:solidFill>
                        <a:ln w="9525">
                          <a:solidFill>
                            <a:srgbClr val="000000"/>
                          </a:solidFill>
                          <a:miter lim="800000"/>
                          <a:headEnd/>
                          <a:tailEnd/>
                        </a:ln>
                      </wps:spPr>
                      <wps:txbx>
                        <w:txbxContent>
                          <w:p w14:paraId="475A20B6" w14:textId="48AEF292" w:rsidR="004B5085" w:rsidRPr="005B404B" w:rsidRDefault="004B5085" w:rsidP="00EF6391">
                            <w:pPr>
                              <w:jc w:val="both"/>
                              <w:rPr>
                                <w:b/>
                                <w:bCs/>
                              </w:rPr>
                            </w:pPr>
                            <w:r>
                              <w:rPr>
                                <w:b/>
                                <w:bCs/>
                              </w:rPr>
                              <w:t xml:space="preserve">Note: </w:t>
                            </w:r>
                            <w:r w:rsidRPr="00EF6391">
                              <w:t>Faculties confirm the terms of adding a programme to an examiner’s remit with the External Examiners Administrator before commencing any formal discussions with them</w:t>
                            </w:r>
                            <w:r>
                              <w:t>.</w:t>
                            </w:r>
                          </w:p>
                          <w:p w14:paraId="0B136A53" w14:textId="72B5B1A3" w:rsidR="004B5085" w:rsidRDefault="004B5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74DB2" id="_x0000_s1031" type="#_x0000_t202" style="position:absolute;margin-left:-6pt;margin-top:17.8pt;width:458.25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">
                <v:textbox>
                  <w:txbxContent>
                    <w:p w14:paraId="475A20B6" w14:textId="48AEF292" w:rsidR="004B5085" w:rsidRPr="005B404B" w:rsidRDefault="004B5085" w:rsidP="00EF6391">
                      <w:pPr>
                        <w:jc w:val="both"/>
                        <w:rPr>
                          <w:b/>
                          <w:bCs/>
                        </w:rPr>
                      </w:pPr>
                      <w:r>
                        <w:rPr>
                          <w:b/>
                          <w:bCs/>
                        </w:rPr>
                        <w:t xml:space="preserve">Note: </w:t>
                      </w:r>
                      <w:r w:rsidRPr="00EF6391">
                        <w:t>Faculties confirm the terms of adding a programme to an examiner’s remit with the External Examiners Administrator before commencing any formal discussions with them</w:t>
                      </w:r>
                      <w:r>
                        <w:t>.</w:t>
                      </w:r>
                    </w:p>
                    <w:p w14:paraId="0B136A53" w14:textId="72B5B1A3" w:rsidR="004B5085" w:rsidRDefault="004B5085"/>
                  </w:txbxContent>
                </v:textbox>
                <w10:wrap type="square"/>
              </v:shape>
            </w:pict>
          </mc:Fallback>
        </mc:AlternateContent>
      </w:r>
    </w:p>
    <w:p w14:paraId="50C63917" w14:textId="7D20682D" w:rsidR="00B220EF" w:rsidRPr="00B220EF" w:rsidRDefault="00B220EF" w:rsidP="005B404B">
      <w:pPr>
        <w:pStyle w:val="Heading2"/>
        <w:jc w:val="both"/>
      </w:pPr>
      <w:bookmarkStart w:id="31" w:name="_Toc34401596"/>
      <w:bookmarkStart w:id="32" w:name="_Toc89161775"/>
      <w:bookmarkEnd w:id="28"/>
      <w:r w:rsidRPr="00B220EF">
        <w:lastRenderedPageBreak/>
        <w:t>Changes of examiners’ circumstances</w:t>
      </w:r>
      <w:bookmarkEnd w:id="31"/>
      <w:bookmarkEnd w:id="32"/>
    </w:p>
    <w:p w14:paraId="5F89113A" w14:textId="7F92BBA4" w:rsidR="00B220EF" w:rsidRPr="00B220EF" w:rsidRDefault="00B220EF" w:rsidP="005B404B">
      <w:pPr>
        <w:jc w:val="both"/>
      </w:pPr>
      <w:r w:rsidRPr="00B220EF">
        <w:t xml:space="preserve">Examiners are requested to indicate any changes to their current employment status or PSRB registration during their period of engagement to the External Examiners Administrator at </w:t>
      </w:r>
      <w:hyperlink r:id="rId16">
        <w:r w:rsidRPr="00B220EF">
          <w:rPr>
            <w:rStyle w:val="Hyperlink"/>
          </w:rPr>
          <w:t>externalexaminers@edgehill.ac.uk</w:t>
        </w:r>
      </w:hyperlink>
      <w:r w:rsidRPr="00B220EF">
        <w:t xml:space="preserve">. Examiners will </w:t>
      </w:r>
      <w:r w:rsidR="003C1703" w:rsidRPr="00B220EF">
        <w:t>carefully consider</w:t>
      </w:r>
      <w:r w:rsidRPr="00B220EF">
        <w:t xml:space="preserve"> the impact of taking on additional external examiner appointments during their term of engagement with Edge Hill.</w:t>
      </w:r>
    </w:p>
    <w:p w14:paraId="2866D129" w14:textId="74F083BC" w:rsidR="00B220EF" w:rsidRPr="00B220EF" w:rsidRDefault="00B220EF" w:rsidP="00CF1A13">
      <w:pPr>
        <w:pStyle w:val="Heading2"/>
      </w:pPr>
      <w:bookmarkStart w:id="33" w:name="Published_information"/>
      <w:bookmarkStart w:id="34" w:name="_Toc34401597"/>
      <w:bookmarkStart w:id="35" w:name="_Toc89161776"/>
      <w:bookmarkEnd w:id="33"/>
      <w:r w:rsidRPr="00B220EF">
        <w:t>Published</w:t>
      </w:r>
      <w:r w:rsidR="005B404B">
        <w:t xml:space="preserve"> I</w:t>
      </w:r>
      <w:r w:rsidRPr="00B220EF">
        <w:t>nformation</w:t>
      </w:r>
      <w:bookmarkEnd w:id="34"/>
      <w:r w:rsidR="005B404B" w:rsidRPr="00B220EF">
        <w:t xml:space="preserve"> </w:t>
      </w:r>
      <w:r w:rsidR="005B404B">
        <w:t>for Students</w:t>
      </w:r>
      <w:bookmarkEnd w:id="35"/>
    </w:p>
    <w:p w14:paraId="0B72EBBD" w14:textId="7234E9BB" w:rsidR="00B220EF" w:rsidRPr="00B220EF" w:rsidRDefault="00B220EF" w:rsidP="005B404B">
      <w:pPr>
        <w:jc w:val="both"/>
      </w:pPr>
      <w:r w:rsidRPr="00B220EF">
        <w:t>Students are informed</w:t>
      </w:r>
      <w:r w:rsidR="00CF1A13">
        <w:rPr>
          <w:rStyle w:val="FootnoteReference"/>
        </w:rPr>
        <w:footnoteReference w:id="34"/>
      </w:r>
      <w:r w:rsidRPr="00B220EF">
        <w:t xml:space="preserve"> of the name, position and home institution of their external examiners and advised that entering into direct correspondence with them is prohibited</w:t>
      </w:r>
      <w:r w:rsidR="00CF1A13">
        <w:rPr>
          <w:rStyle w:val="FootnoteReference"/>
        </w:rPr>
        <w:footnoteReference w:id="35"/>
      </w:r>
      <w:r w:rsidRPr="00B220EF">
        <w:t xml:space="preserve">. </w:t>
      </w:r>
      <w:r w:rsidR="0010707D">
        <w:t>E</w:t>
      </w:r>
      <w:r w:rsidRPr="00B220EF">
        <w:t xml:space="preserve">xaminers are requested to forward </w:t>
      </w:r>
      <w:r w:rsidR="0010707D">
        <w:t>any direct communications from students</w:t>
      </w:r>
      <w:r w:rsidRPr="00B220EF">
        <w:t xml:space="preserve"> to their departmental contact and/ or the External Examiners Administrator at </w:t>
      </w:r>
      <w:hyperlink r:id="rId17">
        <w:r w:rsidRPr="00B220EF">
          <w:rPr>
            <w:rStyle w:val="Hyperlink"/>
          </w:rPr>
          <w:t>externalexaminers@edgehill.ac.uk</w:t>
        </w:r>
      </w:hyperlink>
      <w:r w:rsidRPr="00B220EF">
        <w:t>. External examiner</w:t>
      </w:r>
      <w:r w:rsidR="0010707D">
        <w:t>s’</w:t>
      </w:r>
      <w:r w:rsidRPr="00B220EF">
        <w:t xml:space="preserve"> reports and </w:t>
      </w:r>
      <w:r w:rsidR="0010707D">
        <w:t xml:space="preserve">department </w:t>
      </w:r>
      <w:r w:rsidRPr="00B220EF">
        <w:t>responses are shared with student representatives at the next available Programme Board and made available to all students via the programme area of the Learning Edge Virtual Learning Environment and/</w:t>
      </w:r>
      <w:r w:rsidR="006B67AE">
        <w:t xml:space="preserve"> </w:t>
      </w:r>
      <w:r w:rsidRPr="00B220EF">
        <w:t>or Student Information Hub Wiki.</w:t>
      </w:r>
    </w:p>
    <w:p w14:paraId="52CA5CF8" w14:textId="43D810DF" w:rsidR="00B220EF" w:rsidRPr="00B220EF" w:rsidRDefault="00B220EF" w:rsidP="00562F79">
      <w:pPr>
        <w:pStyle w:val="Heading2"/>
      </w:pPr>
      <w:bookmarkStart w:id="36" w:name="Research_degrees"/>
      <w:bookmarkStart w:id="37" w:name="_Toc34401598"/>
      <w:bookmarkStart w:id="38" w:name="_Toc89161777"/>
      <w:bookmarkEnd w:id="36"/>
      <w:r w:rsidRPr="00B220EF">
        <w:t xml:space="preserve">Research </w:t>
      </w:r>
      <w:r w:rsidR="003A045C">
        <w:t>D</w:t>
      </w:r>
      <w:r w:rsidRPr="00B220EF">
        <w:t>egrees</w:t>
      </w:r>
      <w:bookmarkEnd w:id="37"/>
      <w:bookmarkEnd w:id="38"/>
    </w:p>
    <w:p w14:paraId="385D6F7C" w14:textId="449EC8B0" w:rsidR="00B220EF" w:rsidRPr="00B220EF" w:rsidRDefault="00B220EF" w:rsidP="00EF6391">
      <w:pPr>
        <w:contextualSpacing/>
        <w:jc w:val="both"/>
      </w:pPr>
      <w:r w:rsidRPr="00B220EF">
        <w:t>Research degrees including PhD, professional doctorates and Masters by Research (</w:t>
      </w:r>
      <w:proofErr w:type="spellStart"/>
      <w:r w:rsidRPr="00B220EF">
        <w:t>MRes</w:t>
      </w:r>
      <w:proofErr w:type="spellEnd"/>
      <w:r w:rsidRPr="00B220EF">
        <w:t>) awards are assessed by dissertation viva panels</w:t>
      </w:r>
      <w:r w:rsidR="00EF6391">
        <w:t>.</w:t>
      </w:r>
      <w:r w:rsidRPr="00B220EF">
        <w:t xml:space="preserve"> </w:t>
      </w:r>
      <w:r w:rsidR="00EF6391">
        <w:t>Panels</w:t>
      </w:r>
      <w:r w:rsidRPr="00B220EF">
        <w:t xml:space="preserve"> include at least one independent external examiner</w:t>
      </w:r>
      <w:r w:rsidR="00EF6391">
        <w:t xml:space="preserve">. </w:t>
      </w:r>
      <w:r w:rsidRPr="00B220EF">
        <w:t xml:space="preserve"> </w:t>
      </w:r>
      <w:r w:rsidR="00EF6391">
        <w:t xml:space="preserve">Such examiners are </w:t>
      </w:r>
      <w:r w:rsidRPr="00B220EF">
        <w:t xml:space="preserve">nominated by the academic department and approved by the Graduate School Board of Studies. Arrangements for the external examination of research degrees are described </w:t>
      </w:r>
      <w:r w:rsidR="00EF6391">
        <w:t>in chapter 9 of this</w:t>
      </w:r>
      <w:r w:rsidRPr="00B220EF">
        <w:t xml:space="preserve"> Handbook.</w:t>
      </w:r>
    </w:p>
    <w:p w14:paraId="738AB645" w14:textId="6CED44D5" w:rsidR="00B220EF" w:rsidRPr="00B220EF" w:rsidRDefault="00B220EF" w:rsidP="00E86526">
      <w:pPr>
        <w:pStyle w:val="Heading1"/>
      </w:pPr>
      <w:bookmarkStart w:id="39" w:name="2.__ROLE_AND_RESPONSIBILITIES"/>
      <w:bookmarkStart w:id="40" w:name="_Toc34401599"/>
      <w:bookmarkStart w:id="41" w:name="_Toc89161778"/>
      <w:bookmarkEnd w:id="39"/>
      <w:r w:rsidRPr="00B220EF">
        <w:t>ROLE AND RESPONSIBILITIES</w:t>
      </w:r>
      <w:bookmarkEnd w:id="40"/>
      <w:bookmarkEnd w:id="41"/>
    </w:p>
    <w:p w14:paraId="2B7F672F" w14:textId="4583C958" w:rsidR="00B220EF" w:rsidRDefault="003A045C" w:rsidP="0052758B">
      <w:pPr>
        <w:contextualSpacing/>
        <w:jc w:val="both"/>
      </w:pPr>
      <w:r>
        <w:t>The</w:t>
      </w:r>
      <w:r w:rsidR="00B220EF" w:rsidRPr="00B220EF">
        <w:t xml:space="preserve"> </w:t>
      </w:r>
      <w:r w:rsidR="00EF6391">
        <w:t>GQASC unit</w:t>
      </w:r>
      <w:r w:rsidR="00B220EF" w:rsidRPr="00B220EF">
        <w:t xml:space="preserve">, Faculties, academic departments and programme teams </w:t>
      </w:r>
      <w:r>
        <w:t xml:space="preserve">are jointly accountable in </w:t>
      </w:r>
      <w:r w:rsidR="00B220EF" w:rsidRPr="00B220EF">
        <w:t>ensur</w:t>
      </w:r>
      <w:r>
        <w:t xml:space="preserve">ing </w:t>
      </w:r>
      <w:r w:rsidR="00B220EF" w:rsidRPr="00B220EF">
        <w:t>that appropriate arrangements are in place to support examiners in discharging the</w:t>
      </w:r>
      <w:r>
        <w:t>ir responsibilities</w:t>
      </w:r>
      <w:r w:rsidR="00B220EF" w:rsidRPr="00B220EF">
        <w:t xml:space="preserve">. Programme teams provide their examiners with the </w:t>
      </w:r>
      <w:r w:rsidR="004B6E04">
        <w:t xml:space="preserve">specific </w:t>
      </w:r>
      <w:r w:rsidR="00B220EF" w:rsidRPr="00B220EF">
        <w:t>information they need to perform their duties</w:t>
      </w:r>
      <w:r w:rsidR="004B6E04">
        <w:t>.</w:t>
      </w:r>
    </w:p>
    <w:p w14:paraId="6BD01135" w14:textId="77777777" w:rsidR="0052758B" w:rsidRPr="00B220EF" w:rsidRDefault="0052758B" w:rsidP="0052758B">
      <w:pPr>
        <w:contextualSpacing/>
        <w:jc w:val="both"/>
      </w:pPr>
    </w:p>
    <w:p w14:paraId="12537BEE" w14:textId="62A53118" w:rsidR="0052758B" w:rsidRDefault="00B220EF" w:rsidP="0052758B">
      <w:pPr>
        <w:contextualSpacing/>
        <w:jc w:val="both"/>
      </w:pPr>
      <w:r w:rsidRPr="00B220EF">
        <w:t>Examiners normally visit</w:t>
      </w:r>
      <w:r w:rsidR="00CE37E4">
        <w:rPr>
          <w:rStyle w:val="FootnoteReference"/>
        </w:rPr>
        <w:footnoteReference w:id="36"/>
      </w:r>
      <w:r w:rsidRPr="00B220EF">
        <w:t xml:space="preserve"> the University at least once a year to moderate assessed coursework and examination scripts although further mid-year visits may be required for programmes with a performance, practical or professional element</w:t>
      </w:r>
      <w:r w:rsidR="004D3D3C">
        <w:t>,</w:t>
      </w:r>
      <w:r w:rsidRPr="00B220EF">
        <w:t xml:space="preserve"> or for cohorts with variable/ multiple intakes or non-standard completion times. External examiners attend Module Assessment Boards where the detailed discussion of academic standards takes place. In the Faculty of Arts and Sciences</w:t>
      </w:r>
      <w:r w:rsidR="00E87335">
        <w:t xml:space="preserve"> and the Faculty of Education</w:t>
      </w:r>
      <w:r w:rsidR="00D868F8">
        <w:t>,</w:t>
      </w:r>
      <w:r w:rsidR="00E87335">
        <w:t xml:space="preserve"> </w:t>
      </w:r>
      <w:r w:rsidRPr="00B220EF">
        <w:t xml:space="preserve">Progression and Award Board </w:t>
      </w:r>
      <w:r w:rsidR="00D868F8">
        <w:t>e</w:t>
      </w:r>
      <w:r w:rsidRPr="00B220EF">
        <w:t>xaminer</w:t>
      </w:r>
      <w:r w:rsidR="0069468D">
        <w:t>s</w:t>
      </w:r>
      <w:r w:rsidRPr="00B220EF">
        <w:t xml:space="preserve"> ensure the rigour of the process underpinning the conferment of awards through </w:t>
      </w:r>
      <w:r w:rsidRPr="00B220EF">
        <w:lastRenderedPageBreak/>
        <w:t xml:space="preserve">the Board’s application of the </w:t>
      </w:r>
      <w:r w:rsidRPr="004D3D3C">
        <w:rPr>
          <w:iCs/>
        </w:rPr>
        <w:t>Academic Regulations.</w:t>
      </w:r>
      <w:r w:rsidRPr="00B220EF">
        <w:t xml:space="preserve"> In the Faculty of Health</w:t>
      </w:r>
      <w:r w:rsidR="004D3D3C">
        <w:t>,</w:t>
      </w:r>
      <w:r w:rsidRPr="00B220EF">
        <w:t xml:space="preserve"> Social Care</w:t>
      </w:r>
      <w:r w:rsidR="004D3D3C">
        <w:t xml:space="preserve"> and Medicine</w:t>
      </w:r>
      <w:r w:rsidR="00201279">
        <w:t>,</w:t>
      </w:r>
      <w:r w:rsidRPr="00B220EF">
        <w:t xml:space="preserve"> where Module and Progression and Award Boards are conflated, all examiners are in attendance and access complete student profiles to confirm standards at award level.</w:t>
      </w:r>
    </w:p>
    <w:p w14:paraId="51A64220" w14:textId="0384A250" w:rsidR="00B220EF" w:rsidRPr="00B220EF" w:rsidRDefault="00B220EF" w:rsidP="0052758B">
      <w:pPr>
        <w:contextualSpacing/>
        <w:jc w:val="both"/>
      </w:pPr>
      <w:r w:rsidRPr="00B220EF">
        <w:t xml:space="preserve"> </w:t>
      </w:r>
    </w:p>
    <w:p w14:paraId="7243AD79" w14:textId="61BE3312" w:rsidR="00B220EF" w:rsidRPr="00B220EF" w:rsidRDefault="00B220EF" w:rsidP="0052758B">
      <w:pPr>
        <w:contextualSpacing/>
        <w:jc w:val="both"/>
      </w:pPr>
      <w:r w:rsidRPr="00B220EF">
        <w:t xml:space="preserve">In producing their annual reports (see below) external examiners comment on the fairness and consistency of assessment boards’ decisions and their adherence to the University’s </w:t>
      </w:r>
      <w:r w:rsidR="0069468D" w:rsidRPr="0069468D">
        <w:rPr>
          <w:iCs/>
        </w:rPr>
        <w:t>regulations</w:t>
      </w:r>
      <w:r w:rsidRPr="0069468D">
        <w:rPr>
          <w:iCs/>
        </w:rPr>
        <w:t>. If</w:t>
      </w:r>
      <w:r w:rsidRPr="00B220EF">
        <w:t xml:space="preserve"> in highly exceptional circumstances</w:t>
      </w:r>
      <w:r w:rsidR="00EF6391">
        <w:t>,</w:t>
      </w:r>
      <w:r w:rsidRPr="00B220EF">
        <w:t xml:space="preserve"> examiners are unable to attend any of the assessment boards they are requested to be available </w:t>
      </w:r>
      <w:r w:rsidR="003A045C">
        <w:t>using a video conferencing solution</w:t>
      </w:r>
      <w:r w:rsidRPr="00B220EF">
        <w:t>.</w:t>
      </w:r>
    </w:p>
    <w:p w14:paraId="5A07D306" w14:textId="77777777" w:rsidR="00FA565D" w:rsidRDefault="00FA565D" w:rsidP="0052758B">
      <w:pPr>
        <w:contextualSpacing/>
        <w:jc w:val="both"/>
      </w:pPr>
    </w:p>
    <w:p w14:paraId="2962F1B8" w14:textId="67EEB59E" w:rsidR="00B220EF" w:rsidRPr="00B220EF" w:rsidRDefault="00B220EF" w:rsidP="0052758B">
      <w:pPr>
        <w:contextualSpacing/>
        <w:jc w:val="both"/>
      </w:pPr>
      <w:r w:rsidRPr="00B220EF">
        <w:t xml:space="preserve">In specific relation to </w:t>
      </w:r>
      <w:r w:rsidRPr="0055467D">
        <w:rPr>
          <w:b/>
        </w:rPr>
        <w:t>re-assessment</w:t>
      </w:r>
      <w:r w:rsidRPr="00B220EF">
        <w:t>, external moderation of student</w:t>
      </w:r>
      <w:r w:rsidR="00FA565D">
        <w:t>s’</w:t>
      </w:r>
      <w:r w:rsidRPr="00B220EF">
        <w:t xml:space="preserve"> work is normally </w:t>
      </w:r>
      <w:r w:rsidR="00F600FE">
        <w:t>unnecessary</w:t>
      </w:r>
      <w:r w:rsidR="00EA58A6">
        <w:t xml:space="preserve"> and internal moderation provides the necessary confirmation of standards</w:t>
      </w:r>
      <w:r w:rsidR="00F600FE">
        <w:t>.</w:t>
      </w:r>
      <w:r w:rsidRPr="00B220EF">
        <w:t xml:space="preserve"> However, an external examiner presence </w:t>
      </w:r>
      <w:r w:rsidR="003A045C" w:rsidRPr="00B220EF">
        <w:t xml:space="preserve">is required at Progression and Award Boards to oversee the application of the </w:t>
      </w:r>
      <w:r w:rsidR="003A045C">
        <w:rPr>
          <w:iCs/>
        </w:rPr>
        <w:t>Academic R</w:t>
      </w:r>
      <w:r w:rsidR="003A045C" w:rsidRPr="00951248">
        <w:rPr>
          <w:iCs/>
        </w:rPr>
        <w:t>egulations</w:t>
      </w:r>
      <w:r w:rsidR="003A045C" w:rsidRPr="00B220EF">
        <w:t xml:space="preserve"> </w:t>
      </w:r>
      <w:r w:rsidRPr="00B220EF">
        <w:t>(which may be the Award Board Examiner</w:t>
      </w:r>
      <w:r w:rsidR="003A045C">
        <w:t>,</w:t>
      </w:r>
      <w:r w:rsidRPr="00B220EF">
        <w:t xml:space="preserve"> Chief Examiner or a represe</w:t>
      </w:r>
      <w:r w:rsidR="00562F79">
        <w:t xml:space="preserve">ntative </w:t>
      </w:r>
      <w:r w:rsidRPr="00B220EF">
        <w:t>programme examiner)</w:t>
      </w:r>
      <w:r w:rsidRPr="00951248">
        <w:rPr>
          <w:iCs/>
        </w:rPr>
        <w:t>.</w:t>
      </w:r>
    </w:p>
    <w:p w14:paraId="51EAC6B6" w14:textId="77777777" w:rsidR="00B220EF" w:rsidRPr="00B220EF" w:rsidRDefault="00B220EF" w:rsidP="00DA1D84">
      <w:pPr>
        <w:pStyle w:val="Heading2"/>
        <w:spacing w:before="360"/>
      </w:pPr>
      <w:bookmarkStart w:id="42" w:name="_Toc34401600"/>
      <w:bookmarkStart w:id="43" w:name="_Toc89161779"/>
      <w:r w:rsidRPr="00B220EF">
        <w:t>Primary role of External Examiners</w:t>
      </w:r>
      <w:bookmarkEnd w:id="42"/>
      <w:bookmarkEnd w:id="43"/>
    </w:p>
    <w:p w14:paraId="36D61BBE" w14:textId="77E3DC99" w:rsidR="00B220EF" w:rsidRPr="00B220EF" w:rsidRDefault="00AC1536" w:rsidP="00AC1536">
      <w:pPr>
        <w:jc w:val="both"/>
      </w:pPr>
      <w:r>
        <w:t>External Examiners’</w:t>
      </w:r>
      <w:r w:rsidR="00B220EF" w:rsidRPr="00B220EF">
        <w:t xml:space="preserve"> main responsibility is to confirm that academic standards are appropriately set and maintained</w:t>
      </w:r>
      <w:r>
        <w:t>. This is carried out by</w:t>
      </w:r>
      <w:r w:rsidR="00B220EF" w:rsidRPr="00B220EF">
        <w:t>:</w:t>
      </w:r>
    </w:p>
    <w:p w14:paraId="4EF329E1" w14:textId="1A5F43BE" w:rsidR="00B220EF" w:rsidRPr="00B220EF" w:rsidRDefault="00B220EF" w:rsidP="00AC1536">
      <w:pPr>
        <w:pStyle w:val="ListParagraph"/>
        <w:numPr>
          <w:ilvl w:val="0"/>
          <w:numId w:val="19"/>
        </w:numPr>
        <w:jc w:val="both"/>
      </w:pPr>
      <w:r w:rsidRPr="00B220EF">
        <w:t>Review</w:t>
      </w:r>
      <w:r w:rsidR="00D84309">
        <w:t>ing</w:t>
      </w:r>
      <w:r w:rsidRPr="00B220EF">
        <w:t xml:space="preserve"> and approv</w:t>
      </w:r>
      <w:r w:rsidR="00D84309">
        <w:t>ing</w:t>
      </w:r>
      <w:r w:rsidRPr="00B220EF">
        <w:t xml:space="preserve"> examination papers that contribute to a student’s final award, and any other assessment material as agreed between themselves and the programme team for which an annual time allowance is provided</w:t>
      </w:r>
      <w:r w:rsidR="00562F79">
        <w:rPr>
          <w:rStyle w:val="FootnoteReference"/>
        </w:rPr>
        <w:footnoteReference w:id="37"/>
      </w:r>
      <w:r w:rsidRPr="00B220EF">
        <w:t>.</w:t>
      </w:r>
    </w:p>
    <w:p w14:paraId="619A7F1E" w14:textId="61253B12" w:rsidR="00B220EF" w:rsidRPr="00B220EF" w:rsidRDefault="00B220EF" w:rsidP="00AC1536">
      <w:pPr>
        <w:pStyle w:val="ListParagraph"/>
        <w:numPr>
          <w:ilvl w:val="0"/>
          <w:numId w:val="19"/>
        </w:numPr>
        <w:jc w:val="both"/>
      </w:pPr>
      <w:r w:rsidRPr="00B220EF">
        <w:t>Moderat</w:t>
      </w:r>
      <w:r w:rsidR="00D84309">
        <w:t>ing</w:t>
      </w:r>
      <w:r w:rsidRPr="00B220EF">
        <w:t xml:space="preserve"> samples</w:t>
      </w:r>
      <w:r w:rsidR="004B6E04">
        <w:rPr>
          <w:rStyle w:val="FootnoteReference"/>
        </w:rPr>
        <w:footnoteReference w:id="38"/>
      </w:r>
      <w:r w:rsidRPr="00B220EF">
        <w:t xml:space="preserve"> of student work that have been marked and internally moderated</w:t>
      </w:r>
      <w:r w:rsidR="00562F79">
        <w:rPr>
          <w:rStyle w:val="FootnoteReference"/>
        </w:rPr>
        <w:footnoteReference w:id="39"/>
      </w:r>
      <w:r w:rsidRPr="00B220EF">
        <w:t xml:space="preserve"> in order to be satisfied that students have been graded fairly in accordance with Intended Learning Outcomes</w:t>
      </w:r>
      <w:r w:rsidR="00E40FA4">
        <w:t>,</w:t>
      </w:r>
      <w:r w:rsidRPr="00B220EF">
        <w:t xml:space="preserve"> marking criteria and the University’s </w:t>
      </w:r>
      <w:r w:rsidRPr="00D84309">
        <w:t>Academic Regulations.</w:t>
      </w:r>
    </w:p>
    <w:p w14:paraId="7F0B8EB1" w14:textId="2B0EFED8" w:rsidR="00B220EF" w:rsidRPr="00B220EF" w:rsidRDefault="00B220EF" w:rsidP="00AC1536">
      <w:pPr>
        <w:pStyle w:val="ListParagraph"/>
        <w:numPr>
          <w:ilvl w:val="0"/>
          <w:numId w:val="19"/>
        </w:numPr>
        <w:jc w:val="both"/>
      </w:pPr>
      <w:r w:rsidRPr="00B220EF">
        <w:t>Review</w:t>
      </w:r>
      <w:r w:rsidR="00D84309">
        <w:t>ing</w:t>
      </w:r>
      <w:r w:rsidRPr="00B220EF">
        <w:t xml:space="preserve"> and approv</w:t>
      </w:r>
      <w:r w:rsidR="00D84309">
        <w:t>ing</w:t>
      </w:r>
      <w:r w:rsidRPr="00B220EF">
        <w:t xml:space="preserve"> the content, learning outcomes and assessment of negotiated learning modules leading to the award of Student</w:t>
      </w:r>
      <w:r w:rsidR="00D84309">
        <w:t xml:space="preserve"> </w:t>
      </w:r>
      <w:r w:rsidRPr="00B220EF">
        <w:t>Initiated Credit</w:t>
      </w:r>
      <w:r w:rsidR="00562F79">
        <w:rPr>
          <w:rStyle w:val="FootnoteReference"/>
        </w:rPr>
        <w:footnoteReference w:id="40"/>
      </w:r>
      <w:r w:rsidRPr="00B220EF">
        <w:t>.</w:t>
      </w:r>
    </w:p>
    <w:p w14:paraId="796E129C" w14:textId="0458B65B" w:rsidR="00562F79" w:rsidRDefault="00B220EF" w:rsidP="00AC1536">
      <w:pPr>
        <w:pStyle w:val="ListParagraph"/>
        <w:numPr>
          <w:ilvl w:val="0"/>
          <w:numId w:val="19"/>
        </w:numPr>
        <w:jc w:val="both"/>
      </w:pPr>
      <w:r w:rsidRPr="00B220EF">
        <w:t>Sampl</w:t>
      </w:r>
      <w:r w:rsidR="00D84309">
        <w:t>ing</w:t>
      </w:r>
      <w:r w:rsidRPr="00B220EF">
        <w:t xml:space="preserve"> the assessment of portfolios that accompany claims for Recognition of Prior Experiential Learning (RPEL)</w:t>
      </w:r>
      <w:r w:rsidR="00562F79">
        <w:rPr>
          <w:rStyle w:val="FootnoteReference"/>
        </w:rPr>
        <w:footnoteReference w:id="41"/>
      </w:r>
      <w:r w:rsidRPr="00B220EF">
        <w:t>.</w:t>
      </w:r>
    </w:p>
    <w:p w14:paraId="0ECCE3AF" w14:textId="48750A56" w:rsidR="00562F79" w:rsidRDefault="00B220EF" w:rsidP="00AC1536">
      <w:pPr>
        <w:pStyle w:val="ListParagraph"/>
        <w:numPr>
          <w:ilvl w:val="0"/>
          <w:numId w:val="19"/>
        </w:numPr>
        <w:jc w:val="both"/>
      </w:pPr>
      <w:r w:rsidRPr="00B220EF">
        <w:t>In their annual reports</w:t>
      </w:r>
      <w:r w:rsidR="004B6E04">
        <w:t xml:space="preserve"> (also see ‘Reports’ below)</w:t>
      </w:r>
      <w:r w:rsidR="004B6E04">
        <w:rPr>
          <w:rStyle w:val="FootnoteReference"/>
        </w:rPr>
        <w:t>:</w:t>
      </w:r>
    </w:p>
    <w:p w14:paraId="65477189" w14:textId="0C153AB5" w:rsidR="00B220EF" w:rsidRPr="00B220EF" w:rsidRDefault="00B220EF" w:rsidP="00AC1536">
      <w:pPr>
        <w:pStyle w:val="ListParagraph"/>
        <w:numPr>
          <w:ilvl w:val="0"/>
          <w:numId w:val="20"/>
        </w:numPr>
        <w:jc w:val="both"/>
      </w:pPr>
      <w:r w:rsidRPr="00B220EF">
        <w:t>Confirm</w:t>
      </w:r>
      <w:r w:rsidR="00D84309">
        <w:t>ing</w:t>
      </w:r>
      <w:r w:rsidRPr="00B220EF">
        <w:t xml:space="preserve"> that national threshold standards</w:t>
      </w:r>
      <w:r w:rsidR="004B6E04">
        <w:t xml:space="preserve"> (FHEQ)</w:t>
      </w:r>
      <w:r w:rsidRPr="00B220EF">
        <w:t xml:space="preserve"> </w:t>
      </w:r>
      <w:r w:rsidR="004B6E04" w:rsidRPr="00B220EF">
        <w:t>are being met or exceeded</w:t>
      </w:r>
      <w:r w:rsidR="004B6E04">
        <w:t>,</w:t>
      </w:r>
      <w:r w:rsidR="004B6E04" w:rsidRPr="00B220EF">
        <w:t xml:space="preserve"> </w:t>
      </w:r>
      <w:r w:rsidR="004B6E04">
        <w:t xml:space="preserve">content is in broad alignment with other external reference points (e.g., Subject Benchmark Statements) </w:t>
      </w:r>
      <w:r w:rsidRPr="00B220EF">
        <w:t>and that students have achieved the Intended Learning Outcomes for the award of credit and qualifications.</w:t>
      </w:r>
    </w:p>
    <w:p w14:paraId="00DB811F" w14:textId="7BD79DB9" w:rsidR="00B220EF" w:rsidRPr="00B220EF" w:rsidRDefault="00417229" w:rsidP="00AC1536">
      <w:pPr>
        <w:pStyle w:val="ListParagraph"/>
        <w:numPr>
          <w:ilvl w:val="0"/>
          <w:numId w:val="20"/>
        </w:numPr>
        <w:jc w:val="both"/>
      </w:pPr>
      <w:r>
        <w:lastRenderedPageBreak/>
        <w:t>Beyond</w:t>
      </w:r>
      <w:r w:rsidR="00B220EF" w:rsidRPr="00B220EF">
        <w:t xml:space="preserve"> threshold attainment, provid</w:t>
      </w:r>
      <w:r w:rsidR="00D84309">
        <w:t>ing</w:t>
      </w:r>
      <w:r w:rsidR="00B220EF" w:rsidRPr="00B220EF">
        <w:t xml:space="preserve"> advisory comment on the comparability of standards </w:t>
      </w:r>
      <w:r w:rsidR="00D84309">
        <w:t xml:space="preserve">(grades and degree classifications) </w:t>
      </w:r>
      <w:r w:rsidR="00B220EF" w:rsidRPr="00B220EF">
        <w:t>with other programmes of the same subject/ level</w:t>
      </w:r>
      <w:r w:rsidR="00D84309">
        <w:t>.</w:t>
      </w:r>
    </w:p>
    <w:p w14:paraId="7FF52866" w14:textId="6D184F33" w:rsidR="00B220EF" w:rsidRPr="00B220EF" w:rsidRDefault="00B220EF" w:rsidP="00AC1536">
      <w:pPr>
        <w:pStyle w:val="ListParagraph"/>
        <w:numPr>
          <w:ilvl w:val="0"/>
          <w:numId w:val="20"/>
        </w:numPr>
        <w:jc w:val="both"/>
      </w:pPr>
      <w:r w:rsidRPr="00B220EF">
        <w:t>Provid</w:t>
      </w:r>
      <w:r w:rsidR="00D84309">
        <w:t>ing</w:t>
      </w:r>
      <w:r w:rsidRPr="00B220EF">
        <w:t xml:space="preserve"> advisory comment on the standard of marking and moderation and quality of written feedback for programme teams, departments and Faculties to act upon</w:t>
      </w:r>
      <w:r w:rsidR="00D84309">
        <w:t>.</w:t>
      </w:r>
    </w:p>
    <w:p w14:paraId="7B1BBC5A" w14:textId="4BA361AE" w:rsidR="00B220EF" w:rsidRPr="00B220EF" w:rsidRDefault="00B220EF" w:rsidP="00AC1536">
      <w:pPr>
        <w:pStyle w:val="ListParagraph"/>
        <w:numPr>
          <w:ilvl w:val="0"/>
          <w:numId w:val="20"/>
        </w:numPr>
        <w:jc w:val="both"/>
      </w:pPr>
      <w:r w:rsidRPr="00B220EF">
        <w:t>Provid</w:t>
      </w:r>
      <w:r w:rsidR="00D84309">
        <w:t>ing</w:t>
      </w:r>
      <w:r w:rsidRPr="00B220EF">
        <w:t xml:space="preserve"> advisory comment on assessment processes including the operation of assessment boards for the University to act upon.</w:t>
      </w:r>
    </w:p>
    <w:p w14:paraId="7215B244" w14:textId="025D661B" w:rsidR="00B220EF" w:rsidRPr="00B220EF" w:rsidRDefault="00B220EF" w:rsidP="00AC1536">
      <w:pPr>
        <w:jc w:val="both"/>
      </w:pPr>
      <w:r w:rsidRPr="00B220EF">
        <w:t>In addition to sample</w:t>
      </w:r>
      <w:r w:rsidR="006C6C75">
        <w:t>s of</w:t>
      </w:r>
      <w:r w:rsidRPr="00B220EF">
        <w:t xml:space="preserve"> assessed student work</w:t>
      </w:r>
      <w:r w:rsidR="006C6C75">
        <w:t xml:space="preserve"> and written feedback</w:t>
      </w:r>
      <w:r w:rsidRPr="00B220EF">
        <w:t xml:space="preserve">, programme teams supply their examiners with the relevant programme and module handbooks, coursework specifications, </w:t>
      </w:r>
      <w:r w:rsidR="006C6C75" w:rsidRPr="00B220EF">
        <w:t>examination papers</w:t>
      </w:r>
      <w:r w:rsidR="006C6C75">
        <w:t>,</w:t>
      </w:r>
      <w:r w:rsidR="006C6C75" w:rsidRPr="00B220EF">
        <w:t xml:space="preserve"> </w:t>
      </w:r>
      <w:r w:rsidRPr="00B220EF">
        <w:t xml:space="preserve">marking criteria and a record of marks for each assessment item. </w:t>
      </w:r>
      <w:r w:rsidR="00CA51DB">
        <w:rPr>
          <w:b/>
        </w:rPr>
        <w:t>External m</w:t>
      </w:r>
      <w:r w:rsidRPr="00F97DC9">
        <w:rPr>
          <w:b/>
        </w:rPr>
        <w:t>oderation should not replicate internal marking and moderation</w:t>
      </w:r>
      <w:r w:rsidRPr="00B220EF">
        <w:t xml:space="preserve"> </w:t>
      </w:r>
      <w:r w:rsidRPr="00E904E2">
        <w:rPr>
          <w:b/>
          <w:bCs/>
        </w:rPr>
        <w:t>but rather verify that</w:t>
      </w:r>
      <w:r w:rsidR="00CA51DB" w:rsidRPr="00E904E2">
        <w:rPr>
          <w:b/>
          <w:bCs/>
        </w:rPr>
        <w:t xml:space="preserve"> </w:t>
      </w:r>
      <w:r w:rsidRPr="00E904E2">
        <w:rPr>
          <w:b/>
          <w:bCs/>
        </w:rPr>
        <w:t>the</w:t>
      </w:r>
      <w:r w:rsidR="00CA51DB" w:rsidRPr="00E904E2">
        <w:rPr>
          <w:b/>
          <w:bCs/>
        </w:rPr>
        <w:t xml:space="preserve"> latter</w:t>
      </w:r>
      <w:r w:rsidRPr="00E904E2">
        <w:rPr>
          <w:b/>
          <w:bCs/>
        </w:rPr>
        <w:t xml:space="preserve"> are operating fairly and consistently</w:t>
      </w:r>
      <w:r w:rsidR="00AC1536">
        <w:t xml:space="preserve">. </w:t>
      </w:r>
      <w:r w:rsidR="006F2038">
        <w:t>P</w:t>
      </w:r>
      <w:r w:rsidR="006F2038" w:rsidRPr="00A66E03">
        <w:t>rogramme team</w:t>
      </w:r>
      <w:r w:rsidR="006F2038">
        <w:t>s</w:t>
      </w:r>
      <w:r w:rsidR="006F2038" w:rsidRPr="00A66E03">
        <w:t xml:space="preserve"> arrange for </w:t>
      </w:r>
      <w:r w:rsidR="006F2038">
        <w:t xml:space="preserve">external examiners </w:t>
      </w:r>
      <w:r w:rsidR="006F2038" w:rsidRPr="00A66E03">
        <w:t>to receive or view students’ work in good time before</w:t>
      </w:r>
      <w:r w:rsidR="006F2038">
        <w:t xml:space="preserve"> assessment boards</w:t>
      </w:r>
      <w:r w:rsidR="006F2038" w:rsidRPr="00A66E03">
        <w:t>.</w:t>
      </w:r>
      <w:r w:rsidR="006F2038">
        <w:t xml:space="preserve"> </w:t>
      </w:r>
      <w:r w:rsidRPr="00B220EF">
        <w:t xml:space="preserve">External examiners are provided with, or </w:t>
      </w:r>
      <w:r w:rsidR="001F1F0E">
        <w:t>given</w:t>
      </w:r>
      <w:r w:rsidRPr="00B220EF">
        <w:t xml:space="preserve"> access to</w:t>
      </w:r>
      <w:r w:rsidR="00562F79">
        <w:rPr>
          <w:rStyle w:val="FootnoteReference"/>
        </w:rPr>
        <w:footnoteReference w:id="42"/>
      </w:r>
      <w:r w:rsidRPr="00B220EF">
        <w:t xml:space="preserve">, </w:t>
      </w:r>
      <w:r w:rsidR="00AC1536" w:rsidRPr="00B220EF">
        <w:t>all</w:t>
      </w:r>
      <w:r w:rsidRPr="00B220EF">
        <w:t xml:space="preserve"> the internally</w:t>
      </w:r>
      <w:r w:rsidR="00CA51DB">
        <w:t xml:space="preserve"> </w:t>
      </w:r>
      <w:r w:rsidRPr="00B220EF">
        <w:t>moderated work</w:t>
      </w:r>
      <w:r w:rsidR="001F1F0E">
        <w:rPr>
          <w:rStyle w:val="FootnoteReference"/>
        </w:rPr>
        <w:footnoteReference w:id="43"/>
      </w:r>
      <w:r w:rsidR="001F1F0E" w:rsidRPr="00B220EF">
        <w:t xml:space="preserve"> </w:t>
      </w:r>
      <w:r w:rsidRPr="00B220EF">
        <w:t>from each module</w:t>
      </w:r>
      <w:r w:rsidR="001F1F0E">
        <w:t xml:space="preserve"> </w:t>
      </w:r>
      <w:r w:rsidRPr="00B220EF">
        <w:t xml:space="preserve">as the basis </w:t>
      </w:r>
      <w:r w:rsidR="001F1F0E">
        <w:t>for</w:t>
      </w:r>
      <w:r w:rsidRPr="00B220EF">
        <w:t xml:space="preserve"> conduct</w:t>
      </w:r>
      <w:r w:rsidR="001F1F0E">
        <w:t>ing</w:t>
      </w:r>
      <w:r w:rsidRPr="00B220EF">
        <w:t xml:space="preserve"> their own sampling sufficient to establish that, in their judgement:</w:t>
      </w:r>
    </w:p>
    <w:p w14:paraId="4564D85C" w14:textId="1A5FE560" w:rsidR="00F97DC9" w:rsidRPr="00F97DC9" w:rsidRDefault="00F97DC9" w:rsidP="00AC1536">
      <w:pPr>
        <w:pStyle w:val="ListParagraph"/>
        <w:numPr>
          <w:ilvl w:val="0"/>
          <w:numId w:val="25"/>
        </w:numPr>
        <w:jc w:val="both"/>
      </w:pPr>
      <w:r w:rsidRPr="00F97DC9">
        <w:rPr>
          <w:b/>
        </w:rPr>
        <w:t>Internal moderation, and by extension first marking</w:t>
      </w:r>
      <w:r w:rsidR="00AC1536">
        <w:rPr>
          <w:b/>
        </w:rPr>
        <w:t>,</w:t>
      </w:r>
      <w:r w:rsidRPr="00F97DC9">
        <w:rPr>
          <w:b/>
        </w:rPr>
        <w:t xml:space="preserve"> </w:t>
      </w:r>
      <w:r w:rsidR="00CA51DB">
        <w:rPr>
          <w:b/>
        </w:rPr>
        <w:t>have been</w:t>
      </w:r>
      <w:r w:rsidRPr="00F97DC9">
        <w:rPr>
          <w:b/>
        </w:rPr>
        <w:t xml:space="preserve"> broadly effective and resulted in fair assessment decisions in line with </w:t>
      </w:r>
      <w:r w:rsidR="00CA51DB">
        <w:rPr>
          <w:b/>
        </w:rPr>
        <w:t xml:space="preserve">the </w:t>
      </w:r>
      <w:r w:rsidRPr="00F97DC9">
        <w:rPr>
          <w:b/>
        </w:rPr>
        <w:t>published marking criteria</w:t>
      </w:r>
      <w:r w:rsidRPr="00F97DC9">
        <w:t xml:space="preserve"> – other than at the boundaries of grade classifications, a difference of opinion </w:t>
      </w:r>
      <w:r w:rsidR="006F2038">
        <w:t>between</w:t>
      </w:r>
      <w:r w:rsidRPr="00F97DC9">
        <w:t xml:space="preserve"> internal markers</w:t>
      </w:r>
      <w:r w:rsidR="006F2038">
        <w:t xml:space="preserve"> and</w:t>
      </w:r>
      <w:r w:rsidRPr="00F97DC9">
        <w:t xml:space="preserve"> moderators of </w:t>
      </w:r>
      <w:r w:rsidR="006F2038">
        <w:t>+/-</w:t>
      </w:r>
      <w:r w:rsidRPr="00F97DC9">
        <w:t>2 marks will not normally warrant specific comment.</w:t>
      </w:r>
    </w:p>
    <w:p w14:paraId="48CD0C6D" w14:textId="64F3B5CD" w:rsidR="00F97DC9" w:rsidRPr="00F97DC9" w:rsidRDefault="00F97DC9" w:rsidP="00AC1536">
      <w:pPr>
        <w:pStyle w:val="ListParagraph"/>
        <w:numPr>
          <w:ilvl w:val="0"/>
          <w:numId w:val="25"/>
        </w:numPr>
        <w:jc w:val="both"/>
        <w:rPr>
          <w:b/>
        </w:rPr>
      </w:pPr>
      <w:r w:rsidRPr="00F97DC9">
        <w:rPr>
          <w:b/>
        </w:rPr>
        <w:t>Assessment feedback is of high quality</w:t>
      </w:r>
      <w:r w:rsidR="00AC1536">
        <w:rPr>
          <w:b/>
        </w:rPr>
        <w:t xml:space="preserve"> and </w:t>
      </w:r>
      <w:r w:rsidRPr="00F97DC9">
        <w:rPr>
          <w:b/>
        </w:rPr>
        <w:t>developmental</w:t>
      </w:r>
      <w:r w:rsidR="00AC1536">
        <w:rPr>
          <w:b/>
        </w:rPr>
        <w:t>,</w:t>
      </w:r>
      <w:r w:rsidRPr="00F97DC9">
        <w:rPr>
          <w:b/>
        </w:rPr>
        <w:t xml:space="preserve"> and </w:t>
      </w:r>
      <w:r w:rsidR="00CA51DB">
        <w:rPr>
          <w:b/>
        </w:rPr>
        <w:t>a</w:t>
      </w:r>
      <w:r w:rsidRPr="00F97DC9">
        <w:rPr>
          <w:b/>
        </w:rPr>
        <w:t>ligned with Intended Learning Outcomes</w:t>
      </w:r>
      <w:r w:rsidR="00AC1536">
        <w:rPr>
          <w:b/>
        </w:rPr>
        <w:t>,</w:t>
      </w:r>
      <w:r w:rsidRPr="00F97DC9">
        <w:rPr>
          <w:b/>
        </w:rPr>
        <w:t xml:space="preserve"> marking criteria and the grades </w:t>
      </w:r>
      <w:r w:rsidR="001F1F0E">
        <w:rPr>
          <w:b/>
        </w:rPr>
        <w:t>awarded to</w:t>
      </w:r>
      <w:r w:rsidRPr="00F97DC9">
        <w:rPr>
          <w:b/>
        </w:rPr>
        <w:t xml:space="preserve"> students.</w:t>
      </w:r>
    </w:p>
    <w:p w14:paraId="7D62849D" w14:textId="047FF83E" w:rsidR="00A66E03" w:rsidRPr="00A66E03" w:rsidRDefault="00A66E03" w:rsidP="00AC1536">
      <w:pPr>
        <w:jc w:val="both"/>
      </w:pPr>
      <w:r w:rsidRPr="006F2038">
        <w:rPr>
          <w:b/>
          <w:bCs/>
        </w:rPr>
        <w:t xml:space="preserve">Any work likely to be the subject of discussion at a </w:t>
      </w:r>
      <w:r w:rsidR="00D57186">
        <w:rPr>
          <w:b/>
          <w:bCs/>
        </w:rPr>
        <w:t>Module Assessment Board</w:t>
      </w:r>
      <w:r w:rsidRPr="00A66E03">
        <w:t xml:space="preserve"> should be </w:t>
      </w:r>
      <w:r w:rsidR="001F1F0E">
        <w:t xml:space="preserve">made available </w:t>
      </w:r>
      <w:r w:rsidRPr="00A66E03">
        <w:t>to the examiner in advance of the board having already been assessed by no fewer than two internal markers. Where there is a significant difference of judgement between first and second markers it is expected that programme teams should have taken steps to resolve this internally</w:t>
      </w:r>
      <w:r w:rsidR="00AC1536">
        <w:t>,</w:t>
      </w:r>
      <w:r w:rsidRPr="00A66E03">
        <w:t xml:space="preserve"> </w:t>
      </w:r>
      <w:r w:rsidR="00F02E61">
        <w:t xml:space="preserve">although </w:t>
      </w:r>
      <w:r w:rsidRPr="00A66E03">
        <w:t xml:space="preserve">examiners may request additional samples where </w:t>
      </w:r>
      <w:r w:rsidR="001F1F0E">
        <w:t>any inconsistency</w:t>
      </w:r>
      <w:r w:rsidRPr="00A66E03">
        <w:t xml:space="preserve"> persists.</w:t>
      </w:r>
    </w:p>
    <w:p w14:paraId="47868521" w14:textId="636DED86" w:rsidR="00A66E03" w:rsidRPr="00A66E03" w:rsidRDefault="00A66E03" w:rsidP="00AC1536">
      <w:pPr>
        <w:jc w:val="both"/>
      </w:pPr>
      <w:r w:rsidRPr="00A66E03">
        <w:t xml:space="preserve">External examiners of practice-based programmes, typically in Initial Teacher Education </w:t>
      </w:r>
      <w:r w:rsidR="00177073">
        <w:t>are</w:t>
      </w:r>
      <w:r w:rsidRPr="00A66E03">
        <w:t xml:space="preserve"> requested to visit placement settings (schools) to meet with students and mentors for which additional time is allocated. Otherwise, there is no general expectation that examiners meet with students</w:t>
      </w:r>
      <w:r w:rsidR="00AC1536">
        <w:t>,</w:t>
      </w:r>
      <w:r w:rsidRPr="00A66E03">
        <w:t xml:space="preserve"> although they may do so on specific request to the </w:t>
      </w:r>
      <w:r w:rsidR="00177073">
        <w:t>Programme Leader</w:t>
      </w:r>
      <w:r w:rsidRPr="00A66E03">
        <w:t>. Faculties determine</w:t>
      </w:r>
      <w:r w:rsidR="00422AEF">
        <w:t>, and ensure examiners are aware of,</w:t>
      </w:r>
      <w:r w:rsidRPr="00A66E03">
        <w:t xml:space="preserve"> the arrangements by which </w:t>
      </w:r>
      <w:r w:rsidR="00422AEF">
        <w:t>they</w:t>
      </w:r>
      <w:r w:rsidRPr="00A66E03">
        <w:t xml:space="preserve"> </w:t>
      </w:r>
      <w:r w:rsidR="00422AEF">
        <w:t xml:space="preserve">may </w:t>
      </w:r>
      <w:r w:rsidRPr="00A66E03">
        <w:t>engage directly with students</w:t>
      </w:r>
      <w:r w:rsidR="00422AEF">
        <w:t xml:space="preserve">. Such arrangements are formally documented in </w:t>
      </w:r>
      <w:r w:rsidR="00422AEF" w:rsidRPr="00AC1536">
        <w:t>Faculty Academic Quality Statement</w:t>
      </w:r>
      <w:r w:rsidR="00422AEF">
        <w:t>s</w:t>
      </w:r>
      <w:r w:rsidR="00422AEF">
        <w:rPr>
          <w:rStyle w:val="FootnoteReference"/>
        </w:rPr>
        <w:footnoteReference w:id="44"/>
      </w:r>
      <w:r w:rsidR="00422AEF" w:rsidRPr="00A66E03">
        <w:t xml:space="preserve"> </w:t>
      </w:r>
      <w:r w:rsidR="00422AEF">
        <w:t xml:space="preserve">and communicated formally to the </w:t>
      </w:r>
      <w:r w:rsidRPr="00A66E03">
        <w:t>EESC</w:t>
      </w:r>
      <w:r w:rsidR="00422AEF">
        <w:t>.</w:t>
      </w:r>
    </w:p>
    <w:p w14:paraId="0EAE13D7" w14:textId="77777777" w:rsidR="00A66E03" w:rsidRPr="00A66E03" w:rsidRDefault="00A66E03" w:rsidP="00A66E03">
      <w:pPr>
        <w:pStyle w:val="Heading2"/>
      </w:pPr>
      <w:bookmarkStart w:id="44" w:name="_Toc34401601"/>
      <w:bookmarkStart w:id="45" w:name="_Toc89161780"/>
      <w:r w:rsidRPr="00A66E03">
        <w:lastRenderedPageBreak/>
        <w:t>Secondary role of External Examiners</w:t>
      </w:r>
      <w:bookmarkEnd w:id="44"/>
      <w:bookmarkEnd w:id="45"/>
    </w:p>
    <w:p w14:paraId="473BD235" w14:textId="0B3E1AEE" w:rsidR="00A66E03" w:rsidRPr="00A66E03" w:rsidRDefault="00A66E03" w:rsidP="00A66E03">
      <w:r w:rsidRPr="00A66E03">
        <w:t>In addition to their principal duties</w:t>
      </w:r>
      <w:r w:rsidR="00422AEF">
        <w:t>,</w:t>
      </w:r>
      <w:r w:rsidRPr="00A66E03">
        <w:t xml:space="preserve"> external examiners are also requested to assist programme teams and the University by being available to:</w:t>
      </w:r>
    </w:p>
    <w:p w14:paraId="5CFC1072" w14:textId="139B8C84" w:rsidR="00A66E03" w:rsidRPr="00A66E03" w:rsidRDefault="00A66E03" w:rsidP="00A66E03">
      <w:pPr>
        <w:pStyle w:val="ListParagraph"/>
        <w:numPr>
          <w:ilvl w:val="0"/>
          <w:numId w:val="27"/>
        </w:numPr>
      </w:pPr>
      <w:r w:rsidRPr="00A66E03">
        <w:t>Comment on the continuing currency of programme</w:t>
      </w:r>
      <w:r w:rsidR="00F82937">
        <w:t>s</w:t>
      </w:r>
      <w:r w:rsidRPr="00A66E03">
        <w:t xml:space="preserve"> and modules and any proposed modifications to them</w:t>
      </w:r>
      <w:r>
        <w:rPr>
          <w:rStyle w:val="FootnoteReference"/>
        </w:rPr>
        <w:footnoteReference w:id="45"/>
      </w:r>
      <w:r w:rsidRPr="00A66E03">
        <w:t>.</w:t>
      </w:r>
    </w:p>
    <w:p w14:paraId="4D0FD369" w14:textId="0D253C19" w:rsidR="00A66E03" w:rsidRDefault="00A66E03" w:rsidP="00A66E03">
      <w:pPr>
        <w:pStyle w:val="ListParagraph"/>
        <w:numPr>
          <w:ilvl w:val="0"/>
          <w:numId w:val="27"/>
        </w:numPr>
      </w:pPr>
      <w:r w:rsidRPr="00A66E03">
        <w:t>Be consulted about any proposed changes</w:t>
      </w:r>
      <w:r w:rsidR="00422AEF">
        <w:t xml:space="preserve"> </w:t>
      </w:r>
      <w:r w:rsidRPr="00A66E03">
        <w:t>to assessment strategie</w:t>
      </w:r>
      <w:r w:rsidR="00422AEF">
        <w:t>s, programme structures (</w:t>
      </w:r>
      <w:r w:rsidR="00660681">
        <w:t xml:space="preserve">e.g., the addition of new modules and other programme </w:t>
      </w:r>
      <w:r w:rsidR="00422AEF">
        <w:t>modifications</w:t>
      </w:r>
      <w:r w:rsidR="00422AEF">
        <w:rPr>
          <w:rStyle w:val="FootnoteReference"/>
        </w:rPr>
        <w:footnoteReference w:id="46"/>
      </w:r>
      <w:r w:rsidR="00422AEF">
        <w:t>)</w:t>
      </w:r>
      <w:r w:rsidRPr="00A66E03">
        <w:t xml:space="preserve"> or</w:t>
      </w:r>
      <w:r w:rsidR="00422AEF">
        <w:t xml:space="preserve"> the</w:t>
      </w:r>
      <w:r w:rsidRPr="00A66E03">
        <w:t xml:space="preserve"> regulations for the provision </w:t>
      </w:r>
      <w:r w:rsidR="00F82937">
        <w:t>to which they are assigned</w:t>
      </w:r>
      <w:r w:rsidRPr="00A66E03">
        <w:t>.</w:t>
      </w:r>
    </w:p>
    <w:p w14:paraId="07758607" w14:textId="3FCDF4DC" w:rsidR="00964035" w:rsidRDefault="00A66E03" w:rsidP="000034EA">
      <w:pPr>
        <w:pStyle w:val="ListParagraph"/>
        <w:numPr>
          <w:ilvl w:val="0"/>
          <w:numId w:val="27"/>
        </w:numPr>
      </w:pPr>
      <w:r w:rsidRPr="00A66E03">
        <w:t xml:space="preserve">Review curriculum mapping for any proposed </w:t>
      </w:r>
      <w:r w:rsidR="00F82937">
        <w:t xml:space="preserve">external </w:t>
      </w:r>
      <w:r w:rsidRPr="00A66E03">
        <w:t>articulation route</w:t>
      </w:r>
      <w:r w:rsidR="00F82937">
        <w:rPr>
          <w:rStyle w:val="FootnoteReference"/>
        </w:rPr>
        <w:footnoteReference w:id="47"/>
      </w:r>
      <w:r w:rsidRPr="00A66E03">
        <w:t xml:space="preserve"> </w:t>
      </w:r>
      <w:r w:rsidR="0072220A">
        <w:t xml:space="preserve">delivering advanced entry </w:t>
      </w:r>
      <w:r w:rsidRPr="00A66E03">
        <w:t xml:space="preserve">to the </w:t>
      </w:r>
      <w:r w:rsidR="00F02E61">
        <w:t>programme</w:t>
      </w:r>
      <w:r w:rsidR="00BF5768">
        <w:t>/s</w:t>
      </w:r>
      <w:r w:rsidR="00F02E61">
        <w:t xml:space="preserve"> within their remit</w:t>
      </w:r>
      <w:r w:rsidRPr="00A66E03">
        <w:t>.</w:t>
      </w:r>
    </w:p>
    <w:p w14:paraId="5B81D5D8" w14:textId="36D66D5E" w:rsidR="00964035" w:rsidRDefault="009204A1" w:rsidP="00964035">
      <w:pPr>
        <w:pStyle w:val="Heading2"/>
      </w:pPr>
      <w:bookmarkStart w:id="46" w:name="_Toc89161781"/>
      <w:r>
        <w:t xml:space="preserve">The Role of </w:t>
      </w:r>
      <w:r w:rsidR="00964035">
        <w:t>Chief External Examiners</w:t>
      </w:r>
      <w:bookmarkEnd w:id="46"/>
    </w:p>
    <w:p w14:paraId="0D8EEBCC" w14:textId="383BC24B" w:rsidR="00334D03" w:rsidRDefault="0091320A" w:rsidP="00334D03">
      <w:pPr>
        <w:jc w:val="both"/>
      </w:pPr>
      <w:bookmarkStart w:id="47" w:name="_Hlk86851385"/>
      <w:r>
        <w:t>Th</w:t>
      </w:r>
      <w:r w:rsidRPr="00BB46A8">
        <w:t xml:space="preserve">e Chief External Examiner is responsible for maintaining oversight of </w:t>
      </w:r>
      <w:r w:rsidR="00334D03">
        <w:t>the</w:t>
      </w:r>
      <w:r w:rsidRPr="00BB46A8">
        <w:t xml:space="preserve"> operation of a group of</w:t>
      </w:r>
      <w:r>
        <w:t xml:space="preserve"> </w:t>
      </w:r>
      <w:r w:rsidR="00334D03" w:rsidRPr="00964035">
        <w:t>cognate or related awards,</w:t>
      </w:r>
      <w:r w:rsidRPr="00BB46A8">
        <w:t xml:space="preserve"> and alerting the University to any themes, risks, or concerns across th</w:t>
      </w:r>
      <w:r w:rsidR="00334D03">
        <w:t>e</w:t>
      </w:r>
      <w:r w:rsidRPr="00BB46A8">
        <w:t xml:space="preserve"> suite of academic provision</w:t>
      </w:r>
      <w:r w:rsidR="00334D03">
        <w:t xml:space="preserve">. </w:t>
      </w:r>
      <w:bookmarkEnd w:id="47"/>
      <w:r w:rsidR="00334D03">
        <w:t>For example, the Universit</w:t>
      </w:r>
      <w:r w:rsidR="00334D03" w:rsidRPr="00964035">
        <w:t xml:space="preserve">y </w:t>
      </w:r>
      <w:r w:rsidR="00334D03">
        <w:t xml:space="preserve">currently </w:t>
      </w:r>
      <w:r w:rsidR="00334D03" w:rsidRPr="00964035">
        <w:t xml:space="preserve">utilises a </w:t>
      </w:r>
      <w:r w:rsidR="00334D03">
        <w:t>c</w:t>
      </w:r>
      <w:r w:rsidR="00334D03" w:rsidRPr="00964035">
        <w:t xml:space="preserve">hief </w:t>
      </w:r>
      <w:r w:rsidR="00334D03">
        <w:t>e</w:t>
      </w:r>
      <w:r w:rsidR="00334D03" w:rsidRPr="00964035">
        <w:t xml:space="preserve">xternal </w:t>
      </w:r>
      <w:r w:rsidR="00334D03">
        <w:t>e</w:t>
      </w:r>
      <w:r w:rsidR="00334D03" w:rsidRPr="00964035">
        <w:t xml:space="preserve">xaminer </w:t>
      </w:r>
      <w:r w:rsidR="00334D03">
        <w:t xml:space="preserve">to </w:t>
      </w:r>
      <w:r w:rsidR="00334D03" w:rsidRPr="00964035">
        <w:t>coordinate the moderation activities of profession and field-specific examiners for its Integrated Masters in Nursing and Social Work</w:t>
      </w:r>
      <w:r w:rsidR="00334D03">
        <w:t>,</w:t>
      </w:r>
      <w:r w:rsidR="00334D03" w:rsidRPr="00964035">
        <w:t xml:space="preserve"> as agreed with the relevant professional bodies.</w:t>
      </w:r>
      <w:r w:rsidR="00334D03">
        <w:t xml:space="preserve"> </w:t>
      </w:r>
    </w:p>
    <w:p w14:paraId="0A243009" w14:textId="3E10F994" w:rsidR="00964035" w:rsidRPr="00BB46A8" w:rsidRDefault="0091320A" w:rsidP="000034EA">
      <w:pPr>
        <w:jc w:val="both"/>
      </w:pPr>
      <w:r w:rsidRPr="00BB46A8">
        <w:t>In addition to their role and standard responsibilities as an external examiner</w:t>
      </w:r>
      <w:r w:rsidR="00334D03">
        <w:t>, t</w:t>
      </w:r>
      <w:r w:rsidR="00964035" w:rsidRPr="00BB46A8">
        <w:t>he Chief External will:</w:t>
      </w:r>
    </w:p>
    <w:p w14:paraId="29536F1C" w14:textId="241A31B0" w:rsidR="00964035" w:rsidRDefault="00964035" w:rsidP="000034EA">
      <w:pPr>
        <w:pStyle w:val="ListParagraph"/>
        <w:numPr>
          <w:ilvl w:val="0"/>
          <w:numId w:val="35"/>
        </w:numPr>
        <w:spacing w:after="0" w:line="259" w:lineRule="auto"/>
        <w:ind w:left="714" w:hanging="357"/>
        <w:contextualSpacing w:val="0"/>
        <w:jc w:val="both"/>
      </w:pPr>
      <w:r w:rsidRPr="00BB46A8">
        <w:t>Liais</w:t>
      </w:r>
      <w:r w:rsidR="00334D03">
        <w:t>e</w:t>
      </w:r>
      <w:r w:rsidRPr="00BB46A8">
        <w:t xml:space="preserve"> with all other external examiners responsible for an aspect of the designated provision. </w:t>
      </w:r>
    </w:p>
    <w:p w14:paraId="00DA549A" w14:textId="3649696F" w:rsidR="00964035" w:rsidRPr="00BB46A8" w:rsidRDefault="00964035" w:rsidP="000034EA">
      <w:pPr>
        <w:pStyle w:val="ListParagraph"/>
        <w:numPr>
          <w:ilvl w:val="0"/>
          <w:numId w:val="35"/>
        </w:numPr>
        <w:spacing w:after="0" w:line="259" w:lineRule="auto"/>
        <w:ind w:left="714" w:hanging="357"/>
        <w:contextualSpacing w:val="0"/>
        <w:jc w:val="both"/>
      </w:pPr>
      <w:r w:rsidRPr="00F529AF">
        <w:rPr>
          <w:rFonts w:cs="Calibri"/>
          <w:color w:val="000000"/>
        </w:rPr>
        <w:t xml:space="preserve">Comment on the conduct of </w:t>
      </w:r>
      <w:r w:rsidR="00334D03" w:rsidRPr="00334D03">
        <w:rPr>
          <w:rFonts w:cs="Calibri"/>
          <w:color w:val="000000"/>
        </w:rPr>
        <w:t xml:space="preserve">progression and award boards </w:t>
      </w:r>
      <w:r w:rsidRPr="00F529AF">
        <w:rPr>
          <w:rFonts w:cs="Calibri"/>
          <w:color w:val="000000"/>
        </w:rPr>
        <w:t>and institutional procedures</w:t>
      </w:r>
      <w:r w:rsidR="00334D03">
        <w:rPr>
          <w:rFonts w:cs="Calibri"/>
          <w:color w:val="000000"/>
        </w:rPr>
        <w:t>,</w:t>
      </w:r>
      <w:r w:rsidRPr="00F529AF">
        <w:rPr>
          <w:rFonts w:cs="Calibri"/>
          <w:color w:val="000000"/>
        </w:rPr>
        <w:t xml:space="preserve"> the extent to which </w:t>
      </w:r>
      <w:r w:rsidR="00334D03">
        <w:rPr>
          <w:rFonts w:cs="Calibri"/>
          <w:color w:val="000000"/>
        </w:rPr>
        <w:t>the Academic R</w:t>
      </w:r>
      <w:r w:rsidRPr="00F529AF">
        <w:rPr>
          <w:rFonts w:cs="Calibri"/>
          <w:color w:val="000000"/>
        </w:rPr>
        <w:t xml:space="preserve">egulations </w:t>
      </w:r>
      <w:r w:rsidR="00334D03">
        <w:rPr>
          <w:rFonts w:cs="Calibri"/>
          <w:color w:val="000000"/>
        </w:rPr>
        <w:t>have been</w:t>
      </w:r>
      <w:r w:rsidRPr="00F529AF">
        <w:rPr>
          <w:rFonts w:cs="Calibri"/>
          <w:color w:val="000000"/>
        </w:rPr>
        <w:t xml:space="preserve"> applied fairly and consistently across the provision they are responsible for </w:t>
      </w:r>
      <w:r w:rsidR="000034EA">
        <w:rPr>
          <w:rFonts w:cs="Calibri"/>
          <w:color w:val="000000"/>
        </w:rPr>
        <w:t>and</w:t>
      </w:r>
      <w:r w:rsidRPr="00F529AF">
        <w:rPr>
          <w:rFonts w:cs="Calibri"/>
          <w:color w:val="000000"/>
        </w:rPr>
        <w:t xml:space="preserve"> whether discretion </w:t>
      </w:r>
      <w:r w:rsidR="000034EA">
        <w:rPr>
          <w:rFonts w:cs="Calibri"/>
          <w:color w:val="000000"/>
        </w:rPr>
        <w:t>was</w:t>
      </w:r>
      <w:r w:rsidRPr="00F529AF">
        <w:rPr>
          <w:rFonts w:cs="Calibri"/>
          <w:color w:val="000000"/>
        </w:rPr>
        <w:t xml:space="preserve"> used appropriately.</w:t>
      </w:r>
    </w:p>
    <w:p w14:paraId="52EC39BD" w14:textId="44E1B832" w:rsidR="00964035" w:rsidRDefault="00964035" w:rsidP="000034EA">
      <w:pPr>
        <w:pStyle w:val="ListParagraph"/>
        <w:numPr>
          <w:ilvl w:val="0"/>
          <w:numId w:val="35"/>
        </w:numPr>
        <w:spacing w:after="0" w:line="259" w:lineRule="auto"/>
        <w:ind w:left="714" w:hanging="357"/>
        <w:contextualSpacing w:val="0"/>
        <w:jc w:val="both"/>
      </w:pPr>
      <w:r>
        <w:t>Comment on the above in their annual report</w:t>
      </w:r>
      <w:r w:rsidR="000034EA">
        <w:t>;</w:t>
      </w:r>
      <w:r>
        <w:t xml:space="preserve"> i</w:t>
      </w:r>
      <w:r w:rsidRPr="00BB46A8">
        <w:t xml:space="preserve">n addition to </w:t>
      </w:r>
      <w:r w:rsidR="000034EA">
        <w:t>making comments and confirming academic standards for</w:t>
      </w:r>
      <w:r w:rsidRPr="00BB46A8">
        <w:t xml:space="preserve"> programme/modules/theme</w:t>
      </w:r>
      <w:r w:rsidR="000034EA">
        <w:t>s or years of study</w:t>
      </w:r>
      <w:r w:rsidRPr="00BB46A8">
        <w:t xml:space="preserve"> that they </w:t>
      </w:r>
      <w:r w:rsidR="000034EA">
        <w:t>may</w:t>
      </w:r>
      <w:r w:rsidRPr="00BB46A8">
        <w:t xml:space="preserve"> </w:t>
      </w:r>
      <w:r w:rsidRPr="00F529AF">
        <w:rPr>
          <w:rFonts w:cs="Calibri"/>
          <w:color w:val="000000"/>
        </w:rPr>
        <w:t>ordinarily</w:t>
      </w:r>
      <w:r w:rsidR="000034EA">
        <w:rPr>
          <w:rFonts w:cs="Calibri"/>
          <w:color w:val="000000"/>
        </w:rPr>
        <w:t xml:space="preserve"> be</w:t>
      </w:r>
      <w:r w:rsidRPr="00BB46A8">
        <w:t xml:space="preserve"> responsible.</w:t>
      </w:r>
      <w:r>
        <w:rPr>
          <w:rStyle w:val="FootnoteReference"/>
        </w:rPr>
        <w:footnoteReference w:id="48"/>
      </w:r>
    </w:p>
    <w:p w14:paraId="06D907C4" w14:textId="4B9ED740" w:rsidR="000034EA" w:rsidRDefault="00964035" w:rsidP="000034EA">
      <w:pPr>
        <w:pStyle w:val="ListParagraph"/>
        <w:numPr>
          <w:ilvl w:val="0"/>
          <w:numId w:val="35"/>
        </w:numPr>
        <w:spacing w:after="160" w:line="259" w:lineRule="auto"/>
        <w:jc w:val="both"/>
      </w:pPr>
      <w:r>
        <w:t xml:space="preserve">Where appropriate, </w:t>
      </w:r>
      <w:r w:rsidR="000034EA" w:rsidRPr="000034EA">
        <w:t xml:space="preserve">attend re-assessment boards to oversee the application of the Academic Regulations </w:t>
      </w:r>
      <w:r>
        <w:t xml:space="preserve">on behalf of the </w:t>
      </w:r>
      <w:r w:rsidR="000034EA" w:rsidRPr="00964035">
        <w:t>subject-based externals</w:t>
      </w:r>
      <w:r>
        <w:t xml:space="preserve">. </w:t>
      </w:r>
      <w:bookmarkStart w:id="48" w:name="‘Edge_Hill_University_External_Examiners"/>
      <w:bookmarkStart w:id="49" w:name="_Toc34401602"/>
      <w:bookmarkEnd w:id="48"/>
    </w:p>
    <w:p w14:paraId="27B49023" w14:textId="77777777" w:rsidR="000034EA" w:rsidRDefault="000034EA" w:rsidP="000034EA">
      <w:pPr>
        <w:pStyle w:val="ListParagraph"/>
        <w:spacing w:after="160" w:line="259" w:lineRule="auto"/>
      </w:pPr>
    </w:p>
    <w:p w14:paraId="4DE0F87F" w14:textId="67998039" w:rsidR="00A66E03" w:rsidRPr="00A66E03" w:rsidRDefault="00A66E03" w:rsidP="00A66E03">
      <w:pPr>
        <w:pStyle w:val="Heading2"/>
      </w:pPr>
      <w:bookmarkStart w:id="50" w:name="_Toc89161782"/>
      <w:r w:rsidRPr="00A66E03">
        <w:lastRenderedPageBreak/>
        <w:t>Edge Hill University External Examiners Workload Model</w:t>
      </w:r>
      <w:bookmarkEnd w:id="49"/>
      <w:bookmarkEnd w:id="50"/>
    </w:p>
    <w:p w14:paraId="4AAA0690" w14:textId="2DF82041" w:rsidR="00A66E03" w:rsidRPr="00A66E03" w:rsidRDefault="000034EA" w:rsidP="00660681">
      <w:pPr>
        <w:contextualSpacing/>
        <w:jc w:val="both"/>
      </w:pPr>
      <w:r w:rsidRPr="00A66E03">
        <w:t>Except for</w:t>
      </w:r>
      <w:r w:rsidR="00A66E03" w:rsidRPr="00A66E03">
        <w:t xml:space="preserve"> annual report</w:t>
      </w:r>
      <w:r>
        <w:t>s,</w:t>
      </w:r>
      <w:r w:rsidR="00A66E03" w:rsidRPr="00A66E03">
        <w:t xml:space="preserve"> which </w:t>
      </w:r>
      <w:r>
        <w:t>are</w:t>
      </w:r>
      <w:r w:rsidR="00A66E03" w:rsidRPr="00A66E03">
        <w:t xml:space="preserve"> paid separately, all duties are paid at an hourly rate</w:t>
      </w:r>
      <w:r w:rsidR="00A66E03">
        <w:rPr>
          <w:rStyle w:val="FootnoteReference"/>
        </w:rPr>
        <w:footnoteReference w:id="49"/>
      </w:r>
      <w:r w:rsidR="00A66E03" w:rsidRPr="00A66E03">
        <w:t xml:space="preserve"> in accordance with the time allocations defined below. </w:t>
      </w:r>
      <w:r>
        <w:t>C</w:t>
      </w:r>
      <w:r w:rsidR="00A66E03" w:rsidRPr="00A66E03">
        <w:t xml:space="preserve">laims that exceed the time allocated for </w:t>
      </w:r>
      <w:r w:rsidR="00660681">
        <w:t>a specific</w:t>
      </w:r>
      <w:r w:rsidR="00A66E03" w:rsidRPr="00A66E03">
        <w:t xml:space="preserve"> activity</w:t>
      </w:r>
      <w:r>
        <w:t>,</w:t>
      </w:r>
      <w:r w:rsidR="00A66E03" w:rsidRPr="00A66E03">
        <w:t xml:space="preserve"> without</w:t>
      </w:r>
      <w:r w:rsidR="0072220A">
        <w:t xml:space="preserve"> the</w:t>
      </w:r>
      <w:r w:rsidR="00A66E03" w:rsidRPr="00A66E03">
        <w:t xml:space="preserve"> prior consent of the Director of </w:t>
      </w:r>
      <w:r w:rsidR="000B3AC2">
        <w:t>Governance and Assurance</w:t>
      </w:r>
      <w:r w:rsidR="00A66E03" w:rsidRPr="00A66E03">
        <w:t xml:space="preserve"> </w:t>
      </w:r>
      <w:r>
        <w:t xml:space="preserve">(or nominee), </w:t>
      </w:r>
      <w:r w:rsidR="00A66E03" w:rsidRPr="00A66E03">
        <w:t xml:space="preserve">will </w:t>
      </w:r>
      <w:r w:rsidR="0072220A">
        <w:t xml:space="preserve">usually </w:t>
      </w:r>
      <w:r w:rsidR="00A66E03" w:rsidRPr="00A66E03">
        <w:t>not be accepted.</w:t>
      </w:r>
    </w:p>
    <w:p w14:paraId="112C034D" w14:textId="77777777" w:rsidR="000034EA" w:rsidRDefault="000034EA" w:rsidP="00660681">
      <w:pPr>
        <w:contextualSpacing/>
        <w:jc w:val="both"/>
      </w:pPr>
    </w:p>
    <w:p w14:paraId="77CAA7C3" w14:textId="6DBD45CF" w:rsidR="003B77F9" w:rsidRDefault="00A66E03" w:rsidP="00660681">
      <w:pPr>
        <w:contextualSpacing/>
        <w:jc w:val="both"/>
      </w:pPr>
      <w:r w:rsidRPr="00A66E03">
        <w:t>Fees and expenses should normally be claimed within 30 days of any external examiner duties undertaken.</w:t>
      </w:r>
    </w:p>
    <w:p w14:paraId="64350019" w14:textId="77777777" w:rsidR="000034EA" w:rsidRDefault="000034EA" w:rsidP="00660681">
      <w:pPr>
        <w:contextualSpacing/>
        <w:jc w:val="both"/>
        <w:rPr>
          <w:i/>
        </w:rPr>
      </w:pPr>
    </w:p>
    <w:p w14:paraId="3492E1CC" w14:textId="6048CEDE" w:rsidR="00A66E03" w:rsidRPr="00660681" w:rsidRDefault="00A66E03" w:rsidP="00660681">
      <w:pPr>
        <w:contextualSpacing/>
        <w:jc w:val="both"/>
        <w:rPr>
          <w:b/>
          <w:bCs/>
          <w:iCs/>
        </w:rPr>
      </w:pPr>
      <w:r w:rsidRPr="00660681">
        <w:rPr>
          <w:b/>
          <w:bCs/>
          <w:iCs/>
        </w:rPr>
        <w:t>Annual Reports:</w:t>
      </w:r>
    </w:p>
    <w:p w14:paraId="01ED0FA0" w14:textId="094C6CEF" w:rsidR="00A66E03" w:rsidRPr="00A66E03" w:rsidRDefault="00A66E03" w:rsidP="00660681">
      <w:pPr>
        <w:pStyle w:val="ListParagraph"/>
        <w:numPr>
          <w:ilvl w:val="0"/>
          <w:numId w:val="28"/>
        </w:numPr>
        <w:ind w:left="714" w:hanging="357"/>
        <w:jc w:val="both"/>
      </w:pPr>
      <w:r w:rsidRPr="00A66E03">
        <w:t>Writing and submission of the annual report is allocated 7.5 hours. This includes all preparatory activity including the production of any interim or module reports completed during the academic session/</w:t>
      </w:r>
      <w:r w:rsidR="0072220A">
        <w:t xml:space="preserve"> </w:t>
      </w:r>
      <w:r>
        <w:t>y</w:t>
      </w:r>
      <w:r w:rsidRPr="00A66E03">
        <w:t>ear.</w:t>
      </w:r>
      <w:r w:rsidR="000B3AC2">
        <w:t xml:space="preserve"> Where an examiner is responsible for collaborative provision, they should complete a single report which compares the provision across each partner.</w:t>
      </w:r>
    </w:p>
    <w:p w14:paraId="4E89870F" w14:textId="77777777" w:rsidR="009C3C89" w:rsidRDefault="00A66E03" w:rsidP="009C3C89">
      <w:pPr>
        <w:rPr>
          <w:b/>
          <w:bCs/>
          <w:iCs/>
        </w:rPr>
      </w:pPr>
      <w:r w:rsidRPr="00660681">
        <w:rPr>
          <w:b/>
          <w:bCs/>
          <w:iCs/>
        </w:rPr>
        <w:t>Moderation:</w:t>
      </w:r>
    </w:p>
    <w:p w14:paraId="6421D606" w14:textId="3181759B" w:rsidR="009C3C89" w:rsidRPr="009C3C89" w:rsidRDefault="009C3C89" w:rsidP="009C3C89">
      <w:pPr>
        <w:pStyle w:val="ListParagraph"/>
        <w:numPr>
          <w:ilvl w:val="0"/>
          <w:numId w:val="28"/>
        </w:numPr>
      </w:pPr>
      <w:r w:rsidRPr="009C3C89">
        <w:t xml:space="preserve">External examiners are allocated 15 hours for moderation of assessed work per academic year. This allowance is based on the typical volume of moderation per external examiner which is confirmed by the External Examiners Sub-Committee at the point of engagement. </w:t>
      </w:r>
    </w:p>
    <w:p w14:paraId="011C9819" w14:textId="77777777" w:rsidR="009C3C89" w:rsidRPr="0007015E" w:rsidRDefault="009C3C89" w:rsidP="0007015E">
      <w:pPr>
        <w:pStyle w:val="ListParagraph"/>
        <w:numPr>
          <w:ilvl w:val="0"/>
          <w:numId w:val="28"/>
        </w:numPr>
        <w:rPr>
          <w:i/>
        </w:rPr>
      </w:pPr>
      <w:r w:rsidRPr="009C3C89">
        <w:t>If an external examiner accepts additional moderation responsibilities during their engagement which significantly increases their workload, then additional hours can be claimed for. If this is queried by the Head of Academic Governance and Quality Assurance, the department will need to provide evidence of this.</w:t>
      </w:r>
    </w:p>
    <w:p w14:paraId="0D5C4FE0" w14:textId="6B95EE63" w:rsidR="009C3C89" w:rsidRPr="0007015E" w:rsidRDefault="009C3C89" w:rsidP="0007015E">
      <w:pPr>
        <w:pStyle w:val="ListParagraph"/>
        <w:numPr>
          <w:ilvl w:val="0"/>
          <w:numId w:val="28"/>
        </w:numPr>
        <w:rPr>
          <w:i/>
        </w:rPr>
      </w:pPr>
      <w:r w:rsidRPr="009C3C89">
        <w:t>External examiners may claim hourly for “real-time” moderation activities e.g. live performances, Observed Structural Clinical Examinations and observed teaching practice in schools</w:t>
      </w:r>
      <w:r w:rsidRPr="0007015E">
        <w:rPr>
          <w:i/>
        </w:rPr>
        <w:t>.</w:t>
      </w:r>
    </w:p>
    <w:p w14:paraId="340BABBA" w14:textId="77777777" w:rsidR="009C3C89" w:rsidRPr="009C3C89" w:rsidRDefault="009C3C89" w:rsidP="009C3C89">
      <w:pPr>
        <w:rPr>
          <w:rFonts w:cs="Calibri"/>
          <w:i/>
          <w:szCs w:val="24"/>
        </w:rPr>
      </w:pPr>
      <w:r w:rsidRPr="009C3C89">
        <w:rPr>
          <w:rFonts w:cs="Calibri"/>
          <w:iCs/>
          <w:szCs w:val="24"/>
        </w:rPr>
        <w:t>Where a programme is non-modular, the programme team will review the moderation and assessment workload to ensure that it remains within the workload model</w:t>
      </w:r>
      <w:r w:rsidRPr="009C3C89">
        <w:rPr>
          <w:rFonts w:cs="Calibri"/>
          <w:i/>
          <w:szCs w:val="24"/>
        </w:rPr>
        <w:t>.</w:t>
      </w:r>
    </w:p>
    <w:p w14:paraId="7F93F806" w14:textId="03FE444E" w:rsidR="00A66E03" w:rsidRPr="00660681" w:rsidRDefault="00A66E03" w:rsidP="00660681">
      <w:pPr>
        <w:contextualSpacing/>
        <w:jc w:val="both"/>
        <w:rPr>
          <w:b/>
          <w:bCs/>
          <w:iCs/>
        </w:rPr>
      </w:pPr>
      <w:r w:rsidRPr="00660681">
        <w:rPr>
          <w:b/>
          <w:bCs/>
          <w:iCs/>
        </w:rPr>
        <w:t>Attendance at Assessment Boards and Induction activities:</w:t>
      </w:r>
    </w:p>
    <w:p w14:paraId="6A9EF204" w14:textId="77777777" w:rsidR="00A66E03" w:rsidRPr="00A66E03" w:rsidRDefault="00A66E03" w:rsidP="00660681">
      <w:pPr>
        <w:pStyle w:val="ListParagraph"/>
        <w:numPr>
          <w:ilvl w:val="0"/>
          <w:numId w:val="29"/>
        </w:numPr>
        <w:jc w:val="both"/>
      </w:pPr>
      <w:r w:rsidRPr="00A66E03">
        <w:t>Attendance at assessment and award boards may be claimed in hours dependent on the precise length of the activity.</w:t>
      </w:r>
    </w:p>
    <w:p w14:paraId="6EB77CC2" w14:textId="25A5B83B" w:rsidR="00A66E03" w:rsidRPr="00A66E03" w:rsidRDefault="00A66E03" w:rsidP="00660681">
      <w:pPr>
        <w:pStyle w:val="ListParagraph"/>
        <w:numPr>
          <w:ilvl w:val="0"/>
          <w:numId w:val="29"/>
        </w:numPr>
        <w:jc w:val="both"/>
      </w:pPr>
      <w:r w:rsidRPr="00A66E03">
        <w:t xml:space="preserve">Up to 7.5 hours may be claimed per academic </w:t>
      </w:r>
      <w:r w:rsidR="0072220A">
        <w:t xml:space="preserve">session/ </w:t>
      </w:r>
      <w:r w:rsidRPr="00A66E03">
        <w:t>year for attendance at the External Examiners’ Induction</w:t>
      </w:r>
      <w:r w:rsidR="0072220A">
        <w:t xml:space="preserve"> event</w:t>
      </w:r>
      <w:r w:rsidRPr="00A66E03">
        <w:t>.</w:t>
      </w:r>
    </w:p>
    <w:p w14:paraId="103A219B" w14:textId="77777777" w:rsidR="00A66E03" w:rsidRPr="00660681" w:rsidRDefault="00A66E03" w:rsidP="00660681">
      <w:pPr>
        <w:contextualSpacing/>
        <w:jc w:val="both"/>
        <w:rPr>
          <w:b/>
          <w:bCs/>
          <w:iCs/>
        </w:rPr>
      </w:pPr>
      <w:r w:rsidRPr="00660681">
        <w:rPr>
          <w:b/>
          <w:bCs/>
          <w:iCs/>
        </w:rPr>
        <w:t>Other duties:</w:t>
      </w:r>
    </w:p>
    <w:p w14:paraId="2127E5FE" w14:textId="1192D511" w:rsidR="00A66E03" w:rsidRPr="00A66E03" w:rsidRDefault="00A66E03" w:rsidP="00660681">
      <w:pPr>
        <w:pStyle w:val="ListParagraph"/>
        <w:numPr>
          <w:ilvl w:val="0"/>
          <w:numId w:val="30"/>
        </w:numPr>
        <w:jc w:val="both"/>
      </w:pPr>
      <w:r w:rsidRPr="00A66E03">
        <w:lastRenderedPageBreak/>
        <w:t xml:space="preserve">Up to 7.5 hours per academic </w:t>
      </w:r>
      <w:r w:rsidR="0072220A">
        <w:t xml:space="preserve">session/ </w:t>
      </w:r>
      <w:r w:rsidRPr="00A66E03">
        <w:t>year may be claimed for mentoring a new external examiner at the formal request of the University.</w:t>
      </w:r>
    </w:p>
    <w:p w14:paraId="12AEFAF9" w14:textId="33850A06" w:rsidR="00A66E03" w:rsidRPr="00A66E03" w:rsidRDefault="00A66E03" w:rsidP="00660681">
      <w:pPr>
        <w:pStyle w:val="ListParagraph"/>
        <w:numPr>
          <w:ilvl w:val="0"/>
          <w:numId w:val="30"/>
        </w:numPr>
        <w:jc w:val="both"/>
      </w:pPr>
      <w:r w:rsidRPr="00A66E03">
        <w:t xml:space="preserve">Up to 3.75 hours per academic </w:t>
      </w:r>
      <w:r w:rsidR="0072220A">
        <w:t xml:space="preserve">session/ </w:t>
      </w:r>
      <w:r w:rsidRPr="00A66E03">
        <w:t>year may be claimed for external verification of draft coursework briefs and examination papers contributing to a student’s final award, typically at FHEQ level 5 and above.</w:t>
      </w:r>
    </w:p>
    <w:p w14:paraId="5DDED0B0" w14:textId="1ABE2322" w:rsidR="00A66E03" w:rsidRPr="00A66E03" w:rsidRDefault="00A66E03" w:rsidP="00660681">
      <w:pPr>
        <w:pStyle w:val="ListParagraph"/>
        <w:numPr>
          <w:ilvl w:val="0"/>
          <w:numId w:val="30"/>
        </w:numPr>
        <w:jc w:val="both"/>
      </w:pPr>
      <w:r w:rsidRPr="00A66E03">
        <w:t xml:space="preserve">Up to 3.75 hours per academic </w:t>
      </w:r>
      <w:r w:rsidR="0072220A">
        <w:t xml:space="preserve">session/ </w:t>
      </w:r>
      <w:r w:rsidRPr="00A66E03">
        <w:t xml:space="preserve">year may be claimed for providing written comments on proposals </w:t>
      </w:r>
      <w:r w:rsidR="00ED31AA">
        <w:t>for new modules, or for module</w:t>
      </w:r>
      <w:r w:rsidR="0072220A">
        <w:t xml:space="preserve"> or</w:t>
      </w:r>
      <w:r w:rsidR="00760388">
        <w:t xml:space="preserve"> </w:t>
      </w:r>
      <w:r w:rsidRPr="00A66E03">
        <w:t>programme modifications.</w:t>
      </w:r>
    </w:p>
    <w:p w14:paraId="47F8CC8C" w14:textId="311C4F5A" w:rsidR="00A66E03" w:rsidRPr="00A66E03" w:rsidRDefault="00A66E03" w:rsidP="00E86526">
      <w:pPr>
        <w:pStyle w:val="Heading1"/>
      </w:pPr>
      <w:bookmarkStart w:id="51" w:name="3.__REPORTS"/>
      <w:bookmarkStart w:id="52" w:name="_Toc34401603"/>
      <w:bookmarkStart w:id="53" w:name="_Toc89161783"/>
      <w:bookmarkEnd w:id="51"/>
      <w:r w:rsidRPr="00A66E03">
        <w:t>REPORTS</w:t>
      </w:r>
      <w:bookmarkEnd w:id="52"/>
      <w:bookmarkEnd w:id="53"/>
    </w:p>
    <w:p w14:paraId="2ECC042E" w14:textId="7024A17C" w:rsidR="00A66E03" w:rsidRPr="00390C4C" w:rsidRDefault="00A66E03" w:rsidP="00B07AB8">
      <w:pPr>
        <w:contextualSpacing/>
        <w:jc w:val="both"/>
        <w:rPr>
          <w:rFonts w:cs="Arial"/>
          <w:szCs w:val="24"/>
        </w:rPr>
      </w:pPr>
      <w:r w:rsidRPr="00A66E03">
        <w:t xml:space="preserve">External examiners’ reports are an important source of direct evidence of academic standards, as well as indirect evidence of the quality of teaching, and </w:t>
      </w:r>
      <w:r w:rsidR="0052758B">
        <w:t>the</w:t>
      </w:r>
      <w:r w:rsidRPr="00A66E03">
        <w:t xml:space="preserve"> University gives full and serious consideration to them. External examiners complete an online annual report</w:t>
      </w:r>
      <w:r w:rsidR="00D710CA">
        <w:rPr>
          <w:rStyle w:val="FootnoteReference"/>
        </w:rPr>
        <w:footnoteReference w:id="50"/>
      </w:r>
      <w:r w:rsidRPr="00A66E03">
        <w:t xml:space="preserve"> on the provision for which they are responsible</w:t>
      </w:r>
      <w:r w:rsidR="0052758B">
        <w:t>.</w:t>
      </w:r>
      <w:r w:rsidRPr="00A66E03">
        <w:t xml:space="preserve"> </w:t>
      </w:r>
      <w:r w:rsidR="00390C4C">
        <w:rPr>
          <w:rFonts w:cs="Arial"/>
          <w:szCs w:val="24"/>
        </w:rPr>
        <w:t xml:space="preserve">Faculties </w:t>
      </w:r>
      <w:r w:rsidR="00556E89">
        <w:rPr>
          <w:rFonts w:cs="Arial"/>
          <w:szCs w:val="24"/>
        </w:rPr>
        <w:t xml:space="preserve">must </w:t>
      </w:r>
      <w:r w:rsidR="00390C4C">
        <w:rPr>
          <w:rFonts w:cs="Arial"/>
          <w:szCs w:val="24"/>
        </w:rPr>
        <w:t>ensure that new examiners receive their predecessor’s final report</w:t>
      </w:r>
      <w:r w:rsidR="00556E89">
        <w:rPr>
          <w:rFonts w:cs="Arial"/>
          <w:szCs w:val="24"/>
        </w:rPr>
        <w:t xml:space="preserve"> </w:t>
      </w:r>
      <w:r w:rsidR="00556E89" w:rsidRPr="00036D13">
        <w:rPr>
          <w:rFonts w:cs="Calibri"/>
          <w:szCs w:val="24"/>
        </w:rPr>
        <w:t xml:space="preserve">accompanied by the relevant departmental response </w:t>
      </w:r>
      <w:r w:rsidR="00390C4C" w:rsidRPr="00556E89">
        <w:rPr>
          <w:rFonts w:cs="Calibri"/>
          <w:szCs w:val="24"/>
        </w:rPr>
        <w:t xml:space="preserve">when </w:t>
      </w:r>
      <w:r w:rsidR="00390C4C">
        <w:rPr>
          <w:rFonts w:cs="Arial"/>
          <w:szCs w:val="24"/>
        </w:rPr>
        <w:t>commencing their term of office.</w:t>
      </w:r>
    </w:p>
    <w:p w14:paraId="67CB6037" w14:textId="77777777" w:rsidR="00B07AB8" w:rsidRDefault="00B07AB8" w:rsidP="00B07AB8">
      <w:pPr>
        <w:contextualSpacing/>
        <w:jc w:val="both"/>
      </w:pPr>
    </w:p>
    <w:p w14:paraId="21F9D23D" w14:textId="4EBFB984" w:rsidR="00B07AB8" w:rsidRPr="00036420" w:rsidRDefault="00B07AB8" w:rsidP="00B07AB8">
      <w:pPr>
        <w:contextualSpacing/>
        <w:jc w:val="both"/>
      </w:pPr>
      <w:r>
        <w:t xml:space="preserve">In their reports, examiners </w:t>
      </w:r>
      <w:r w:rsidRPr="00036420">
        <w:t>provid</w:t>
      </w:r>
      <w:r>
        <w:t>e</w:t>
      </w:r>
      <w:r w:rsidRPr="00036420">
        <w:t xml:space="preserve"> informative comment and recommendations on:</w:t>
      </w:r>
    </w:p>
    <w:p w14:paraId="08032B88" w14:textId="77777777" w:rsidR="00B07AB8" w:rsidRPr="00036420" w:rsidRDefault="00B07AB8" w:rsidP="00B07AB8">
      <w:pPr>
        <w:pStyle w:val="ListParagraph"/>
        <w:numPr>
          <w:ilvl w:val="0"/>
          <w:numId w:val="2"/>
        </w:numPr>
        <w:jc w:val="both"/>
      </w:pPr>
      <w:r w:rsidRPr="00036420">
        <w:t>Whether the University is maintaining the academic standards it has set</w:t>
      </w:r>
      <w:r>
        <w:rPr>
          <w:rStyle w:val="FootnoteReference"/>
        </w:rPr>
        <w:footnoteReference w:id="51"/>
      </w:r>
      <w:r w:rsidRPr="00036420">
        <w:t xml:space="preserve"> for its awards in relation to national threshold standards defined by the FHEQ level descriptors and Subject Benchmark Statements, and </w:t>
      </w:r>
      <w:r>
        <w:t>the University’s</w:t>
      </w:r>
      <w:r w:rsidRPr="00036420">
        <w:t xml:space="preserve"> Academic Regulations</w:t>
      </w:r>
      <w:r>
        <w:rPr>
          <w:rStyle w:val="FootnoteReference"/>
        </w:rPr>
        <w:footnoteReference w:id="52"/>
      </w:r>
      <w:r w:rsidRPr="00036420">
        <w:t>.</w:t>
      </w:r>
    </w:p>
    <w:p w14:paraId="7CA9AAD0" w14:textId="77777777" w:rsidR="00B07AB8" w:rsidRPr="00036420" w:rsidRDefault="00B07AB8" w:rsidP="00B07AB8">
      <w:pPr>
        <w:pStyle w:val="ListParagraph"/>
        <w:numPr>
          <w:ilvl w:val="0"/>
          <w:numId w:val="2"/>
        </w:numPr>
        <w:jc w:val="both"/>
      </w:pPr>
      <w:r w:rsidRPr="00036420">
        <w:t xml:space="preserve">Beyond threshold, the comparability of </w:t>
      </w:r>
      <w:r>
        <w:t>the University’s</w:t>
      </w:r>
      <w:r w:rsidRPr="00036420">
        <w:t xml:space="preserve"> academic standards and student achievement with other UK higher education </w:t>
      </w:r>
      <w:r>
        <w:t>institutions (HEIs)</w:t>
      </w:r>
      <w:r w:rsidRPr="00036420">
        <w:t>.</w:t>
      </w:r>
    </w:p>
    <w:p w14:paraId="140AE66D" w14:textId="77777777" w:rsidR="00B07AB8" w:rsidRPr="00036420" w:rsidRDefault="00B07AB8" w:rsidP="00B07AB8">
      <w:pPr>
        <w:pStyle w:val="ListParagraph"/>
        <w:numPr>
          <w:ilvl w:val="0"/>
          <w:numId w:val="2"/>
        </w:numPr>
        <w:jc w:val="both"/>
      </w:pPr>
      <w:r w:rsidRPr="00036420">
        <w:t>The rigour, equity and fairness of assessment of Intended Learning Outcomes.</w:t>
      </w:r>
    </w:p>
    <w:p w14:paraId="013696A1" w14:textId="77777777" w:rsidR="00B07AB8" w:rsidRPr="00036420" w:rsidRDefault="00B07AB8" w:rsidP="00B07AB8">
      <w:pPr>
        <w:pStyle w:val="ListParagraph"/>
        <w:numPr>
          <w:ilvl w:val="0"/>
          <w:numId w:val="2"/>
        </w:numPr>
        <w:jc w:val="both"/>
      </w:pPr>
      <w:r w:rsidRPr="00036420">
        <w:t>The quality of summative written feedback to students.</w:t>
      </w:r>
    </w:p>
    <w:p w14:paraId="263D465A" w14:textId="77777777" w:rsidR="00B07AB8" w:rsidRPr="00036420" w:rsidRDefault="00B07AB8" w:rsidP="00B07AB8">
      <w:pPr>
        <w:pStyle w:val="ListParagraph"/>
        <w:numPr>
          <w:ilvl w:val="0"/>
          <w:numId w:val="2"/>
        </w:numPr>
        <w:jc w:val="both"/>
      </w:pPr>
      <w:r w:rsidRPr="00036420">
        <w:t>The conduct and transparency of assessment processes including marking, internal moderation and the operation of assessment boards.</w:t>
      </w:r>
    </w:p>
    <w:p w14:paraId="03A933A9" w14:textId="577865D4" w:rsidR="00B07AB8" w:rsidRDefault="00B07AB8" w:rsidP="00B07AB8">
      <w:pPr>
        <w:pStyle w:val="ListParagraph"/>
        <w:numPr>
          <w:ilvl w:val="0"/>
          <w:numId w:val="2"/>
        </w:numPr>
        <w:jc w:val="both"/>
      </w:pPr>
      <w:r w:rsidRPr="00036420">
        <w:t>Evidence of good practice and innovation in learning, teaching and assessment, and opportunities to enhance the quality of learning opportunities provided to Edge Hill students.</w:t>
      </w:r>
    </w:p>
    <w:p w14:paraId="732643E8" w14:textId="14175BC0" w:rsidR="00B07AB8" w:rsidRDefault="00EC2170" w:rsidP="00B07AB8">
      <w:pPr>
        <w:pStyle w:val="ListParagraph"/>
        <w:numPr>
          <w:ilvl w:val="0"/>
          <w:numId w:val="2"/>
        </w:numPr>
        <w:jc w:val="both"/>
      </w:pPr>
      <w:r>
        <w:t>A</w:t>
      </w:r>
      <w:r w:rsidR="00B07AB8" w:rsidRPr="00A66E03">
        <w:t xml:space="preserve">ny modules that in their </w:t>
      </w:r>
      <w:r w:rsidR="00B07AB8">
        <w:t>judgement</w:t>
      </w:r>
      <w:r w:rsidR="00B07AB8" w:rsidRPr="00A66E03">
        <w:t xml:space="preserve"> would benefit from early review and modification</w:t>
      </w:r>
      <w:r w:rsidR="00B07AB8">
        <w:t>/</w:t>
      </w:r>
      <w:r w:rsidR="00B07AB8" w:rsidRPr="00A66E03">
        <w:t xml:space="preserve"> re-validation.</w:t>
      </w:r>
    </w:p>
    <w:p w14:paraId="63C93313" w14:textId="01AC0EBD" w:rsidR="00A66E03" w:rsidRPr="00A66E03" w:rsidRDefault="00B07AB8" w:rsidP="00B07AB8">
      <w:pPr>
        <w:contextualSpacing/>
        <w:jc w:val="both"/>
      </w:pPr>
      <w:r w:rsidRPr="00A66E03">
        <w:t>Where programmes are delivered at more than one site, e.g.</w:t>
      </w:r>
      <w:r>
        <w:t>,</w:t>
      </w:r>
      <w:r w:rsidRPr="00A66E03">
        <w:t xml:space="preserve"> at different Edge Hill campuses or by multiple</w:t>
      </w:r>
      <w:r>
        <w:t xml:space="preserve"> academic</w:t>
      </w:r>
      <w:r w:rsidRPr="00A66E03">
        <w:t xml:space="preserve"> partners, examiners differentiate these explicitly to identify any standards-related issues or good practice pertaining to the specific instance of delivery. Where an examiner’s duties are spread across undergraduate and postgraduate programmes, separate annual reports are submitted for which additional payments are made.</w:t>
      </w:r>
      <w:r>
        <w:t xml:space="preserve"> </w:t>
      </w:r>
    </w:p>
    <w:p w14:paraId="5A54C7DC" w14:textId="77777777" w:rsidR="00B07AB8" w:rsidRDefault="00B07AB8" w:rsidP="00B07AB8">
      <w:pPr>
        <w:contextualSpacing/>
        <w:jc w:val="both"/>
      </w:pPr>
    </w:p>
    <w:p w14:paraId="0C037AD7" w14:textId="77777777" w:rsidR="00EC2170" w:rsidRDefault="00A66E03" w:rsidP="00B07AB8">
      <w:pPr>
        <w:contextualSpacing/>
        <w:jc w:val="both"/>
      </w:pPr>
      <w:r w:rsidRPr="00A66E03">
        <w:t xml:space="preserve">Examiners confirm that sufficient information and evidence was made available to them to fulfil their role and that issues raised by them in previous reports, including those of their immediate predecessors, have been responded to. </w:t>
      </w:r>
    </w:p>
    <w:p w14:paraId="29D8BDAD" w14:textId="77777777" w:rsidR="00EC2170" w:rsidRDefault="00EC2170" w:rsidP="00B07AB8">
      <w:pPr>
        <w:contextualSpacing/>
        <w:jc w:val="both"/>
      </w:pPr>
    </w:p>
    <w:p w14:paraId="12CF5512" w14:textId="209B6B47" w:rsidR="00534775" w:rsidRDefault="00A66E03" w:rsidP="00B07AB8">
      <w:pPr>
        <w:contextualSpacing/>
        <w:jc w:val="both"/>
      </w:pPr>
      <w:r w:rsidRPr="00394EBB">
        <w:rPr>
          <w:b/>
          <w:bCs/>
        </w:rPr>
        <w:t>Examiners refrain from identifying individual students and staff in their reports</w:t>
      </w:r>
      <w:r w:rsidRPr="00A66E03">
        <w:t>, however references to staff roles e.g.</w:t>
      </w:r>
      <w:r w:rsidR="00B07AB8">
        <w:t>,</w:t>
      </w:r>
      <w:r w:rsidRPr="00A66E03">
        <w:t xml:space="preserve"> ‘the </w:t>
      </w:r>
      <w:r w:rsidR="00DE7AE5">
        <w:t>P</w:t>
      </w:r>
      <w:r w:rsidRPr="00A66E03">
        <w:t xml:space="preserve">rogramme </w:t>
      </w:r>
      <w:r w:rsidR="00DE7AE5">
        <w:t>L</w:t>
      </w:r>
      <w:r w:rsidRPr="00A66E03">
        <w:t>eader’ are acceptable. Barring mitigating circumstances which should be discussed in advance with the External Examiners Administrator (</w:t>
      </w:r>
      <w:r w:rsidR="00EC2170">
        <w:t>GQASC</w:t>
      </w:r>
      <w:r w:rsidRPr="00A66E03">
        <w:t>), examiners submit their reports within four weeks of the relevant assessment board. Where following appropriate reminders an external examiner’s report has not been received within 12 weeks of the relevant assessment board, alternative arrangements for (repeat) moderation will be made</w:t>
      </w:r>
      <w:r w:rsidR="00DE7AE5">
        <w:rPr>
          <w:rStyle w:val="FootnoteReference"/>
        </w:rPr>
        <w:footnoteReference w:id="53"/>
      </w:r>
      <w:r w:rsidRPr="00A66E03">
        <w:t>.</w:t>
      </w:r>
    </w:p>
    <w:p w14:paraId="081EFA60" w14:textId="5003432A" w:rsidR="00C40F92" w:rsidRDefault="00534775" w:rsidP="00EC2170">
      <w:pPr>
        <w:spacing w:line="276" w:lineRule="auto"/>
      </w:pPr>
      <w:r>
        <w:br w:type="page"/>
      </w:r>
    </w:p>
    <w:p w14:paraId="01783206" w14:textId="77777777" w:rsidR="00EC2170" w:rsidRDefault="00EC2170" w:rsidP="00EC2170">
      <w:pPr>
        <w:contextualSpacing/>
        <w:jc w:val="both"/>
        <w:rPr>
          <w:b/>
          <w:bCs/>
          <w:sz w:val="20"/>
          <w:szCs w:val="20"/>
        </w:rPr>
      </w:pPr>
    </w:p>
    <w:p w14:paraId="353F3BD1" w14:textId="28348251" w:rsidR="003C1917" w:rsidRPr="00EC2170" w:rsidRDefault="003C1917" w:rsidP="00EC2170">
      <w:pPr>
        <w:contextualSpacing/>
        <w:jc w:val="both"/>
        <w:rPr>
          <w:b/>
          <w:bCs/>
          <w:sz w:val="20"/>
          <w:szCs w:val="20"/>
        </w:rPr>
      </w:pPr>
      <w:r w:rsidRPr="00EC2170">
        <w:rPr>
          <w:b/>
          <w:bCs/>
          <w:sz w:val="20"/>
          <w:szCs w:val="20"/>
        </w:rPr>
        <w:t>Fig</w:t>
      </w:r>
      <w:r w:rsidR="00EC2170">
        <w:rPr>
          <w:b/>
          <w:bCs/>
          <w:sz w:val="20"/>
          <w:szCs w:val="20"/>
        </w:rPr>
        <w:t>ure 3</w:t>
      </w:r>
      <w:r w:rsidRPr="00EC2170">
        <w:rPr>
          <w:b/>
          <w:bCs/>
          <w:sz w:val="20"/>
          <w:szCs w:val="20"/>
        </w:rPr>
        <w:t xml:space="preserve"> ‘Edge Hill University Annual Report Escalation Process’</w:t>
      </w:r>
    </w:p>
    <w:p w14:paraId="55E691C6" w14:textId="77777777" w:rsidR="003C1917" w:rsidRDefault="003C1917" w:rsidP="003C1917">
      <w:pPr>
        <w:pStyle w:val="BodyText"/>
        <w:spacing w:before="11"/>
        <w:rPr>
          <w:sz w:val="23"/>
        </w:rPr>
      </w:pPr>
    </w:p>
    <w:p w14:paraId="09733266" w14:textId="1AC7E2E6" w:rsidR="003C1917" w:rsidRDefault="00154739" w:rsidP="003C1917">
      <w:pPr>
        <w:pStyle w:val="BodyText"/>
        <w:spacing w:before="11"/>
        <w:rPr>
          <w:sz w:val="23"/>
        </w:rPr>
      </w:pPr>
      <w:r>
        <w:rPr>
          <w:noProof/>
          <w:sz w:val="23"/>
        </w:rPr>
        <w:drawing>
          <wp:inline distT="0" distB="0" distL="0" distR="0" wp14:anchorId="01585884" wp14:editId="46E8101B">
            <wp:extent cx="5731510" cy="3728085"/>
            <wp:effectExtent l="0" t="0" r="2540" b="571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728085"/>
                    </a:xfrm>
                    <a:prstGeom prst="rect">
                      <a:avLst/>
                    </a:prstGeom>
                  </pic:spPr>
                </pic:pic>
              </a:graphicData>
            </a:graphic>
          </wp:inline>
        </w:drawing>
      </w:r>
    </w:p>
    <w:p w14:paraId="236121E3" w14:textId="77777777" w:rsidR="003C1917" w:rsidRDefault="003C1917" w:rsidP="003C1917">
      <w:pPr>
        <w:pStyle w:val="BodyText"/>
        <w:spacing w:before="11"/>
        <w:rPr>
          <w:sz w:val="23"/>
        </w:rPr>
      </w:pPr>
    </w:p>
    <w:p w14:paraId="605DC918" w14:textId="6EAC67AF" w:rsidR="003C1917" w:rsidRPr="003C1917" w:rsidRDefault="003C1917" w:rsidP="00EC2170">
      <w:pPr>
        <w:contextualSpacing/>
        <w:jc w:val="both"/>
      </w:pPr>
      <w:r w:rsidRPr="003C1917">
        <w:t xml:space="preserve">Programme teams are required to provide formal and timely responses to external examiners’ reports outlining any action to be taken as a result of their recommendations (or the reasons for not </w:t>
      </w:r>
      <w:r w:rsidR="00B813EB">
        <w:t>taking action</w:t>
      </w:r>
      <w:r w:rsidRPr="003C1917">
        <w:t xml:space="preserve">). Faculties ensure that responses are accurate and of appropriate quality and </w:t>
      </w:r>
      <w:r w:rsidR="00B813EB">
        <w:t>reflect</w:t>
      </w:r>
      <w:r w:rsidRPr="003C1917">
        <w:t xml:space="preserve"> current University policy</w:t>
      </w:r>
      <w:r w:rsidR="00B813EB">
        <w:t xml:space="preserve"> on assessment</w:t>
      </w:r>
      <w:r w:rsidRPr="003C1917">
        <w:t>.</w:t>
      </w:r>
    </w:p>
    <w:p w14:paraId="3EC39665" w14:textId="77777777" w:rsidR="00EC2170" w:rsidRDefault="00EC2170" w:rsidP="00EC2170">
      <w:pPr>
        <w:contextualSpacing/>
        <w:jc w:val="both"/>
      </w:pPr>
    </w:p>
    <w:p w14:paraId="08F89070" w14:textId="36CBAD49" w:rsidR="003C1917" w:rsidRPr="003C1917" w:rsidRDefault="003C1917" w:rsidP="00EC2170">
      <w:pPr>
        <w:contextualSpacing/>
        <w:jc w:val="both"/>
      </w:pPr>
      <w:r w:rsidRPr="003C1917">
        <w:t>Responses to external examiner reports are considered for approval at the next available Faculty Board (or delegated committee). Approved responses are dispatched to examiners within seven business days or, in the event of referral back to the host department, seven days following Faculty Chair’s Action. Where significant time is expected between receipt of an examiner’s report and the response via the Faculty Board or relevant committee, Faculties contact examiners to advise them of the estimated wait-time</w:t>
      </w:r>
      <w:r w:rsidR="00EC2170">
        <w:t>.</w:t>
      </w:r>
    </w:p>
    <w:p w14:paraId="42C9CFAF" w14:textId="260AE9BD" w:rsidR="003C1917" w:rsidRPr="003C1917" w:rsidRDefault="003C1917" w:rsidP="007C6BC4">
      <w:pPr>
        <w:pStyle w:val="Heading2"/>
      </w:pPr>
      <w:bookmarkStart w:id="54" w:name="Institutional_overviews_of_External_Exam"/>
      <w:bookmarkStart w:id="55" w:name="_Toc34401604"/>
      <w:bookmarkStart w:id="56" w:name="_Toc89161784"/>
      <w:bookmarkEnd w:id="54"/>
      <w:r w:rsidRPr="003C1917">
        <w:t xml:space="preserve">Institutional </w:t>
      </w:r>
      <w:r w:rsidR="003E63BF">
        <w:t>O</w:t>
      </w:r>
      <w:r w:rsidRPr="003C1917">
        <w:t>verviews of External Examiner reports</w:t>
      </w:r>
      <w:bookmarkEnd w:id="55"/>
      <w:bookmarkEnd w:id="56"/>
    </w:p>
    <w:p w14:paraId="533152DA" w14:textId="7504B27B" w:rsidR="003C1917" w:rsidRPr="003C1917" w:rsidRDefault="003C1917" w:rsidP="00EC2170">
      <w:pPr>
        <w:jc w:val="both"/>
      </w:pPr>
      <w:r w:rsidRPr="003C1917">
        <w:t xml:space="preserve">The </w:t>
      </w:r>
      <w:r w:rsidR="00EC2170">
        <w:t xml:space="preserve">Head of Academic Governance and Quality Assurance (GQASC) </w:t>
      </w:r>
      <w:r w:rsidRPr="003C1917">
        <w:t>produce</w:t>
      </w:r>
      <w:r w:rsidR="00EC2170">
        <w:t>s</w:t>
      </w:r>
      <w:r w:rsidRPr="003C1917">
        <w:t xml:space="preserve"> an initial</w:t>
      </w:r>
      <w:r w:rsidR="00EC2170">
        <w:t xml:space="preserve"> ‘risk-based’</w:t>
      </w:r>
      <w:r w:rsidRPr="003C1917">
        <w:t xml:space="preserve"> overview of key issues from external examiner reports for the early consideration of Faculties and EESC</w:t>
      </w:r>
      <w:r w:rsidR="007C6BC4">
        <w:rPr>
          <w:rStyle w:val="FootnoteReference"/>
        </w:rPr>
        <w:footnoteReference w:id="54"/>
      </w:r>
      <w:r w:rsidRPr="003C1917">
        <w:t xml:space="preserve">; Faculty Associate Deans subsequently produce more detailed </w:t>
      </w:r>
      <w:r w:rsidRPr="003C1917">
        <w:lastRenderedPageBreak/>
        <w:t>evaluations</w:t>
      </w:r>
      <w:r w:rsidR="007C6BC4">
        <w:rPr>
          <w:rStyle w:val="FootnoteReference"/>
        </w:rPr>
        <w:footnoteReference w:id="55"/>
      </w:r>
      <w:r w:rsidRPr="003C1917">
        <w:t xml:space="preserve"> which also describe the good</w:t>
      </w:r>
      <w:r w:rsidR="007C6BC4">
        <w:t xml:space="preserve"> </w:t>
      </w:r>
      <w:r w:rsidRPr="003C1917">
        <w:t xml:space="preserve">practice </w:t>
      </w:r>
      <w:r w:rsidR="009C73C1">
        <w:t>surfaced</w:t>
      </w:r>
      <w:r w:rsidRPr="003C1917">
        <w:t xml:space="preserve"> by examiners. Overview reports bring to the attention of EESC and, </w:t>
      </w:r>
      <w:r w:rsidR="009C73C1">
        <w:t>through</w:t>
      </w:r>
      <w:r w:rsidRPr="003C1917">
        <w:t xml:space="preserve"> its minutes, AQEC any recurring or potentially systemic issues around assessment practice or regulation that </w:t>
      </w:r>
      <w:r w:rsidR="00580655">
        <w:t xml:space="preserve">may </w:t>
      </w:r>
      <w:r w:rsidRPr="003C1917">
        <w:t>require consideration at University level, e.g.</w:t>
      </w:r>
      <w:r w:rsidR="00EC2170">
        <w:t>,</w:t>
      </w:r>
      <w:r w:rsidRPr="003C1917">
        <w:t xml:space="preserve"> through the Regulations Review Sub-Committee (RRSC)</w:t>
      </w:r>
      <w:r w:rsidR="007C6BC4">
        <w:rPr>
          <w:rStyle w:val="FootnoteReference"/>
        </w:rPr>
        <w:footnoteReference w:id="56"/>
      </w:r>
      <w:r w:rsidRPr="003C1917">
        <w:t>.</w:t>
      </w:r>
    </w:p>
    <w:p w14:paraId="26444CB7" w14:textId="72466343" w:rsidR="003C1917" w:rsidRPr="003C1917" w:rsidRDefault="003C1917" w:rsidP="00E86526">
      <w:pPr>
        <w:pStyle w:val="Heading1"/>
      </w:pPr>
      <w:bookmarkStart w:id="57" w:name="4.__‘CAUSES_FOR_CONCERN’_PROCEDURES"/>
      <w:bookmarkStart w:id="58" w:name="_Toc34401605"/>
      <w:bookmarkStart w:id="59" w:name="_Toc89161785"/>
      <w:bookmarkEnd w:id="57"/>
      <w:r w:rsidRPr="003C1917">
        <w:t>‘CAUSES FOR CONCERN’ PROCEDURES</w:t>
      </w:r>
      <w:bookmarkEnd w:id="58"/>
      <w:bookmarkEnd w:id="59"/>
    </w:p>
    <w:p w14:paraId="253FC1F4" w14:textId="20726CCB" w:rsidR="003C1917" w:rsidRPr="003C1917" w:rsidRDefault="00050D85" w:rsidP="003C1917">
      <w:r w:rsidRPr="002B0F58">
        <w:t>E</w:t>
      </w:r>
      <w:r w:rsidR="003C1917" w:rsidRPr="002B0F58">
        <w:t>xternal examiners</w:t>
      </w:r>
      <w:r w:rsidR="003C1917" w:rsidRPr="003C1917">
        <w:t xml:space="preserve"> are </w:t>
      </w:r>
      <w:r w:rsidR="009C73C1">
        <w:t xml:space="preserve">asked to refer any standards-related concerns to the Programme Leader and/ or Head of Department </w:t>
      </w:r>
      <w:r>
        <w:t xml:space="preserve">in the first instance </w:t>
      </w:r>
      <w:r w:rsidR="009C73C1">
        <w:t xml:space="preserve">with the aim of </w:t>
      </w:r>
      <w:r>
        <w:t>finding a</w:t>
      </w:r>
      <w:r w:rsidR="009C73C1">
        <w:t xml:space="preserve"> resolution. However, examiners </w:t>
      </w:r>
      <w:r>
        <w:t xml:space="preserve">also </w:t>
      </w:r>
      <w:r w:rsidR="009C73C1">
        <w:t>have the</w:t>
      </w:r>
      <w:r w:rsidR="003C1917" w:rsidRPr="003C1917">
        <w:t xml:space="preserve"> right to </w:t>
      </w:r>
      <w:r w:rsidR="009C73C1">
        <w:t xml:space="preserve">escalate </w:t>
      </w:r>
      <w:r w:rsidR="003C1917" w:rsidRPr="003C1917">
        <w:t xml:space="preserve">any </w:t>
      </w:r>
      <w:r w:rsidR="009C73C1">
        <w:t xml:space="preserve">continued </w:t>
      </w:r>
      <w:r w:rsidR="003C1917" w:rsidRPr="003C1917">
        <w:t>serious concern</w:t>
      </w:r>
      <w:r w:rsidR="009C73C1">
        <w:t>s to</w:t>
      </w:r>
      <w:r w:rsidR="003C1917" w:rsidRPr="003C1917">
        <w:t xml:space="preserve"> the Vice-Chancellor, </w:t>
      </w:r>
      <w:r w:rsidR="002629D7">
        <w:t>via</w:t>
      </w:r>
      <w:r w:rsidR="003C1917" w:rsidRPr="003C1917">
        <w:t xml:space="preserve"> a confidential written report to which a considered and timely response </w:t>
      </w:r>
      <w:r w:rsidR="00B40054">
        <w:t>is</w:t>
      </w:r>
      <w:r w:rsidR="003C1917" w:rsidRPr="003C1917">
        <w:t xml:space="preserve"> provided. </w:t>
      </w:r>
      <w:r w:rsidR="002629D7">
        <w:rPr>
          <w:rFonts w:cs="Calibri"/>
          <w:szCs w:val="24"/>
        </w:rPr>
        <w:t>In the unlikely event that</w:t>
      </w:r>
      <w:r w:rsidR="00580655" w:rsidRPr="000A121B">
        <w:rPr>
          <w:rFonts w:cs="Calibri"/>
          <w:szCs w:val="24"/>
        </w:rPr>
        <w:t xml:space="preserve"> internal </w:t>
      </w:r>
      <w:r w:rsidR="009C73C1">
        <w:rPr>
          <w:rFonts w:cs="Calibri"/>
          <w:szCs w:val="24"/>
        </w:rPr>
        <w:t xml:space="preserve">University </w:t>
      </w:r>
      <w:r w:rsidR="00580655" w:rsidRPr="000A121B">
        <w:rPr>
          <w:rFonts w:cs="Calibri"/>
          <w:szCs w:val="24"/>
        </w:rPr>
        <w:t>procedures have been exhausted and examiners remain concerned about an actual or potential failure in standards</w:t>
      </w:r>
      <w:r w:rsidR="002629D7">
        <w:rPr>
          <w:rFonts w:cs="Calibri"/>
          <w:szCs w:val="24"/>
        </w:rPr>
        <w:t>,</w:t>
      </w:r>
      <w:r w:rsidR="00580655" w:rsidRPr="000A121B">
        <w:rPr>
          <w:rFonts w:cs="Calibri"/>
          <w:szCs w:val="24"/>
        </w:rPr>
        <w:t xml:space="preserve"> they may </w:t>
      </w:r>
      <w:r w:rsidR="00261643">
        <w:rPr>
          <w:rFonts w:cs="Calibri"/>
          <w:szCs w:val="24"/>
        </w:rPr>
        <w:t>notify the OfS</w:t>
      </w:r>
      <w:r w:rsidR="007C6BC4">
        <w:rPr>
          <w:rStyle w:val="FootnoteReference"/>
        </w:rPr>
        <w:footnoteReference w:id="57"/>
      </w:r>
      <w:r w:rsidR="003C1917" w:rsidRPr="003C1917">
        <w:t xml:space="preserve">. In the case of PSRB-regulated programmes, examiners use their knowledge and understanding of </w:t>
      </w:r>
      <w:r w:rsidR="009C73C1">
        <w:t xml:space="preserve">professional </w:t>
      </w:r>
      <w:r w:rsidR="003C1917" w:rsidRPr="003C1917">
        <w:t>codes and standards to inform any decision on escalation to the relevant professional body.</w:t>
      </w:r>
    </w:p>
    <w:p w14:paraId="1A006D55" w14:textId="77777777" w:rsidR="003C1917" w:rsidRPr="003C1917" w:rsidRDefault="003C1917" w:rsidP="00E86526">
      <w:pPr>
        <w:pStyle w:val="Heading1"/>
      </w:pPr>
      <w:bookmarkStart w:id="60" w:name="5._5ENDING_AN_EXTERNAL_EXAMINER’S_ENGAGE"/>
      <w:bookmarkStart w:id="61" w:name="_Toc34401606"/>
      <w:bookmarkStart w:id="62" w:name="_Toc89161786"/>
      <w:bookmarkEnd w:id="60"/>
      <w:r w:rsidRPr="003C1917">
        <w:t>ENDING AN EXTERNAL EXAMINER’S ENGAGEMENT</w:t>
      </w:r>
      <w:bookmarkEnd w:id="61"/>
      <w:bookmarkEnd w:id="62"/>
    </w:p>
    <w:p w14:paraId="1D6F187E" w14:textId="48C367DB" w:rsidR="003C1917" w:rsidRPr="003C1917" w:rsidRDefault="00267B05" w:rsidP="0014356C">
      <w:pPr>
        <w:jc w:val="both"/>
      </w:pPr>
      <w:r>
        <w:t>The University</w:t>
      </w:r>
      <w:r w:rsidR="003C1917" w:rsidRPr="003C1917">
        <w:t xml:space="preserve"> is committed to the maintenance of academic quality and standards and therefore reserves the right to make alternative arrangements for the external </w:t>
      </w:r>
      <w:r w:rsidR="00B96FA4">
        <w:t>examination</w:t>
      </w:r>
      <w:r w:rsidR="003C1917" w:rsidRPr="003C1917">
        <w:t xml:space="preserve"> of its awards</w:t>
      </w:r>
      <w:r w:rsidR="009A79C2">
        <w:t xml:space="preserve"> if necessary</w:t>
      </w:r>
      <w:r w:rsidR="003C1917" w:rsidRPr="003C1917">
        <w:t xml:space="preserve">. </w:t>
      </w:r>
      <w:r w:rsidR="006F4532">
        <w:t>A</w:t>
      </w:r>
      <w:r w:rsidR="00B96FA4">
        <w:t xml:space="preserve"> Faculty</w:t>
      </w:r>
      <w:r w:rsidR="003C1917" w:rsidRPr="003C1917">
        <w:t xml:space="preserve"> may seek to end its engagement with an external examiner through a formal written recommendation to </w:t>
      </w:r>
      <w:r w:rsidR="00AE50CE" w:rsidRPr="004B5085">
        <w:t>the Chair of EESC</w:t>
      </w:r>
      <w:r w:rsidR="003C1917" w:rsidRPr="004B5085">
        <w:t xml:space="preserve">. </w:t>
      </w:r>
      <w:r w:rsidR="00AE50CE" w:rsidRPr="004B5085">
        <w:t>Where the external examiner is responsible for provision in the same Faculty as the Chair of EESC, this should be directed to the Deputy Chair of EESC.</w:t>
      </w:r>
      <w:r w:rsidR="00AE50CE">
        <w:t xml:space="preserve"> </w:t>
      </w:r>
      <w:r w:rsidR="003C1917" w:rsidRPr="003C1917">
        <w:t>While neither exhaustive nor prescriptive the following are indicative of reasons for ending an external examiner’s engagement:</w:t>
      </w:r>
    </w:p>
    <w:p w14:paraId="4A0B5F9B" w14:textId="77777777" w:rsidR="003C1917" w:rsidRPr="003C1917" w:rsidRDefault="003C1917" w:rsidP="0014356C">
      <w:pPr>
        <w:pStyle w:val="ListParagraph"/>
        <w:numPr>
          <w:ilvl w:val="0"/>
          <w:numId w:val="31"/>
        </w:numPr>
        <w:jc w:val="both"/>
      </w:pPr>
      <w:r w:rsidRPr="003C1917">
        <w:t>Failure to disclose a relationship, contractual or otherwise, which may impair the integrity of the examination process and their own independence as external examiner.</w:t>
      </w:r>
    </w:p>
    <w:p w14:paraId="49F10DAD" w14:textId="77777777" w:rsidR="00E232F6" w:rsidRPr="003C1917" w:rsidRDefault="00E232F6" w:rsidP="0014356C">
      <w:pPr>
        <w:pStyle w:val="ListParagraph"/>
        <w:numPr>
          <w:ilvl w:val="0"/>
          <w:numId w:val="31"/>
        </w:numPr>
        <w:jc w:val="both"/>
      </w:pPr>
      <w:r w:rsidRPr="003C1917">
        <w:t>Persistent failure to attend meetings, respond to communications and/</w:t>
      </w:r>
      <w:r>
        <w:t xml:space="preserve"> </w:t>
      </w:r>
      <w:r w:rsidRPr="003C1917">
        <w:t>or present the required reports by the stated deadline without prior agreement, and/</w:t>
      </w:r>
      <w:r>
        <w:t xml:space="preserve"> </w:t>
      </w:r>
      <w:r w:rsidRPr="003C1917">
        <w:t>or the submission of identical reports and/</w:t>
      </w:r>
      <w:r>
        <w:t xml:space="preserve"> </w:t>
      </w:r>
      <w:r w:rsidRPr="003C1917">
        <w:t xml:space="preserve">or failure to return students’ work following moderation. </w:t>
      </w:r>
    </w:p>
    <w:p w14:paraId="3CDFCB56" w14:textId="77777777" w:rsidR="003C1917" w:rsidRPr="003C1917" w:rsidRDefault="003C1917" w:rsidP="0014356C">
      <w:pPr>
        <w:pStyle w:val="ListParagraph"/>
        <w:numPr>
          <w:ilvl w:val="0"/>
          <w:numId w:val="31"/>
        </w:numPr>
        <w:jc w:val="both"/>
      </w:pPr>
      <w:r w:rsidRPr="003C1917">
        <w:t>Persistent and deliberate failure to use the relevant national academic and/ or professional benchmarks to support judgements on academic standards and Edge Hill students’ attainment of them.</w:t>
      </w:r>
    </w:p>
    <w:p w14:paraId="70887F86" w14:textId="12BDA365" w:rsidR="003C1917" w:rsidRPr="003C1917" w:rsidRDefault="003C1917" w:rsidP="0014356C">
      <w:pPr>
        <w:pStyle w:val="ListParagraph"/>
        <w:numPr>
          <w:ilvl w:val="0"/>
          <w:numId w:val="31"/>
        </w:numPr>
        <w:jc w:val="both"/>
      </w:pPr>
      <w:r w:rsidRPr="003C1917">
        <w:t xml:space="preserve">For clinical and other professional programmes, failure to maintain professional body membership or professional registration where this is a requirement of being an </w:t>
      </w:r>
      <w:r w:rsidR="00B96FA4">
        <w:t xml:space="preserve">external </w:t>
      </w:r>
      <w:r w:rsidRPr="003C1917">
        <w:t xml:space="preserve">examiner, or disbarment from professional practice which may impair the </w:t>
      </w:r>
      <w:r w:rsidRPr="003C1917">
        <w:lastRenderedPageBreak/>
        <w:t>integrity of the examination process or the individual’s standing as an external examiner.</w:t>
      </w:r>
    </w:p>
    <w:p w14:paraId="02CD7957" w14:textId="006C3DC6" w:rsidR="003C1917" w:rsidRPr="003C1917" w:rsidRDefault="003C1917" w:rsidP="00ED5239">
      <w:pPr>
        <w:jc w:val="both"/>
      </w:pPr>
      <w:r w:rsidRPr="003C1917">
        <w:t xml:space="preserve">Such matters will normally be dealt with in accordance with the University’s Human Resources </w:t>
      </w:r>
      <w:r w:rsidR="00727DFB">
        <w:t xml:space="preserve">(HR) </w:t>
      </w:r>
      <w:r w:rsidRPr="003C1917">
        <w:t>policies and procedures</w:t>
      </w:r>
      <w:r w:rsidR="0014356C">
        <w:t>,</w:t>
      </w:r>
      <w:r w:rsidRPr="003C1917">
        <w:t xml:space="preserve"> details of which may be found on the </w:t>
      </w:r>
      <w:r w:rsidR="00727DFB">
        <w:t>HR wiki</w:t>
      </w:r>
      <w:r w:rsidR="007C6BC4">
        <w:rPr>
          <w:rStyle w:val="FootnoteReference"/>
        </w:rPr>
        <w:footnoteReference w:id="58"/>
      </w:r>
      <w:r w:rsidRPr="003C1917">
        <w:t xml:space="preserve">. Where the proposal to end engagement is approved, the </w:t>
      </w:r>
      <w:r w:rsidR="00B96FA4">
        <w:t>examiner</w:t>
      </w:r>
      <w:r w:rsidRPr="003C1917">
        <w:t xml:space="preserve"> is notified in writing of the University’s </w:t>
      </w:r>
      <w:r w:rsidR="009B592E" w:rsidRPr="003C1917">
        <w:t>decision</w:t>
      </w:r>
      <w:r w:rsidR="00AD0BD5" w:rsidRPr="00AD0BD5">
        <w:t xml:space="preserve"> </w:t>
      </w:r>
      <w:r w:rsidR="00AD0BD5" w:rsidRPr="003C1917">
        <w:t>and their name removed from the External Examiners Register</w:t>
      </w:r>
      <w:r w:rsidR="005A5A94">
        <w:t>.</w:t>
      </w:r>
      <w:r w:rsidRPr="003C1917">
        <w:t xml:space="preserve"> </w:t>
      </w:r>
      <w:r w:rsidR="005A5A94">
        <w:t>The</w:t>
      </w:r>
      <w:r w:rsidR="00BB171A">
        <w:t xml:space="preserve"> outcome</w:t>
      </w:r>
      <w:r w:rsidR="009B592E">
        <w:t xml:space="preserve"> is</w:t>
      </w:r>
      <w:r w:rsidRPr="003C1917">
        <w:t xml:space="preserve"> noted </w:t>
      </w:r>
      <w:r w:rsidRPr="004B5085">
        <w:t xml:space="preserve">by </w:t>
      </w:r>
      <w:r w:rsidR="00AE50CE" w:rsidRPr="004B5085">
        <w:t>AQEC</w:t>
      </w:r>
      <w:r w:rsidR="005A5A94" w:rsidRPr="004B5085">
        <w:t xml:space="preserve"> via receipt of the </w:t>
      </w:r>
      <w:r w:rsidR="00AE50CE" w:rsidRPr="004B5085">
        <w:t>EESC</w:t>
      </w:r>
      <w:r w:rsidR="005A5A94" w:rsidRPr="004B5085">
        <w:t xml:space="preserve"> minutes</w:t>
      </w:r>
      <w:r w:rsidR="00AD0BD5" w:rsidRPr="004B5085">
        <w:t>.</w:t>
      </w:r>
    </w:p>
    <w:p w14:paraId="747C4624" w14:textId="56770FAF" w:rsidR="00A66E03" w:rsidRPr="003C1917" w:rsidRDefault="003C1917" w:rsidP="00ED5239">
      <w:pPr>
        <w:jc w:val="both"/>
      </w:pPr>
      <w:r w:rsidRPr="003C1917">
        <w:t>Occasionally, a programme may be closed before the end of the external examiner’s period of engagement and in such cases the individual will be formally notified</w:t>
      </w:r>
      <w:r w:rsidR="007C6BC4">
        <w:rPr>
          <w:rStyle w:val="FootnoteReference"/>
        </w:rPr>
        <w:footnoteReference w:id="59"/>
      </w:r>
      <w:r w:rsidRPr="003C1917">
        <w:t xml:space="preserve"> and AQEC informed as part of the </w:t>
      </w:r>
      <w:r w:rsidR="00B96FA4">
        <w:t>process</w:t>
      </w:r>
      <w:r w:rsidRPr="003C1917">
        <w:t xml:space="preserve"> for Programme Closure</w:t>
      </w:r>
      <w:r w:rsidR="007C6BC4">
        <w:rPr>
          <w:rStyle w:val="FootnoteReference"/>
        </w:rPr>
        <w:footnoteReference w:id="60"/>
      </w:r>
      <w:r w:rsidRPr="003C1917">
        <w:t>. An</w:t>
      </w:r>
      <w:r w:rsidR="006A3606">
        <w:t>y</w:t>
      </w:r>
      <w:r w:rsidRPr="003C1917">
        <w:t xml:space="preserve"> external examiner may choose to end their engagement with the University by writing to the </w:t>
      </w:r>
      <w:r w:rsidR="00AE50CE" w:rsidRPr="004B5085">
        <w:t>Chair of EESC</w:t>
      </w:r>
      <w:r w:rsidR="00AE50CE">
        <w:t xml:space="preserve"> </w:t>
      </w:r>
      <w:r w:rsidRPr="003C1917">
        <w:t>to advise of their intention.</w:t>
      </w:r>
    </w:p>
    <w:sectPr w:rsidR="00A66E03" w:rsidRPr="003C1917" w:rsidSect="002E7594">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4D417" w14:textId="77777777" w:rsidR="004B5085" w:rsidRDefault="004B5085" w:rsidP="00840176">
      <w:pPr>
        <w:spacing w:after="0"/>
      </w:pPr>
      <w:r>
        <w:separator/>
      </w:r>
    </w:p>
  </w:endnote>
  <w:endnote w:type="continuationSeparator" w:id="0">
    <w:p w14:paraId="2DCDA985" w14:textId="77777777" w:rsidR="004B5085" w:rsidRDefault="004B5085" w:rsidP="00840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34706"/>
      <w:docPartObj>
        <w:docPartGallery w:val="Page Numbers (Bottom of Page)"/>
        <w:docPartUnique/>
      </w:docPartObj>
    </w:sdtPr>
    <w:sdtEndPr>
      <w:rPr>
        <w:noProof/>
      </w:rPr>
    </w:sdtEndPr>
    <w:sdtContent>
      <w:p w14:paraId="1EC03B8B" w14:textId="059CC37F" w:rsidR="004B5085" w:rsidRDefault="004B5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F024CA" w14:textId="77777777" w:rsidR="004B5085" w:rsidRDefault="004B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004882"/>
      <w:docPartObj>
        <w:docPartGallery w:val="Page Numbers (Bottom of Page)"/>
        <w:docPartUnique/>
      </w:docPartObj>
    </w:sdtPr>
    <w:sdtEndPr>
      <w:rPr>
        <w:noProof/>
      </w:rPr>
    </w:sdtEndPr>
    <w:sdtContent>
      <w:p w14:paraId="1F061020" w14:textId="525661E5" w:rsidR="004B5085" w:rsidRDefault="004B5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2FCAF" w14:textId="77777777" w:rsidR="004B5085" w:rsidRPr="00453952" w:rsidRDefault="004B5085" w:rsidP="00767AC7">
    <w:pPr>
      <w:spacing w:after="0" w:line="224" w:lineRule="exact"/>
      <w:ind w:left="20"/>
      <w:rPr>
        <w:sz w:val="20"/>
      </w:rPr>
    </w:pPr>
    <w:r w:rsidRPr="00453952">
      <w:rPr>
        <w:sz w:val="20"/>
      </w:rPr>
      <w:t>Edge Hill University Quality Management Handbook</w:t>
    </w:r>
  </w:p>
  <w:p w14:paraId="7C648FFA" w14:textId="77777777" w:rsidR="004B5085" w:rsidRPr="00453952" w:rsidRDefault="004B5085" w:rsidP="00767AC7">
    <w:pPr>
      <w:spacing w:after="0"/>
      <w:rPr>
        <w:sz w:val="20"/>
      </w:rPr>
    </w:pPr>
    <w:r w:rsidRPr="00453952">
      <w:rPr>
        <w:sz w:val="20"/>
      </w:rPr>
      <w:t xml:space="preserve">Chapter 2 External Examiners </w:t>
    </w:r>
  </w:p>
  <w:p w14:paraId="38F451D2" w14:textId="77777777" w:rsidR="004B5085" w:rsidRPr="00453952" w:rsidRDefault="004B5085" w:rsidP="00767AC7">
    <w:pPr>
      <w:spacing w:after="0"/>
      <w:rPr>
        <w:sz w:val="20"/>
      </w:rPr>
    </w:pPr>
    <w:r w:rsidRPr="00453952">
      <w:rPr>
        <w:sz w:val="20"/>
      </w:rPr>
      <w:t xml:space="preserve">Institutional contact: Dr Chris Lawton (ext. 4520) </w:t>
    </w:r>
  </w:p>
  <w:p w14:paraId="0FF3C3A1" w14:textId="2457143A" w:rsidR="004B5085" w:rsidRPr="00453952" w:rsidRDefault="004B5085" w:rsidP="00767AC7">
    <w:pPr>
      <w:spacing w:after="0"/>
      <w:rPr>
        <w:sz w:val="20"/>
      </w:rPr>
    </w:pPr>
    <w:r w:rsidRPr="00453952">
      <w:rPr>
        <w:sz w:val="20"/>
      </w:rPr>
      <w:t>Latest version: October</w:t>
    </w:r>
    <w:r>
      <w:rPr>
        <w:sz w:val="20"/>
      </w:rPr>
      <w:t xml:space="preserve"> 2021</w:t>
    </w:r>
  </w:p>
  <w:p w14:paraId="63287237" w14:textId="77777777" w:rsidR="004B5085" w:rsidRPr="00B71E1A" w:rsidRDefault="004B5085" w:rsidP="00036420">
    <w:pPr>
      <w:spacing w:after="0"/>
      <w:ind w:left="2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9794" w14:textId="77777777" w:rsidR="004B5085" w:rsidRDefault="004B5085" w:rsidP="00840176">
      <w:pPr>
        <w:spacing w:after="0"/>
      </w:pPr>
      <w:r>
        <w:separator/>
      </w:r>
    </w:p>
  </w:footnote>
  <w:footnote w:type="continuationSeparator" w:id="0">
    <w:p w14:paraId="4C291991" w14:textId="77777777" w:rsidR="004B5085" w:rsidRDefault="004B5085" w:rsidP="00840176">
      <w:pPr>
        <w:spacing w:after="0"/>
      </w:pPr>
      <w:r>
        <w:continuationSeparator/>
      </w:r>
    </w:p>
  </w:footnote>
  <w:footnote w:id="1">
    <w:p w14:paraId="7E9CB7F1" w14:textId="330C43A8" w:rsidR="004B5085" w:rsidRPr="00036D13" w:rsidRDefault="004B5085" w:rsidP="009D4C22">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See Chapter 4</w:t>
      </w:r>
      <w:r>
        <w:rPr>
          <w:rStyle w:val="Hyperlink"/>
          <w:rFonts w:asciiTheme="minorHAnsi" w:hAnsiTheme="minorHAnsi" w:cstheme="minorHAnsi"/>
          <w:u w:val="none"/>
        </w:rPr>
        <w:t>.</w:t>
      </w:r>
    </w:p>
  </w:footnote>
  <w:footnote w:id="2">
    <w:p w14:paraId="5D499D9F" w14:textId="791B4293" w:rsidR="004B5085" w:rsidRPr="00036D13" w:rsidRDefault="004B5085" w:rsidP="009D4C22">
      <w:pPr>
        <w:spacing w:after="0"/>
        <w:rPr>
          <w:rFonts w:asciiTheme="minorHAnsi" w:hAnsiTheme="minorHAnsi" w:cstheme="minorHAnsi"/>
          <w:sz w:val="20"/>
          <w:szCs w:val="20"/>
        </w:rPr>
      </w:pPr>
      <w:r w:rsidRPr="00036D13">
        <w:rPr>
          <w:rStyle w:val="FootnoteReference"/>
          <w:rFonts w:asciiTheme="minorHAnsi" w:hAnsiTheme="minorHAnsi" w:cstheme="minorHAnsi"/>
          <w:sz w:val="20"/>
          <w:szCs w:val="20"/>
        </w:rPr>
        <w:footnoteRef/>
      </w:r>
      <w:r w:rsidRPr="00036D13">
        <w:rPr>
          <w:rFonts w:asciiTheme="minorHAnsi" w:hAnsiTheme="minorHAnsi" w:cstheme="minorHAnsi"/>
          <w:sz w:val="20"/>
          <w:szCs w:val="20"/>
        </w:rPr>
        <w:t xml:space="preserve"> </w:t>
      </w:r>
      <w:hyperlink r:id="rId1" w:history="1">
        <w:r w:rsidRPr="00036D13">
          <w:rPr>
            <w:rStyle w:val="Hyperlink"/>
            <w:rFonts w:asciiTheme="minorHAnsi" w:hAnsiTheme="minorHAnsi" w:cstheme="minorHAnsi"/>
            <w:sz w:val="20"/>
            <w:szCs w:val="20"/>
            <w:u w:val="none"/>
          </w:rPr>
          <w:t>www.qaa.ac.uk/docs/qaa/quality-code/qualifications-frameworks.pdf?sfvrsn=170af781_16</w:t>
        </w:r>
      </w:hyperlink>
      <w:r w:rsidRPr="00036D13">
        <w:rPr>
          <w:rFonts w:asciiTheme="minorHAnsi" w:hAnsiTheme="minorHAnsi" w:cstheme="minorHAnsi"/>
          <w:sz w:val="20"/>
          <w:szCs w:val="20"/>
        </w:rPr>
        <w:t xml:space="preserve">. </w:t>
      </w:r>
    </w:p>
  </w:footnote>
  <w:footnote w:id="3">
    <w:p w14:paraId="6C30CD60" w14:textId="0BC1CDE7" w:rsidR="004B5085" w:rsidRPr="00036D13" w:rsidRDefault="004B5085" w:rsidP="009D4C22">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2" w:history="1">
        <w:r w:rsidRPr="00036D13">
          <w:rPr>
            <w:rStyle w:val="Hyperlink"/>
            <w:rFonts w:asciiTheme="minorHAnsi" w:hAnsiTheme="minorHAnsi" w:cstheme="minorHAnsi"/>
            <w:u w:val="none"/>
          </w:rPr>
          <w:t>www.qaa.ac.uk/en/quality-code/subject-benchmark-statements</w:t>
        </w:r>
      </w:hyperlink>
      <w:r w:rsidRPr="00036D13">
        <w:rPr>
          <w:rFonts w:asciiTheme="minorHAnsi" w:hAnsiTheme="minorHAnsi" w:cstheme="minorHAnsi"/>
        </w:rPr>
        <w:t xml:space="preserve">. </w:t>
      </w:r>
    </w:p>
  </w:footnote>
  <w:footnote w:id="4">
    <w:p w14:paraId="5EBD9720" w14:textId="605480C1" w:rsidR="004B5085" w:rsidRPr="00036D13" w:rsidRDefault="004B5085" w:rsidP="009D4C22">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3" w:history="1">
        <w:r w:rsidRPr="00036D13">
          <w:rPr>
            <w:rStyle w:val="Hyperlink"/>
            <w:rFonts w:asciiTheme="minorHAnsi" w:hAnsiTheme="minorHAnsi" w:cstheme="minorHAnsi"/>
            <w:u w:val="none"/>
          </w:rPr>
          <w:t>www.officeforstudents.org.uk/advice-and-guidance/regulation/conditions-of-registration/initial-and-general-ongoing-conditions-of-registration/</w:t>
        </w:r>
      </w:hyperlink>
      <w:r w:rsidRPr="00036D13">
        <w:rPr>
          <w:rFonts w:asciiTheme="minorHAnsi" w:hAnsiTheme="minorHAnsi" w:cstheme="minorHAnsi"/>
        </w:rPr>
        <w:t>.</w:t>
      </w:r>
    </w:p>
  </w:footnote>
  <w:footnote w:id="5">
    <w:p w14:paraId="2743DC4E" w14:textId="0F5949FC" w:rsidR="004B5085" w:rsidRPr="00036D13" w:rsidRDefault="004B5085" w:rsidP="009D4C22">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4" w:history="1">
        <w:r w:rsidRPr="00036D13">
          <w:rPr>
            <w:rStyle w:val="Hyperlink"/>
            <w:rFonts w:asciiTheme="minorHAnsi" w:hAnsiTheme="minorHAnsi" w:cstheme="minorHAnsi"/>
            <w:u w:val="none"/>
          </w:rPr>
          <w:t>www.qaa.ac.uk/en/Publications/Documents/Revised-UK-Quality-Code-for-Higher-Education.pdf</w:t>
        </w:r>
      </w:hyperlink>
      <w:r w:rsidRPr="00036D13">
        <w:rPr>
          <w:rFonts w:asciiTheme="minorHAnsi" w:hAnsiTheme="minorHAnsi" w:cstheme="minorHAnsi"/>
        </w:rPr>
        <w:t xml:space="preserve">. </w:t>
      </w:r>
    </w:p>
  </w:footnote>
  <w:footnote w:id="6">
    <w:p w14:paraId="0347ED49" w14:textId="0B4FBB2C"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Examiners are also assigned</w:t>
      </w:r>
      <w:r w:rsidRPr="00036D13">
        <w:rPr>
          <w:rFonts w:asciiTheme="minorHAnsi" w:hAnsiTheme="minorHAnsi" w:cstheme="minorHAnsi"/>
        </w:rPr>
        <w:t xml:space="preserve"> Levels 3 and 4 where prescribed by professional bodies or approved at validation, for example level 3 Fastrack</w:t>
      </w:r>
      <w:r>
        <w:rPr>
          <w:rFonts w:asciiTheme="minorHAnsi" w:hAnsiTheme="minorHAnsi" w:cstheme="minorHAnsi"/>
        </w:rPr>
        <w:t xml:space="preserve"> </w:t>
      </w:r>
      <w:r w:rsidRPr="00036D13">
        <w:rPr>
          <w:rFonts w:asciiTheme="minorHAnsi" w:hAnsiTheme="minorHAnsi" w:cstheme="minorHAnsi"/>
        </w:rPr>
        <w:t xml:space="preserve">and </w:t>
      </w:r>
      <w:r>
        <w:rPr>
          <w:rFonts w:asciiTheme="minorHAnsi" w:hAnsiTheme="minorHAnsi" w:cstheme="minorHAnsi"/>
        </w:rPr>
        <w:t xml:space="preserve">level 4 </w:t>
      </w:r>
      <w:r w:rsidRPr="00036D13">
        <w:rPr>
          <w:rFonts w:asciiTheme="minorHAnsi" w:hAnsiTheme="minorHAnsi" w:cstheme="minorHAnsi"/>
        </w:rPr>
        <w:t xml:space="preserve">Foundation degrees </w:t>
      </w:r>
      <w:r>
        <w:rPr>
          <w:rFonts w:asciiTheme="minorHAnsi" w:hAnsiTheme="minorHAnsi" w:cstheme="minorHAnsi"/>
        </w:rPr>
        <w:t>that</w:t>
      </w:r>
      <w:r w:rsidRPr="00036D13">
        <w:rPr>
          <w:rFonts w:asciiTheme="minorHAnsi" w:hAnsiTheme="minorHAnsi" w:cstheme="minorHAnsi"/>
        </w:rPr>
        <w:t xml:space="preserve"> contribute to classification of the learner’s award.</w:t>
      </w:r>
    </w:p>
  </w:footnote>
  <w:footnote w:id="7">
    <w:p w14:paraId="7966AEC1" w14:textId="27B3275C"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See also </w:t>
      </w:r>
      <w:r w:rsidRPr="00F97415">
        <w:rPr>
          <w:rFonts w:asciiTheme="minorHAnsi" w:hAnsiTheme="minorHAnsi" w:cstheme="minorHAnsi"/>
          <w:iCs/>
        </w:rPr>
        <w:t>‘Roles and Responsibilities’,</w:t>
      </w:r>
      <w:r w:rsidRPr="00036D13">
        <w:rPr>
          <w:rFonts w:asciiTheme="minorHAnsi" w:hAnsiTheme="minorHAnsi" w:cstheme="minorHAnsi"/>
          <w:i/>
        </w:rPr>
        <w:t xml:space="preserve"> </w:t>
      </w:r>
      <w:r w:rsidRPr="00036D13">
        <w:rPr>
          <w:rFonts w:asciiTheme="minorHAnsi" w:hAnsiTheme="minorHAnsi" w:cstheme="minorHAnsi"/>
        </w:rPr>
        <w:t>below.</w:t>
      </w:r>
    </w:p>
  </w:footnote>
  <w:footnote w:id="8">
    <w:p w14:paraId="734B2CE1" w14:textId="2ACB7863"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5" w:history="1">
        <w:r w:rsidRPr="00142697">
          <w:rPr>
            <w:rStyle w:val="Hyperlink"/>
            <w:rFonts w:asciiTheme="minorHAnsi" w:hAnsiTheme="minorHAnsi" w:cstheme="minorHAnsi"/>
            <w:u w:val="none"/>
          </w:rPr>
          <w:t>www.qaa.ac.uk/en/quality-code/advice-and-guidance/external-expertise</w:t>
        </w:r>
      </w:hyperlink>
      <w:r w:rsidRPr="00142697">
        <w:rPr>
          <w:rFonts w:asciiTheme="minorHAnsi" w:hAnsiTheme="minorHAnsi" w:cstheme="minorHAnsi"/>
        </w:rPr>
        <w:t xml:space="preserve">. </w:t>
      </w:r>
      <w:r w:rsidRPr="00036420">
        <w:t xml:space="preserve">Further guidance is </w:t>
      </w:r>
      <w:r>
        <w:t>provided</w:t>
      </w:r>
      <w:r w:rsidRPr="00036420">
        <w:t xml:space="preserve"> in ‘Fundamentals of External Examining’ (Advance HE, 2019)</w:t>
      </w:r>
      <w:r>
        <w:t xml:space="preserve"> </w:t>
      </w:r>
      <w:hyperlink r:id="rId6">
        <w:r w:rsidRPr="00036D13">
          <w:rPr>
            <w:rFonts w:asciiTheme="minorHAnsi" w:hAnsiTheme="minorHAnsi" w:cstheme="minorHAnsi"/>
            <w:color w:val="0000FF"/>
          </w:rPr>
          <w:t>www.heacademy.ac.uk/system/files/downloads/Fundamentals%20of%20External%20Examining%</w:t>
        </w:r>
      </w:hyperlink>
      <w:r w:rsidRPr="00036D13">
        <w:rPr>
          <w:rFonts w:asciiTheme="minorHAnsi" w:hAnsiTheme="minorHAnsi" w:cstheme="minorHAnsi"/>
          <w:color w:val="0000FF"/>
        </w:rPr>
        <w:t xml:space="preserve"> </w:t>
      </w:r>
      <w:hyperlink r:id="rId7">
        <w:r w:rsidRPr="00036D13">
          <w:rPr>
            <w:rFonts w:asciiTheme="minorHAnsi" w:hAnsiTheme="minorHAnsi" w:cstheme="minorHAnsi"/>
            <w:color w:val="0000FF"/>
          </w:rPr>
          <w:t>20AHE%20March%202019.pdf</w:t>
        </w:r>
        <w:r w:rsidRPr="00036D13">
          <w:rPr>
            <w:rFonts w:asciiTheme="minorHAnsi" w:hAnsiTheme="minorHAnsi" w:cstheme="minorHAnsi"/>
          </w:rPr>
          <w:t>.</w:t>
        </w:r>
      </w:hyperlink>
    </w:p>
  </w:footnote>
  <w:footnote w:id="9">
    <w:p w14:paraId="43D4F64C" w14:textId="74C167EA"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8" w:history="1">
        <w:r w:rsidRPr="00BF3DC1">
          <w:rPr>
            <w:rStyle w:val="Hyperlink"/>
            <w:rFonts w:asciiTheme="minorHAnsi" w:hAnsiTheme="minorHAnsi" w:cstheme="minorHAnsi"/>
            <w:u w:val="none"/>
          </w:rPr>
          <w:t>https://go.edgehill.ac.uk/display/aqdu/External+Examiners</w:t>
        </w:r>
      </w:hyperlink>
      <w:r>
        <w:rPr>
          <w:rFonts w:asciiTheme="minorHAnsi" w:hAnsiTheme="minorHAnsi" w:cstheme="minorHAnsi"/>
        </w:rPr>
        <w:t>.</w:t>
      </w:r>
    </w:p>
  </w:footnote>
  <w:footnote w:id="10">
    <w:p w14:paraId="0AB5EFA3" w14:textId="74AD5E4E" w:rsidR="004B5085" w:rsidRDefault="004B5085">
      <w:pPr>
        <w:pStyle w:val="FootnoteText"/>
      </w:pPr>
      <w:r>
        <w:rPr>
          <w:rStyle w:val="FootnoteReference"/>
        </w:rPr>
        <w:footnoteRef/>
      </w:r>
      <w:r>
        <w:t xml:space="preserve"> Available via </w:t>
      </w:r>
      <w:hyperlink r:id="rId9" w:history="1">
        <w:r w:rsidRPr="00DE4E49">
          <w:rPr>
            <w:rStyle w:val="Hyperlink"/>
            <w:u w:val="none"/>
          </w:rPr>
          <w:t>www.edgehill.ac.uk/documents/collection/academic-regulations/</w:t>
        </w:r>
      </w:hyperlink>
      <w:r>
        <w:t xml:space="preserve">. </w:t>
      </w:r>
    </w:p>
  </w:footnote>
  <w:footnote w:id="11">
    <w:p w14:paraId="084E7DA9" w14:textId="77777777" w:rsidR="004B5085" w:rsidRPr="00036D13" w:rsidRDefault="004B5085" w:rsidP="00D87BC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Evidenced by a physical inspection of the individual’s passport in line with HM Government’s requirements – see </w:t>
      </w:r>
      <w:r w:rsidRPr="00036D13">
        <w:rPr>
          <w:rFonts w:asciiTheme="minorHAnsi" w:hAnsiTheme="minorHAnsi" w:cstheme="minorHAnsi"/>
          <w:i/>
        </w:rPr>
        <w:t xml:space="preserve">‘An Employer’s Guide to Right to Work Checks’ </w:t>
      </w:r>
      <w:r w:rsidRPr="00036D13">
        <w:rPr>
          <w:rFonts w:asciiTheme="minorHAnsi" w:hAnsiTheme="minorHAnsi" w:cstheme="minorHAnsi"/>
        </w:rPr>
        <w:t xml:space="preserve">(Home Office, June 2018), </w:t>
      </w:r>
      <w:hyperlink r:id="rId10">
        <w:r w:rsidRPr="00036D13">
          <w:rPr>
            <w:rFonts w:asciiTheme="minorHAnsi" w:hAnsiTheme="minorHAnsi" w:cstheme="minorHAnsi"/>
            <w:color w:val="0000FF"/>
          </w:rPr>
          <w:t>https://assets.publishing.service.gov.uk/government/uploads/system/uploads/attachment_data/file/720</w:t>
        </w:r>
      </w:hyperlink>
      <w:r w:rsidRPr="00036D13">
        <w:rPr>
          <w:rFonts w:asciiTheme="minorHAnsi" w:hAnsiTheme="minorHAnsi" w:cstheme="minorHAnsi"/>
          <w:color w:val="0000FF"/>
        </w:rPr>
        <w:t xml:space="preserve"> </w:t>
      </w:r>
      <w:hyperlink r:id="rId11">
        <w:r w:rsidRPr="00036D13">
          <w:rPr>
            <w:rFonts w:asciiTheme="minorHAnsi" w:hAnsiTheme="minorHAnsi" w:cstheme="minorHAnsi"/>
            <w:color w:val="0000FF"/>
          </w:rPr>
          <w:t>858/29_06_18_Employer_s_guide_to_right_to_work_checks.pdf</w:t>
        </w:r>
        <w:r w:rsidRPr="00036D13">
          <w:rPr>
            <w:rFonts w:asciiTheme="minorHAnsi" w:hAnsiTheme="minorHAnsi" w:cstheme="minorHAnsi"/>
          </w:rPr>
          <w:t>.</w:t>
        </w:r>
      </w:hyperlink>
    </w:p>
  </w:footnote>
  <w:footnote w:id="12">
    <w:p w14:paraId="5530ADB0" w14:textId="066D8F2E"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sidRPr="008D5AB4">
        <w:rPr>
          <w:rFonts w:asciiTheme="minorHAnsi" w:hAnsiTheme="minorHAnsi" w:cstheme="minorHAnsi"/>
          <w:b/>
          <w:bCs/>
        </w:rPr>
        <w:t>Note:</w:t>
      </w:r>
      <w:r>
        <w:rPr>
          <w:rFonts w:asciiTheme="minorHAnsi" w:hAnsiTheme="minorHAnsi" w:cstheme="minorHAnsi"/>
        </w:rPr>
        <w:t xml:space="preserve"> </w:t>
      </w:r>
      <w:r w:rsidRPr="00036D13">
        <w:rPr>
          <w:rFonts w:asciiTheme="minorHAnsi" w:hAnsiTheme="minorHAnsi" w:cstheme="minorHAnsi"/>
        </w:rPr>
        <w:t xml:space="preserve">Edge Hill University’s </w:t>
      </w:r>
      <w:r w:rsidRPr="008D5AB4">
        <w:rPr>
          <w:rFonts w:asciiTheme="minorHAnsi" w:hAnsiTheme="minorHAnsi" w:cstheme="minorHAnsi"/>
          <w:iCs/>
        </w:rPr>
        <w:t>Academic Regulations</w:t>
      </w:r>
      <w:r w:rsidRPr="00036D13">
        <w:rPr>
          <w:rFonts w:asciiTheme="minorHAnsi" w:hAnsiTheme="minorHAnsi" w:cstheme="minorHAnsi"/>
          <w:i/>
        </w:rPr>
        <w:t xml:space="preserve"> </w:t>
      </w:r>
      <w:r w:rsidRPr="00036D13">
        <w:rPr>
          <w:rFonts w:asciiTheme="minorHAnsi" w:hAnsiTheme="minorHAnsi" w:cstheme="minorHAnsi"/>
        </w:rPr>
        <w:t>do not permit delivery and assessment in languages other than English</w:t>
      </w:r>
      <w:r>
        <w:rPr>
          <w:rFonts w:asciiTheme="minorHAnsi" w:hAnsiTheme="minorHAnsi" w:cstheme="minorHAnsi"/>
        </w:rPr>
        <w:t xml:space="preserve"> (Academic Regulations C1.5)</w:t>
      </w:r>
      <w:r w:rsidRPr="00036D13">
        <w:rPr>
          <w:rFonts w:asciiTheme="minorHAnsi" w:hAnsiTheme="minorHAnsi" w:cstheme="minorHAnsi"/>
        </w:rPr>
        <w:t>.</w:t>
      </w:r>
    </w:p>
  </w:footnote>
  <w:footnote w:id="13">
    <w:p w14:paraId="47840F54" w14:textId="77777777"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For example, association with a PSRB.</w:t>
      </w:r>
    </w:p>
  </w:footnote>
  <w:footnote w:id="14">
    <w:p w14:paraId="304CF3EA" w14:textId="402512F3" w:rsidR="004B5085" w:rsidRPr="00B06C76" w:rsidRDefault="004B5085" w:rsidP="00D87BC5">
      <w:pPr>
        <w:spacing w:after="0"/>
        <w:rPr>
          <w:rFonts w:asciiTheme="minorHAnsi" w:hAnsiTheme="minorHAnsi" w:cstheme="minorHAnsi"/>
          <w:sz w:val="20"/>
          <w:szCs w:val="20"/>
        </w:rPr>
      </w:pPr>
      <w:r w:rsidRPr="00036D13">
        <w:rPr>
          <w:rStyle w:val="FootnoteReference"/>
          <w:rFonts w:asciiTheme="minorHAnsi" w:hAnsiTheme="minorHAnsi" w:cstheme="minorHAnsi"/>
          <w:sz w:val="20"/>
          <w:szCs w:val="20"/>
        </w:rPr>
        <w:footnoteRef/>
      </w:r>
      <w:r w:rsidRPr="00036D13">
        <w:rPr>
          <w:rFonts w:asciiTheme="minorHAnsi" w:hAnsiTheme="minorHAnsi" w:cstheme="minorHAnsi"/>
          <w:sz w:val="20"/>
          <w:szCs w:val="20"/>
        </w:rPr>
        <w:t xml:space="preserve"> </w:t>
      </w:r>
      <w:r>
        <w:rPr>
          <w:rFonts w:asciiTheme="minorHAnsi" w:hAnsiTheme="minorHAnsi" w:cstheme="minorHAnsi"/>
          <w:sz w:val="20"/>
          <w:szCs w:val="20"/>
        </w:rPr>
        <w:t>S</w:t>
      </w:r>
      <w:r w:rsidRPr="00036D13">
        <w:rPr>
          <w:rFonts w:asciiTheme="minorHAnsi" w:hAnsiTheme="minorHAnsi" w:cstheme="minorHAnsi"/>
          <w:sz w:val="20"/>
          <w:szCs w:val="20"/>
        </w:rPr>
        <w:t>ee Chapter 8</w:t>
      </w:r>
      <w:r>
        <w:rPr>
          <w:rFonts w:asciiTheme="minorHAnsi" w:hAnsiTheme="minorHAnsi" w:cstheme="minorHAnsi"/>
          <w:sz w:val="20"/>
          <w:szCs w:val="20"/>
        </w:rPr>
        <w:t>.</w:t>
      </w:r>
    </w:p>
  </w:footnote>
  <w:footnote w:id="15">
    <w:p w14:paraId="5A2F0130" w14:textId="5E798E46"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This</w:t>
      </w:r>
      <w:r w:rsidRPr="00036D13">
        <w:rPr>
          <w:rFonts w:asciiTheme="minorHAnsi" w:hAnsiTheme="minorHAnsi" w:cstheme="minorHAnsi"/>
          <w:spacing w:val="-6"/>
        </w:rPr>
        <w:t xml:space="preserve"> </w:t>
      </w:r>
      <w:r w:rsidRPr="00036D13">
        <w:rPr>
          <w:rFonts w:asciiTheme="minorHAnsi" w:hAnsiTheme="minorHAnsi" w:cstheme="minorHAnsi"/>
        </w:rPr>
        <w:t>applies</w:t>
      </w:r>
      <w:r w:rsidRPr="00036D13">
        <w:rPr>
          <w:rFonts w:asciiTheme="minorHAnsi" w:hAnsiTheme="minorHAnsi" w:cstheme="minorHAnsi"/>
          <w:spacing w:val="-6"/>
        </w:rPr>
        <w:t xml:space="preserve"> </w:t>
      </w:r>
      <w:r w:rsidRPr="00036D13">
        <w:rPr>
          <w:rFonts w:asciiTheme="minorHAnsi" w:hAnsiTheme="minorHAnsi" w:cstheme="minorHAnsi"/>
        </w:rPr>
        <w:t>specifically</w:t>
      </w:r>
      <w:r w:rsidRPr="00036D13">
        <w:rPr>
          <w:rFonts w:asciiTheme="minorHAnsi" w:hAnsiTheme="minorHAnsi" w:cstheme="minorHAnsi"/>
          <w:spacing w:val="-6"/>
        </w:rPr>
        <w:t xml:space="preserve"> </w:t>
      </w:r>
      <w:r w:rsidRPr="00036D13">
        <w:rPr>
          <w:rFonts w:asciiTheme="minorHAnsi" w:hAnsiTheme="minorHAnsi" w:cstheme="minorHAnsi"/>
        </w:rPr>
        <w:t>to</w:t>
      </w:r>
      <w:r w:rsidRPr="00036D13">
        <w:rPr>
          <w:rFonts w:asciiTheme="minorHAnsi" w:hAnsiTheme="minorHAnsi" w:cstheme="minorHAnsi"/>
          <w:spacing w:val="-6"/>
        </w:rPr>
        <w:t xml:space="preserve"> </w:t>
      </w:r>
      <w:r w:rsidRPr="00036D13">
        <w:rPr>
          <w:rFonts w:asciiTheme="minorHAnsi" w:hAnsiTheme="minorHAnsi" w:cstheme="minorHAnsi"/>
        </w:rPr>
        <w:t>individuals</w:t>
      </w:r>
      <w:r w:rsidRPr="00036D13">
        <w:rPr>
          <w:rFonts w:asciiTheme="minorHAnsi" w:hAnsiTheme="minorHAnsi" w:cstheme="minorHAnsi"/>
          <w:spacing w:val="-6"/>
        </w:rPr>
        <w:t xml:space="preserve"> </w:t>
      </w:r>
      <w:r w:rsidRPr="00036D13">
        <w:rPr>
          <w:rFonts w:asciiTheme="minorHAnsi" w:hAnsiTheme="minorHAnsi" w:cstheme="minorHAnsi"/>
        </w:rPr>
        <w:t>who</w:t>
      </w:r>
      <w:r w:rsidRPr="00036D13">
        <w:rPr>
          <w:rFonts w:asciiTheme="minorHAnsi" w:hAnsiTheme="minorHAnsi" w:cstheme="minorHAnsi"/>
          <w:spacing w:val="-6"/>
        </w:rPr>
        <w:t xml:space="preserve"> </w:t>
      </w:r>
      <w:r w:rsidRPr="00036D13">
        <w:rPr>
          <w:rFonts w:asciiTheme="minorHAnsi" w:hAnsiTheme="minorHAnsi" w:cstheme="minorHAnsi"/>
        </w:rPr>
        <w:t>have</w:t>
      </w:r>
      <w:r w:rsidRPr="00036D13">
        <w:rPr>
          <w:rFonts w:asciiTheme="minorHAnsi" w:hAnsiTheme="minorHAnsi" w:cstheme="minorHAnsi"/>
          <w:spacing w:val="-6"/>
        </w:rPr>
        <w:t xml:space="preserve"> </w:t>
      </w:r>
      <w:r w:rsidRPr="00036D13">
        <w:rPr>
          <w:rFonts w:asciiTheme="minorHAnsi" w:hAnsiTheme="minorHAnsi" w:cstheme="minorHAnsi"/>
        </w:rPr>
        <w:t>provided</w:t>
      </w:r>
      <w:r w:rsidRPr="00036D13">
        <w:rPr>
          <w:rFonts w:asciiTheme="minorHAnsi" w:hAnsiTheme="minorHAnsi" w:cstheme="minorHAnsi"/>
          <w:spacing w:val="-7"/>
        </w:rPr>
        <w:t xml:space="preserve"> </w:t>
      </w:r>
      <w:r w:rsidRPr="00036D13">
        <w:rPr>
          <w:rFonts w:asciiTheme="minorHAnsi" w:hAnsiTheme="minorHAnsi" w:cstheme="minorHAnsi"/>
        </w:rPr>
        <w:t>advice</w:t>
      </w:r>
      <w:r w:rsidRPr="00036D13">
        <w:rPr>
          <w:rFonts w:asciiTheme="minorHAnsi" w:hAnsiTheme="minorHAnsi" w:cstheme="minorHAnsi"/>
          <w:spacing w:val="-6"/>
        </w:rPr>
        <w:t xml:space="preserve"> </w:t>
      </w:r>
      <w:r w:rsidRPr="00036D13">
        <w:rPr>
          <w:rFonts w:asciiTheme="minorHAnsi" w:hAnsiTheme="minorHAnsi" w:cstheme="minorHAnsi"/>
        </w:rPr>
        <w:t>to</w:t>
      </w:r>
      <w:r w:rsidRPr="00036D13">
        <w:rPr>
          <w:rFonts w:asciiTheme="minorHAnsi" w:hAnsiTheme="minorHAnsi" w:cstheme="minorHAnsi"/>
          <w:spacing w:val="-7"/>
        </w:rPr>
        <w:t xml:space="preserve"> </w:t>
      </w:r>
      <w:r w:rsidRPr="00036D13">
        <w:rPr>
          <w:rFonts w:asciiTheme="minorHAnsi" w:hAnsiTheme="minorHAnsi" w:cstheme="minorHAnsi"/>
        </w:rPr>
        <w:t>course</w:t>
      </w:r>
      <w:r w:rsidRPr="00036D13">
        <w:rPr>
          <w:rFonts w:asciiTheme="minorHAnsi" w:hAnsiTheme="minorHAnsi" w:cstheme="minorHAnsi"/>
          <w:spacing w:val="-6"/>
        </w:rPr>
        <w:t xml:space="preserve"> </w:t>
      </w:r>
      <w:r w:rsidRPr="00036D13">
        <w:rPr>
          <w:rFonts w:asciiTheme="minorHAnsi" w:hAnsiTheme="minorHAnsi" w:cstheme="minorHAnsi"/>
        </w:rPr>
        <w:t>teams</w:t>
      </w:r>
      <w:r w:rsidRPr="00036D13">
        <w:rPr>
          <w:rFonts w:asciiTheme="minorHAnsi" w:hAnsiTheme="minorHAnsi" w:cstheme="minorHAnsi"/>
          <w:spacing w:val="-6"/>
        </w:rPr>
        <w:t xml:space="preserve"> </w:t>
      </w:r>
      <w:r w:rsidRPr="00036D13">
        <w:rPr>
          <w:rFonts w:asciiTheme="minorHAnsi" w:hAnsiTheme="minorHAnsi" w:cstheme="minorHAnsi"/>
        </w:rPr>
        <w:t>in</w:t>
      </w:r>
      <w:r w:rsidRPr="00036D13">
        <w:rPr>
          <w:rFonts w:asciiTheme="minorHAnsi" w:hAnsiTheme="minorHAnsi" w:cstheme="minorHAnsi"/>
          <w:spacing w:val="-7"/>
        </w:rPr>
        <w:t xml:space="preserve"> </w:t>
      </w:r>
      <w:r w:rsidRPr="00036D13">
        <w:rPr>
          <w:rFonts w:asciiTheme="minorHAnsi" w:hAnsiTheme="minorHAnsi" w:cstheme="minorHAnsi"/>
        </w:rPr>
        <w:t>their</w:t>
      </w:r>
      <w:r w:rsidRPr="00036D13">
        <w:rPr>
          <w:rFonts w:asciiTheme="minorHAnsi" w:hAnsiTheme="minorHAnsi" w:cstheme="minorHAnsi"/>
          <w:spacing w:val="-7"/>
        </w:rPr>
        <w:t xml:space="preserve"> </w:t>
      </w:r>
      <w:r w:rsidRPr="00036D13">
        <w:rPr>
          <w:rFonts w:asciiTheme="minorHAnsi" w:hAnsiTheme="minorHAnsi" w:cstheme="minorHAnsi"/>
        </w:rPr>
        <w:t>preparations</w:t>
      </w:r>
      <w:r w:rsidRPr="00036D13">
        <w:rPr>
          <w:rFonts w:asciiTheme="minorHAnsi" w:hAnsiTheme="minorHAnsi" w:cstheme="minorHAnsi"/>
          <w:spacing w:val="-6"/>
        </w:rPr>
        <w:t xml:space="preserve"> </w:t>
      </w:r>
      <w:r w:rsidRPr="00036D13">
        <w:rPr>
          <w:rFonts w:asciiTheme="minorHAnsi" w:hAnsiTheme="minorHAnsi" w:cstheme="minorHAnsi"/>
        </w:rPr>
        <w:t>for programme approval</w:t>
      </w:r>
      <w:r>
        <w:rPr>
          <w:rFonts w:asciiTheme="minorHAnsi" w:hAnsiTheme="minorHAnsi" w:cstheme="minorHAnsi"/>
        </w:rPr>
        <w:t xml:space="preserve"> (validation)</w:t>
      </w:r>
      <w:r w:rsidRPr="00036D13">
        <w:rPr>
          <w:rFonts w:asciiTheme="minorHAnsi" w:hAnsiTheme="minorHAnsi" w:cstheme="minorHAnsi"/>
        </w:rPr>
        <w:t xml:space="preserve">. Previous </w:t>
      </w:r>
      <w:r w:rsidRPr="008F31B3">
        <w:rPr>
          <w:rFonts w:asciiTheme="minorHAnsi" w:hAnsiTheme="minorHAnsi" w:cstheme="minorHAnsi"/>
          <w:u w:val="single"/>
        </w:rPr>
        <w:t>external members of Institutional validation panels</w:t>
      </w:r>
      <w:r w:rsidRPr="00036D13">
        <w:rPr>
          <w:rFonts w:asciiTheme="minorHAnsi" w:hAnsiTheme="minorHAnsi" w:cstheme="minorHAnsi"/>
        </w:rPr>
        <w:t xml:space="preserve"> may seek </w:t>
      </w:r>
      <w:r w:rsidRPr="004B5085">
        <w:rPr>
          <w:rFonts w:asciiTheme="minorHAnsi" w:hAnsiTheme="minorHAnsi" w:cstheme="minorHAnsi"/>
        </w:rPr>
        <w:t>engagement as external examiners for a limited term of three</w:t>
      </w:r>
      <w:r w:rsidRPr="004B5085">
        <w:rPr>
          <w:rFonts w:asciiTheme="minorHAnsi" w:hAnsiTheme="minorHAnsi" w:cstheme="minorHAnsi"/>
          <w:spacing w:val="-6"/>
        </w:rPr>
        <w:t xml:space="preserve"> academic sessions (</w:t>
      </w:r>
      <w:r w:rsidRPr="004B5085">
        <w:rPr>
          <w:rFonts w:asciiTheme="minorHAnsi" w:hAnsiTheme="minorHAnsi" w:cstheme="minorHAnsi"/>
        </w:rPr>
        <w:t>years).</w:t>
      </w:r>
    </w:p>
  </w:footnote>
  <w:footnote w:id="16">
    <w:p w14:paraId="2556F3B7" w14:textId="257E62BB" w:rsidR="004B5085" w:rsidRPr="00036D13" w:rsidRDefault="004B5085" w:rsidP="00195C62">
      <w:pPr>
        <w:pStyle w:val="FootnoteText"/>
        <w:rPr>
          <w:rFonts w:asciiTheme="minorHAnsi" w:hAnsiTheme="minorHAnsi" w:cstheme="minorHAnsi"/>
        </w:rPr>
      </w:pPr>
      <w:r w:rsidRPr="00036D13">
        <w:rPr>
          <w:rStyle w:val="FootnoteReference"/>
          <w:rFonts w:asciiTheme="minorHAnsi" w:hAnsiTheme="minorHAnsi" w:cstheme="minorHAnsi"/>
        </w:rPr>
        <w:footnoteRef/>
      </w:r>
      <w:r>
        <w:rPr>
          <w:rFonts w:asciiTheme="minorHAnsi" w:hAnsiTheme="minorHAnsi" w:cstheme="minorHAnsi"/>
        </w:rPr>
        <w:t>F</w:t>
      </w:r>
      <w:r w:rsidRPr="00036D13">
        <w:rPr>
          <w:rFonts w:asciiTheme="minorHAnsi" w:hAnsiTheme="minorHAnsi" w:cstheme="minorHAnsi"/>
        </w:rPr>
        <w:t xml:space="preserve">or </w:t>
      </w:r>
      <w:r>
        <w:rPr>
          <w:rFonts w:asciiTheme="minorHAnsi" w:hAnsiTheme="minorHAnsi" w:cstheme="minorHAnsi"/>
        </w:rPr>
        <w:t xml:space="preserve">additional </w:t>
      </w:r>
      <w:r w:rsidRPr="00036D13">
        <w:rPr>
          <w:rFonts w:asciiTheme="minorHAnsi" w:hAnsiTheme="minorHAnsi" w:cstheme="minorHAnsi"/>
        </w:rPr>
        <w:t>guidance, please consult the External Examiners Administrator (</w:t>
      </w:r>
      <w:r>
        <w:rPr>
          <w:rFonts w:asciiTheme="minorHAnsi" w:hAnsiTheme="minorHAnsi" w:cstheme="minorHAnsi"/>
        </w:rPr>
        <w:t>GQASC</w:t>
      </w:r>
      <w:r w:rsidRPr="00036D13">
        <w:rPr>
          <w:rFonts w:asciiTheme="minorHAnsi" w:hAnsiTheme="minorHAnsi" w:cstheme="minorHAnsi"/>
        </w:rPr>
        <w:t>).</w:t>
      </w:r>
    </w:p>
  </w:footnote>
  <w:footnote w:id="17">
    <w:p w14:paraId="2EA30693" w14:textId="59952055"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Normally at FHEQ level 5 and above, however certain level 3 and 4 provision</w:t>
      </w:r>
      <w:r>
        <w:rPr>
          <w:rFonts w:asciiTheme="minorHAnsi" w:hAnsiTheme="minorHAnsi" w:cstheme="minorHAnsi"/>
        </w:rPr>
        <w:t xml:space="preserve"> including some PSRB-regulated programmes</w:t>
      </w:r>
      <w:r w:rsidRPr="00036D13">
        <w:rPr>
          <w:rFonts w:asciiTheme="minorHAnsi" w:hAnsiTheme="minorHAnsi" w:cstheme="minorHAnsi"/>
        </w:rPr>
        <w:t xml:space="preserve"> may be assigned </w:t>
      </w:r>
      <w:r>
        <w:rPr>
          <w:rFonts w:asciiTheme="minorHAnsi" w:hAnsiTheme="minorHAnsi" w:cstheme="minorHAnsi"/>
        </w:rPr>
        <w:t xml:space="preserve">a requirement for </w:t>
      </w:r>
      <w:r w:rsidRPr="00036D13">
        <w:rPr>
          <w:rFonts w:asciiTheme="minorHAnsi" w:hAnsiTheme="minorHAnsi" w:cstheme="minorHAnsi"/>
        </w:rPr>
        <w:t>external examin</w:t>
      </w:r>
      <w:r>
        <w:rPr>
          <w:rFonts w:asciiTheme="minorHAnsi" w:hAnsiTheme="minorHAnsi" w:cstheme="minorHAnsi"/>
        </w:rPr>
        <w:t>ation at</w:t>
      </w:r>
      <w:r w:rsidRPr="00036D13">
        <w:rPr>
          <w:rFonts w:asciiTheme="minorHAnsi" w:hAnsiTheme="minorHAnsi" w:cstheme="minorHAnsi"/>
        </w:rPr>
        <w:t xml:space="preserve"> Institutional validation.</w:t>
      </w:r>
    </w:p>
  </w:footnote>
  <w:footnote w:id="18">
    <w:p w14:paraId="3F400E45" w14:textId="0E606D45"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EESC</w:t>
      </w:r>
      <w:r w:rsidRPr="00036D13">
        <w:rPr>
          <w:rFonts w:asciiTheme="minorHAnsi" w:hAnsiTheme="minorHAnsi" w:cstheme="minorHAnsi"/>
        </w:rPr>
        <w:t xml:space="preserve"> receives regular reports from Faculties confirming external examiner coverage and highlighting current or imminent vacancies.</w:t>
      </w:r>
    </w:p>
  </w:footnote>
  <w:footnote w:id="19">
    <w:p w14:paraId="177030E1" w14:textId="6CF3A316"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Available </w:t>
      </w:r>
      <w:r>
        <w:rPr>
          <w:rFonts w:asciiTheme="minorHAnsi" w:hAnsiTheme="minorHAnsi" w:cstheme="minorHAnsi"/>
        </w:rPr>
        <w:t>from</w:t>
      </w:r>
      <w:r w:rsidRPr="00036D13">
        <w:rPr>
          <w:rFonts w:asciiTheme="minorHAnsi" w:hAnsiTheme="minorHAnsi" w:cstheme="minorHAnsi"/>
        </w:rPr>
        <w:t xml:space="preserve"> </w:t>
      </w:r>
      <w:hyperlink r:id="rId12">
        <w:r w:rsidRPr="00036D13">
          <w:rPr>
            <w:rFonts w:asciiTheme="minorHAnsi" w:hAnsiTheme="minorHAnsi" w:cstheme="minorHAnsi"/>
            <w:color w:val="0000FF"/>
          </w:rPr>
          <w:t xml:space="preserve">https://go.edgehill.ac.uk/display/aqdu/External+Examiners </w:t>
        </w:r>
      </w:hyperlink>
      <w:r w:rsidRPr="00036D13">
        <w:rPr>
          <w:rFonts w:asciiTheme="minorHAnsi" w:hAnsiTheme="minorHAnsi" w:cstheme="minorHAnsi"/>
        </w:rPr>
        <w:t>.</w:t>
      </w:r>
    </w:p>
  </w:footnote>
  <w:footnote w:id="20">
    <w:p w14:paraId="460FE9FA" w14:textId="409602DE"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Based on the estimated time for moderation and other activities contained within the University’s workload model for external examiners – see</w:t>
      </w:r>
      <w:r>
        <w:rPr>
          <w:rFonts w:asciiTheme="minorHAnsi" w:hAnsiTheme="minorHAnsi" w:cstheme="minorHAnsi"/>
        </w:rPr>
        <w:t xml:space="preserve"> ‘E</w:t>
      </w:r>
      <w:r w:rsidRPr="005B14A5">
        <w:rPr>
          <w:rFonts w:asciiTheme="minorHAnsi" w:hAnsiTheme="minorHAnsi" w:cstheme="minorHAnsi"/>
        </w:rPr>
        <w:t>dge Hill University External Examiners Workload Model</w:t>
      </w:r>
      <w:r>
        <w:rPr>
          <w:rFonts w:asciiTheme="minorHAnsi" w:hAnsiTheme="minorHAnsi" w:cstheme="minorHAnsi"/>
        </w:rPr>
        <w:t>’</w:t>
      </w:r>
      <w:r w:rsidRPr="00036D13">
        <w:rPr>
          <w:rFonts w:asciiTheme="minorHAnsi" w:hAnsiTheme="minorHAnsi" w:cstheme="minorHAnsi"/>
        </w:rPr>
        <w:t>, below.</w:t>
      </w:r>
    </w:p>
  </w:footnote>
  <w:footnote w:id="21">
    <w:p w14:paraId="55B793ED" w14:textId="77777777" w:rsidR="004B5085" w:rsidRPr="00036D13" w:rsidRDefault="004B5085" w:rsidP="007228E8">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Available at </w:t>
      </w:r>
      <w:hyperlink r:id="rId13" w:history="1">
        <w:r w:rsidRPr="00531794">
          <w:rPr>
            <w:rStyle w:val="Hyperlink"/>
            <w:rFonts w:asciiTheme="minorHAnsi" w:hAnsiTheme="minorHAnsi" w:cstheme="minorHAnsi"/>
            <w:u w:val="none"/>
          </w:rPr>
          <w:t>https://go.edgehill.ac.uk/display/aqdu/Template+Documents</w:t>
        </w:r>
      </w:hyperlink>
      <w:r w:rsidRPr="00036D13">
        <w:rPr>
          <w:rFonts w:asciiTheme="minorHAnsi" w:hAnsiTheme="minorHAnsi" w:cstheme="minorHAnsi"/>
        </w:rPr>
        <w:t>.</w:t>
      </w:r>
    </w:p>
  </w:footnote>
  <w:footnote w:id="22">
    <w:p w14:paraId="7D7ACD6E" w14:textId="39AB5B3E" w:rsidR="004B5085" w:rsidRPr="00036D13" w:rsidRDefault="004B5085" w:rsidP="00EE7CD4">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Nominations may exceptionally be approved by EESC Chair’s Action outside the cycle of scheduled meetings</w:t>
      </w:r>
      <w:r>
        <w:rPr>
          <w:rFonts w:asciiTheme="minorHAnsi" w:hAnsiTheme="minorHAnsi" w:cstheme="minorHAnsi"/>
        </w:rPr>
        <w:t xml:space="preserve">, e.g., to fill current or imminent vacancies. </w:t>
      </w:r>
      <w:r w:rsidRPr="004B5085">
        <w:rPr>
          <w:rFonts w:asciiTheme="minorHAnsi" w:hAnsiTheme="minorHAnsi" w:cstheme="minorHAnsi"/>
        </w:rPr>
        <w:t>Where the nomination is from the same Faculty as the Chair of EESC, Chair’s Action will be taken by the Deputy Chair of EESC.</w:t>
      </w:r>
    </w:p>
  </w:footnote>
  <w:footnote w:id="23">
    <w:p w14:paraId="14F66E6F" w14:textId="77777777" w:rsidR="004B5085" w:rsidRPr="00036D13" w:rsidRDefault="004B5085" w:rsidP="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Available at </w:t>
      </w:r>
      <w:hyperlink r:id="rId14">
        <w:r w:rsidRPr="00036D13">
          <w:rPr>
            <w:rFonts w:asciiTheme="minorHAnsi" w:hAnsiTheme="minorHAnsi" w:cstheme="minorHAnsi"/>
            <w:color w:val="0000FF"/>
          </w:rPr>
          <w:t xml:space="preserve">https://go.edgehill.ac.uk/display/aqdu/External+Examiners </w:t>
        </w:r>
      </w:hyperlink>
      <w:r w:rsidRPr="00036D13">
        <w:rPr>
          <w:rFonts w:asciiTheme="minorHAnsi" w:hAnsiTheme="minorHAnsi" w:cstheme="minorHAnsi"/>
        </w:rPr>
        <w:t>.</w:t>
      </w:r>
    </w:p>
  </w:footnote>
  <w:footnote w:id="24">
    <w:p w14:paraId="47044D40" w14:textId="77777777" w:rsidR="004B5085" w:rsidRPr="00036D13" w:rsidRDefault="004B5085" w:rsidP="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This would include retirement and redundancy.</w:t>
      </w:r>
    </w:p>
  </w:footnote>
  <w:footnote w:id="25">
    <w:p w14:paraId="0B147B40" w14:textId="77777777" w:rsidR="004B5085" w:rsidRPr="00036D13" w:rsidRDefault="004B5085" w:rsidP="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Relevant employment in this case would constitute appointment to another academic position in the same discipline area.</w:t>
      </w:r>
    </w:p>
  </w:footnote>
  <w:footnote w:id="26">
    <w:p w14:paraId="5A9F9F86" w14:textId="7BD65CE2" w:rsidR="004B5085" w:rsidRPr="00116AB4"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Available </w:t>
      </w:r>
      <w:r>
        <w:rPr>
          <w:rFonts w:asciiTheme="minorHAnsi" w:hAnsiTheme="minorHAnsi" w:cstheme="minorHAnsi"/>
        </w:rPr>
        <w:t xml:space="preserve">via </w:t>
      </w:r>
      <w:hyperlink r:id="rId15" w:history="1">
        <w:r w:rsidRPr="00E00760">
          <w:rPr>
            <w:rStyle w:val="Hyperlink"/>
            <w:u w:val="none"/>
          </w:rPr>
          <w:t>www.edgehill.ac.uk/documents/collection/academic-regulations/</w:t>
        </w:r>
      </w:hyperlink>
      <w:r w:rsidRPr="00E00760">
        <w:t xml:space="preserve">.  </w:t>
      </w:r>
    </w:p>
  </w:footnote>
  <w:footnote w:id="27">
    <w:p w14:paraId="38B7C261" w14:textId="3D4033CA" w:rsidR="004B5085" w:rsidRPr="00116AB4"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Pr>
          <w:rFonts w:asciiTheme="minorHAnsi" w:hAnsiTheme="minorHAnsi" w:cstheme="minorHAnsi"/>
        </w:rPr>
        <w:t xml:space="preserve"> Available at </w:t>
      </w:r>
      <w:hyperlink r:id="rId16" w:history="1">
        <w:r w:rsidRPr="00747527">
          <w:rPr>
            <w:rStyle w:val="Hyperlink"/>
          </w:rPr>
          <w:t>https://www.edgehill.ac.uk/gqasc/agqa/external-examiners/useful-information/</w:t>
        </w:r>
      </w:hyperlink>
      <w:r>
        <w:t>.</w:t>
      </w:r>
    </w:p>
  </w:footnote>
  <w:footnote w:id="28">
    <w:p w14:paraId="263CFFC4" w14:textId="474AE0C9" w:rsidR="004B5085" w:rsidRDefault="004B5085">
      <w:pPr>
        <w:pStyle w:val="FootnoteText"/>
      </w:pPr>
      <w:r>
        <w:rPr>
          <w:rStyle w:val="FootnoteReference"/>
        </w:rPr>
        <w:footnoteRef/>
      </w:r>
      <w:r>
        <w:t xml:space="preserve"> </w:t>
      </w:r>
      <w:hyperlink r:id="rId17" w:history="1">
        <w:r w:rsidRPr="00E00760">
          <w:rPr>
            <w:rStyle w:val="Hyperlink"/>
            <w:u w:val="none"/>
          </w:rPr>
          <w:t>www.edgehill.ac.uk/aqdu/files/2020/09/Privacy-Notice-External-Examiners.pdf</w:t>
        </w:r>
      </w:hyperlink>
      <w:r>
        <w:t xml:space="preserve">.  </w:t>
      </w:r>
    </w:p>
  </w:footnote>
  <w:footnote w:id="29">
    <w:p w14:paraId="672518F8" w14:textId="4476BFD0"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18" w:history="1">
        <w:r w:rsidRPr="00036D13">
          <w:rPr>
            <w:rStyle w:val="Hyperlink"/>
            <w:rFonts w:asciiTheme="minorHAnsi" w:hAnsiTheme="minorHAnsi" w:cstheme="minorHAnsi"/>
            <w:u w:val="none"/>
          </w:rPr>
          <w:t>www.edgehill.ac.uk/documents/data-protection-policy/</w:t>
        </w:r>
      </w:hyperlink>
      <w:r w:rsidRPr="00036D13">
        <w:rPr>
          <w:rFonts w:asciiTheme="minorHAnsi" w:hAnsiTheme="minorHAnsi" w:cstheme="minorHAnsi"/>
          <w:color w:val="0000FF"/>
        </w:rPr>
        <w:t xml:space="preserve">. </w:t>
      </w:r>
    </w:p>
  </w:footnote>
  <w:footnote w:id="30">
    <w:p w14:paraId="153BC920" w14:textId="5A9FED19"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19" w:history="1">
        <w:r w:rsidRPr="00036D13">
          <w:rPr>
            <w:rStyle w:val="Hyperlink"/>
            <w:rFonts w:asciiTheme="minorHAnsi" w:hAnsiTheme="minorHAnsi" w:cstheme="minorHAnsi"/>
            <w:u w:val="none"/>
          </w:rPr>
          <w:t>www.edgehill.ac.uk/documents/information-security-policy/</w:t>
        </w:r>
      </w:hyperlink>
      <w:r w:rsidRPr="00036D13">
        <w:rPr>
          <w:rFonts w:asciiTheme="minorHAnsi" w:hAnsiTheme="minorHAnsi" w:cstheme="minorHAnsi"/>
          <w:color w:val="0000FF"/>
        </w:rPr>
        <w:t xml:space="preserve">. </w:t>
      </w:r>
    </w:p>
  </w:footnote>
  <w:footnote w:id="31">
    <w:p w14:paraId="5B2AE920" w14:textId="12EA982B"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 xml:space="preserve">Available at </w:t>
      </w:r>
      <w:hyperlink r:id="rId20" w:history="1">
        <w:r w:rsidRPr="00464A3B">
          <w:rPr>
            <w:rStyle w:val="Hyperlink"/>
            <w:u w:val="none"/>
          </w:rPr>
          <w:t>https://go.edgehill.ac.uk/display/aqdu/Faculty+Quality+Processes+and+Responsibilities</w:t>
        </w:r>
      </w:hyperlink>
      <w:r>
        <w:rPr>
          <w:rFonts w:asciiTheme="minorHAnsi" w:hAnsiTheme="minorHAnsi" w:cstheme="minorHAnsi"/>
        </w:rPr>
        <w:t xml:space="preserve">. </w:t>
      </w:r>
    </w:p>
  </w:footnote>
  <w:footnote w:id="32">
    <w:p w14:paraId="76D54BD5" w14:textId="19BBAC6F"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For further details s</w:t>
      </w:r>
      <w:r w:rsidRPr="00463D62">
        <w:rPr>
          <w:rFonts w:asciiTheme="minorHAnsi" w:hAnsiTheme="minorHAnsi" w:cstheme="minorHAnsi"/>
        </w:rPr>
        <w:t>ee</w:t>
      </w:r>
      <w:r>
        <w:rPr>
          <w:rFonts w:asciiTheme="minorHAnsi" w:hAnsiTheme="minorHAnsi" w:cstheme="minorHAnsi"/>
        </w:rPr>
        <w:t xml:space="preserve"> below section</w:t>
      </w:r>
      <w:r w:rsidRPr="00463D62">
        <w:rPr>
          <w:rFonts w:asciiTheme="minorHAnsi" w:hAnsiTheme="minorHAnsi" w:cstheme="minorHAnsi"/>
        </w:rPr>
        <w:t xml:space="preserve"> </w:t>
      </w:r>
      <w:r>
        <w:rPr>
          <w:rFonts w:asciiTheme="minorHAnsi" w:hAnsiTheme="minorHAnsi" w:cstheme="minorHAnsi"/>
        </w:rPr>
        <w:t>on ‘Edge Hill University External Examiners Workload Model’, below.</w:t>
      </w:r>
    </w:p>
  </w:footnote>
  <w:footnote w:id="33">
    <w:p w14:paraId="6AA9F6C3" w14:textId="7E01FD5E"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Available at </w:t>
      </w:r>
      <w:hyperlink r:id="rId21" w:history="1">
        <w:r w:rsidRPr="00531794">
          <w:rPr>
            <w:rStyle w:val="Hyperlink"/>
            <w:rFonts w:asciiTheme="minorHAnsi" w:hAnsiTheme="minorHAnsi" w:cstheme="minorHAnsi"/>
            <w:u w:val="none"/>
          </w:rPr>
          <w:t>https://go.edgehill.ac.uk/display/aqdu/Template+Documents</w:t>
        </w:r>
      </w:hyperlink>
      <w:r w:rsidRPr="00036D13">
        <w:rPr>
          <w:rFonts w:asciiTheme="minorHAnsi" w:hAnsiTheme="minorHAnsi" w:cstheme="minorHAnsi"/>
        </w:rPr>
        <w:t>.</w:t>
      </w:r>
    </w:p>
  </w:footnote>
  <w:footnote w:id="34">
    <w:p w14:paraId="7CC9ADC4" w14:textId="77777777"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Via module or programme handbooks and/ or the Learning Edge Virtual Learning Environment.</w:t>
      </w:r>
    </w:p>
  </w:footnote>
  <w:footnote w:id="35">
    <w:p w14:paraId="601C3B7A" w14:textId="79119373" w:rsidR="004B5085" w:rsidRPr="0010707D"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Students who wish to raise an academic issue or concern are directed to the relevant University systems and procedures, e.g. personal tutors, programme boards and </w:t>
      </w:r>
      <w:r>
        <w:rPr>
          <w:rFonts w:asciiTheme="minorHAnsi" w:hAnsiTheme="minorHAnsi" w:cstheme="minorHAnsi"/>
        </w:rPr>
        <w:t>Institutional</w:t>
      </w:r>
      <w:r w:rsidRPr="00036D13">
        <w:rPr>
          <w:rFonts w:asciiTheme="minorHAnsi" w:hAnsiTheme="minorHAnsi" w:cstheme="minorHAnsi"/>
        </w:rPr>
        <w:t xml:space="preserve"> processes for complaints </w:t>
      </w:r>
      <w:hyperlink r:id="rId22" w:history="1">
        <w:r w:rsidRPr="00747527">
          <w:rPr>
            <w:rStyle w:val="Hyperlink"/>
            <w:rFonts w:asciiTheme="minorHAnsi" w:hAnsiTheme="minorHAnsi" w:cstheme="minorHAnsi"/>
          </w:rPr>
          <w:t>https://www.edgehill.ac.uk/gqasc/student-casework-2/complaints/</w:t>
        </w:r>
      </w:hyperlink>
      <w:r>
        <w:rPr>
          <w:rFonts w:asciiTheme="minorHAnsi" w:hAnsiTheme="minorHAnsi" w:cstheme="minorHAnsi"/>
        </w:rPr>
        <w:t xml:space="preserve"> </w:t>
      </w:r>
      <w:r>
        <w:t xml:space="preserve"> </w:t>
      </w:r>
      <w:r w:rsidRPr="0010707D">
        <w:rPr>
          <w:rFonts w:asciiTheme="minorHAnsi" w:hAnsiTheme="minorHAnsi" w:cstheme="minorHAnsi"/>
        </w:rPr>
        <w:t xml:space="preserve">and academic appeals </w:t>
      </w:r>
      <w:hyperlink r:id="rId23" w:history="1">
        <w:r w:rsidRPr="00747527">
          <w:rPr>
            <w:rStyle w:val="Hyperlink"/>
          </w:rPr>
          <w:t>https://www.edgehill.ac.uk/gqasc/student-casework-2/academicappeals/</w:t>
        </w:r>
      </w:hyperlink>
      <w:r>
        <w:t xml:space="preserve"> </w:t>
      </w:r>
      <w:r w:rsidRPr="0010707D">
        <w:rPr>
          <w:rFonts w:asciiTheme="minorHAnsi" w:hAnsiTheme="minorHAnsi" w:cstheme="minorHAnsi"/>
        </w:rPr>
        <w:t xml:space="preserve">. </w:t>
      </w:r>
    </w:p>
  </w:footnote>
  <w:footnote w:id="36">
    <w:p w14:paraId="03459BF1" w14:textId="655FDDF0" w:rsidR="004B5085" w:rsidRDefault="004B5085">
      <w:pPr>
        <w:pStyle w:val="FootnoteText"/>
      </w:pPr>
      <w:r>
        <w:rPr>
          <w:rStyle w:val="FootnoteReference"/>
        </w:rPr>
        <w:footnoteRef/>
      </w:r>
      <w:r>
        <w:t xml:space="preserve"> Subject to government advice. For example, travel restrictions imposed during the Covid-19 pandemic, in which case alternative arrangements are made. </w:t>
      </w:r>
    </w:p>
  </w:footnote>
  <w:footnote w:id="37">
    <w:p w14:paraId="27BC6DF2" w14:textId="0B820C65"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For further details see below section on ‘Edge Hill University’s External Examiner Workload Model’.</w:t>
      </w:r>
    </w:p>
  </w:footnote>
  <w:footnote w:id="38">
    <w:p w14:paraId="6F89B0D9" w14:textId="77777777" w:rsidR="004B5085" w:rsidRPr="00036D13" w:rsidRDefault="004B5085" w:rsidP="004B6E04">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For moderation sample size</w:t>
      </w:r>
      <w:r>
        <w:rPr>
          <w:rFonts w:asciiTheme="minorHAnsi" w:hAnsiTheme="minorHAnsi" w:cstheme="minorHAnsi"/>
        </w:rPr>
        <w:t>s</w:t>
      </w:r>
      <w:r w:rsidRPr="00036D13">
        <w:rPr>
          <w:rFonts w:asciiTheme="minorHAnsi" w:hAnsiTheme="minorHAnsi" w:cstheme="minorHAnsi"/>
        </w:rPr>
        <w:t xml:space="preserve"> see </w:t>
      </w:r>
      <w:r w:rsidRPr="00036D13">
        <w:rPr>
          <w:rFonts w:asciiTheme="minorHAnsi" w:hAnsiTheme="minorHAnsi" w:cstheme="minorHAnsi"/>
          <w:i/>
        </w:rPr>
        <w:t xml:space="preserve">‘Marking and Moderating Assessed Work’ </w:t>
      </w:r>
      <w:r w:rsidRPr="00036D13">
        <w:rPr>
          <w:rFonts w:asciiTheme="minorHAnsi" w:hAnsiTheme="minorHAnsi" w:cstheme="minorHAnsi"/>
        </w:rPr>
        <w:t xml:space="preserve">(EHU, 2013). </w:t>
      </w:r>
      <w:r>
        <w:rPr>
          <w:rFonts w:asciiTheme="minorHAnsi" w:hAnsiTheme="minorHAnsi" w:cstheme="minorHAnsi"/>
        </w:rPr>
        <w:t>W</w:t>
      </w:r>
      <w:r w:rsidRPr="007902F4">
        <w:rPr>
          <w:rFonts w:asciiTheme="minorHAnsi" w:hAnsiTheme="minorHAnsi" w:cstheme="minorHAnsi"/>
        </w:rPr>
        <w:t xml:space="preserve">here a programme/module is delivered across multiple partners, samples for external moderation must include all partners for a programme and this should be clearly labelled to allow comparability between cohorts. </w:t>
      </w:r>
      <w:r>
        <w:rPr>
          <w:rFonts w:asciiTheme="minorHAnsi" w:hAnsiTheme="minorHAnsi" w:cstheme="minorHAnsi"/>
        </w:rPr>
        <w:t>However, t</w:t>
      </w:r>
      <w:r w:rsidRPr="007902F4">
        <w:rPr>
          <w:rFonts w:asciiTheme="minorHAnsi" w:hAnsiTheme="minorHAnsi" w:cstheme="minorHAnsi"/>
        </w:rPr>
        <w:t>h</w:t>
      </w:r>
      <w:r>
        <w:rPr>
          <w:rFonts w:asciiTheme="minorHAnsi" w:hAnsiTheme="minorHAnsi" w:cstheme="minorHAnsi"/>
        </w:rPr>
        <w:t>e overall sample</w:t>
      </w:r>
      <w:r w:rsidRPr="007902F4">
        <w:rPr>
          <w:rFonts w:asciiTheme="minorHAnsi" w:hAnsiTheme="minorHAnsi" w:cstheme="minorHAnsi"/>
        </w:rPr>
        <w:t xml:space="preserve"> should not exceed the sample size as defined in the policy.</w:t>
      </w:r>
      <w:hyperlink r:id="rId24" w:history="1">
        <w:r w:rsidRPr="00036D13">
          <w:rPr>
            <w:rStyle w:val="Hyperlink"/>
            <w:rFonts w:asciiTheme="minorHAnsi" w:hAnsiTheme="minorHAnsi" w:cstheme="minorHAnsi"/>
            <w:u w:val="none"/>
          </w:rPr>
          <w:t>www.edgehill.ac.uk/clt/files/2013/01/MarkingModeratingAssessedWork.pdf</w:t>
        </w:r>
      </w:hyperlink>
      <w:r w:rsidRPr="00036D13">
        <w:rPr>
          <w:rFonts w:asciiTheme="minorHAnsi" w:hAnsiTheme="minorHAnsi" w:cstheme="minorHAnsi"/>
        </w:rPr>
        <w:t xml:space="preserve">. </w:t>
      </w:r>
    </w:p>
  </w:footnote>
  <w:footnote w:id="39">
    <w:p w14:paraId="02D2B1BD" w14:textId="53D0965F"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See the University’s guidelines on </w:t>
      </w:r>
      <w:r w:rsidRPr="00036D13">
        <w:rPr>
          <w:rFonts w:asciiTheme="minorHAnsi" w:hAnsiTheme="minorHAnsi" w:cstheme="minorHAnsi"/>
          <w:i/>
        </w:rPr>
        <w:t xml:space="preserve">‘Marking and Moderating Assessed Work’ </w:t>
      </w:r>
      <w:r w:rsidRPr="00036D13">
        <w:rPr>
          <w:rFonts w:asciiTheme="minorHAnsi" w:hAnsiTheme="minorHAnsi" w:cstheme="minorHAnsi"/>
        </w:rPr>
        <w:t xml:space="preserve">at </w:t>
      </w:r>
      <w:hyperlink r:id="rId25" w:history="1">
        <w:r w:rsidRPr="00036D13">
          <w:rPr>
            <w:rStyle w:val="Hyperlink"/>
            <w:rFonts w:asciiTheme="minorHAnsi" w:hAnsiTheme="minorHAnsi" w:cstheme="minorHAnsi"/>
            <w:u w:val="none"/>
          </w:rPr>
          <w:t>www.edgehill.ac.uk/clt/about/strategies-and-policies/</w:t>
        </w:r>
      </w:hyperlink>
      <w:r w:rsidRPr="00036D13">
        <w:rPr>
          <w:rFonts w:asciiTheme="minorHAnsi" w:hAnsiTheme="minorHAnsi" w:cstheme="minorHAnsi"/>
        </w:rPr>
        <w:t xml:space="preserve">. </w:t>
      </w:r>
    </w:p>
  </w:footnote>
  <w:footnote w:id="40">
    <w:p w14:paraId="67F94473" w14:textId="22BB1FBA"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 xml:space="preserve">See </w:t>
      </w:r>
      <w:r w:rsidRPr="00036D13">
        <w:rPr>
          <w:rFonts w:asciiTheme="minorHAnsi" w:hAnsiTheme="minorHAnsi" w:cstheme="minorHAnsi"/>
        </w:rPr>
        <w:t>Chapter 7.</w:t>
      </w:r>
    </w:p>
  </w:footnote>
  <w:footnote w:id="41">
    <w:p w14:paraId="60C3D0BC" w14:textId="7FBCEB8C" w:rsidR="004B5085" w:rsidRPr="00417229"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sidRPr="004B6E04">
        <w:rPr>
          <w:rFonts w:asciiTheme="minorHAnsi" w:hAnsiTheme="minorHAnsi" w:cstheme="minorHAnsi"/>
        </w:rPr>
        <w:t>See Chapter 7</w:t>
      </w:r>
      <w:r>
        <w:rPr>
          <w:rFonts w:asciiTheme="minorHAnsi" w:hAnsiTheme="minorHAnsi" w:cstheme="minorHAnsi"/>
        </w:rPr>
        <w:t>.</w:t>
      </w:r>
      <w:r w:rsidRPr="00036D13">
        <w:rPr>
          <w:rFonts w:asciiTheme="minorHAnsi" w:hAnsiTheme="minorHAnsi" w:cstheme="minorHAnsi"/>
        </w:rPr>
        <w:t xml:space="preserve"> </w:t>
      </w:r>
    </w:p>
  </w:footnote>
  <w:footnote w:id="42">
    <w:p w14:paraId="32E6BEAC" w14:textId="77777777"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Including via the Learning Edge Virtual Learning Environment.</w:t>
      </w:r>
    </w:p>
  </w:footnote>
  <w:footnote w:id="43">
    <w:p w14:paraId="61441071" w14:textId="77777777" w:rsidR="004B5085" w:rsidRPr="00036D13" w:rsidRDefault="004B5085" w:rsidP="001F1F0E">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While</w:t>
      </w:r>
      <w:r>
        <w:rPr>
          <w:rFonts w:asciiTheme="minorHAnsi" w:hAnsiTheme="minorHAnsi" w:cstheme="minorHAnsi"/>
        </w:rPr>
        <w:t xml:space="preserve"> only</w:t>
      </w:r>
      <w:r w:rsidRPr="00036D13">
        <w:rPr>
          <w:rFonts w:asciiTheme="minorHAnsi" w:hAnsiTheme="minorHAnsi" w:cstheme="minorHAnsi"/>
        </w:rPr>
        <w:t xml:space="preserve"> internally</w:t>
      </w:r>
      <w:r>
        <w:rPr>
          <w:rFonts w:asciiTheme="minorHAnsi" w:hAnsiTheme="minorHAnsi" w:cstheme="minorHAnsi"/>
        </w:rPr>
        <w:t xml:space="preserve"> </w:t>
      </w:r>
      <w:r w:rsidRPr="00036D13">
        <w:rPr>
          <w:rFonts w:asciiTheme="minorHAnsi" w:hAnsiTheme="minorHAnsi" w:cstheme="minorHAnsi"/>
        </w:rPr>
        <w:t xml:space="preserve">moderated work is provided to external examiners as standard, other assessed work may be </w:t>
      </w:r>
      <w:r>
        <w:rPr>
          <w:rFonts w:asciiTheme="minorHAnsi" w:hAnsiTheme="minorHAnsi" w:cstheme="minorHAnsi"/>
        </w:rPr>
        <w:t>accessed</w:t>
      </w:r>
      <w:r w:rsidRPr="00036D13">
        <w:rPr>
          <w:rFonts w:asciiTheme="minorHAnsi" w:hAnsiTheme="minorHAnsi" w:cstheme="minorHAnsi"/>
        </w:rPr>
        <w:t xml:space="preserve"> on request</w:t>
      </w:r>
      <w:r>
        <w:rPr>
          <w:rFonts w:asciiTheme="minorHAnsi" w:hAnsiTheme="minorHAnsi" w:cstheme="minorHAnsi"/>
        </w:rPr>
        <w:t xml:space="preserve"> to the Programme Leader</w:t>
      </w:r>
      <w:r w:rsidRPr="00036D13">
        <w:rPr>
          <w:rFonts w:asciiTheme="minorHAnsi" w:hAnsiTheme="minorHAnsi" w:cstheme="minorHAnsi"/>
        </w:rPr>
        <w:t>.</w:t>
      </w:r>
    </w:p>
  </w:footnote>
  <w:footnote w:id="44">
    <w:p w14:paraId="74286EE6" w14:textId="77777777" w:rsidR="004B5085" w:rsidRPr="00036D13" w:rsidRDefault="004B5085" w:rsidP="00422AEF">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 xml:space="preserve">Available at </w:t>
      </w:r>
      <w:hyperlink r:id="rId26" w:history="1">
        <w:r w:rsidRPr="00177073">
          <w:rPr>
            <w:rStyle w:val="Hyperlink"/>
            <w:u w:val="none"/>
          </w:rPr>
          <w:t>https://go.edgehill.ac.uk/display/aqdu/Faculty+Quality+Processes+and+Responsibilities</w:t>
        </w:r>
      </w:hyperlink>
      <w:r>
        <w:t>.</w:t>
      </w:r>
    </w:p>
  </w:footnote>
  <w:footnote w:id="45">
    <w:p w14:paraId="41B00BEC" w14:textId="4029CCAD"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See Chapter 4</w:t>
      </w:r>
      <w:r w:rsidRPr="00735C92">
        <w:rPr>
          <w:rFonts w:asciiTheme="minorHAnsi" w:hAnsiTheme="minorHAnsi" w:cstheme="minorHAnsi"/>
        </w:rPr>
        <w:t>.</w:t>
      </w:r>
    </w:p>
  </w:footnote>
  <w:footnote w:id="46">
    <w:p w14:paraId="7E941FFC" w14:textId="77777777" w:rsidR="004B5085" w:rsidRDefault="004B5085" w:rsidP="00422AEF">
      <w:pPr>
        <w:pStyle w:val="FootnoteText"/>
      </w:pPr>
      <w:r>
        <w:rPr>
          <w:rStyle w:val="FootnoteReference"/>
        </w:rPr>
        <w:footnoteRef/>
      </w:r>
      <w:r>
        <w:t xml:space="preserve"> See Chapter 4.</w:t>
      </w:r>
    </w:p>
  </w:footnote>
  <w:footnote w:id="47">
    <w:p w14:paraId="74313801" w14:textId="355F2871" w:rsidR="004B5085" w:rsidRDefault="004B5085">
      <w:pPr>
        <w:pStyle w:val="FootnoteText"/>
      </w:pPr>
      <w:r>
        <w:rPr>
          <w:rStyle w:val="FootnoteReference"/>
        </w:rPr>
        <w:footnoteRef/>
      </w:r>
      <w:r>
        <w:t xml:space="preserve"> See Chapter 5.</w:t>
      </w:r>
    </w:p>
  </w:footnote>
  <w:footnote w:id="48">
    <w:p w14:paraId="4118F112" w14:textId="432F4188" w:rsidR="004B5085" w:rsidRPr="00660681" w:rsidRDefault="004B5085" w:rsidP="00660681">
      <w:pPr>
        <w:contextualSpacing/>
        <w:rPr>
          <w:sz w:val="20"/>
          <w:szCs w:val="20"/>
        </w:rPr>
      </w:pPr>
      <w:r w:rsidRPr="00660681">
        <w:rPr>
          <w:rStyle w:val="FootnoteReference"/>
          <w:sz w:val="20"/>
          <w:szCs w:val="20"/>
        </w:rPr>
        <w:footnoteRef/>
      </w:r>
      <w:r w:rsidRPr="00660681">
        <w:rPr>
          <w:sz w:val="20"/>
          <w:szCs w:val="20"/>
        </w:rPr>
        <w:t xml:space="preserve"> Chief </w:t>
      </w:r>
      <w:r>
        <w:rPr>
          <w:sz w:val="20"/>
          <w:szCs w:val="20"/>
        </w:rPr>
        <w:t>external e</w:t>
      </w:r>
      <w:r w:rsidRPr="00660681">
        <w:rPr>
          <w:sz w:val="20"/>
          <w:szCs w:val="20"/>
        </w:rPr>
        <w:t>x</w:t>
      </w:r>
      <w:r>
        <w:rPr>
          <w:sz w:val="20"/>
          <w:szCs w:val="20"/>
        </w:rPr>
        <w:t>aminers are not required to produce</w:t>
      </w:r>
      <w:r w:rsidRPr="00660681">
        <w:rPr>
          <w:sz w:val="20"/>
          <w:szCs w:val="20"/>
        </w:rPr>
        <w:t xml:space="preserve"> a</w:t>
      </w:r>
      <w:r>
        <w:rPr>
          <w:sz w:val="20"/>
          <w:szCs w:val="20"/>
        </w:rPr>
        <w:t xml:space="preserve"> separate and</w:t>
      </w:r>
      <w:r w:rsidRPr="00660681">
        <w:rPr>
          <w:sz w:val="20"/>
          <w:szCs w:val="20"/>
        </w:rPr>
        <w:t xml:space="preserve"> additional annual report.</w:t>
      </w:r>
    </w:p>
  </w:footnote>
  <w:footnote w:id="49">
    <w:p w14:paraId="19C6342E" w14:textId="49CF5B68" w:rsidR="004B5085" w:rsidRPr="00036D13" w:rsidRDefault="004B5085" w:rsidP="00660681">
      <w:pPr>
        <w:rPr>
          <w:rFonts w:asciiTheme="minorHAnsi" w:hAnsiTheme="minorHAnsi" w:cstheme="minorHAnsi"/>
        </w:rPr>
      </w:pPr>
      <w:r w:rsidRPr="00660681">
        <w:rPr>
          <w:rStyle w:val="FootnoteReference"/>
          <w:rFonts w:asciiTheme="minorHAnsi" w:hAnsiTheme="minorHAnsi" w:cstheme="minorHAnsi"/>
          <w:sz w:val="20"/>
          <w:szCs w:val="20"/>
        </w:rPr>
        <w:footnoteRef/>
      </w:r>
      <w:r w:rsidRPr="00660681">
        <w:rPr>
          <w:rFonts w:asciiTheme="minorHAnsi" w:hAnsiTheme="minorHAnsi" w:cstheme="minorHAnsi"/>
          <w:sz w:val="20"/>
          <w:szCs w:val="20"/>
        </w:rPr>
        <w:t xml:space="preserve"> For current rates see </w:t>
      </w:r>
      <w:r w:rsidRPr="00660681">
        <w:rPr>
          <w:rFonts w:asciiTheme="minorHAnsi" w:hAnsiTheme="minorHAnsi" w:cstheme="minorHAnsi"/>
          <w:i/>
          <w:sz w:val="20"/>
          <w:szCs w:val="20"/>
        </w:rPr>
        <w:t xml:space="preserve">‘External Examiners’ Fees and Expenses Policy’ </w:t>
      </w:r>
      <w:r w:rsidRPr="00660681">
        <w:rPr>
          <w:rFonts w:asciiTheme="minorHAnsi" w:hAnsiTheme="minorHAnsi" w:cstheme="minorHAnsi"/>
          <w:sz w:val="20"/>
          <w:szCs w:val="20"/>
        </w:rPr>
        <w:t xml:space="preserve">at </w:t>
      </w:r>
      <w:hyperlink r:id="rId27" w:history="1">
        <w:r w:rsidRPr="00660681">
          <w:rPr>
            <w:rStyle w:val="Hyperlink"/>
            <w:sz w:val="20"/>
            <w:szCs w:val="20"/>
            <w:u w:val="none"/>
          </w:rPr>
          <w:t>https://go.edgehill.ac.uk/display/aqdu/Fees%2C+Workload+and+Expenses</w:t>
        </w:r>
      </w:hyperlink>
      <w:r w:rsidRPr="00036D13">
        <w:rPr>
          <w:rFonts w:asciiTheme="minorHAnsi" w:hAnsiTheme="minorHAnsi" w:cstheme="minorHAnsi"/>
        </w:rPr>
        <w:t>.</w:t>
      </w:r>
    </w:p>
  </w:footnote>
  <w:footnote w:id="50">
    <w:p w14:paraId="2F13C250" w14:textId="2A38162A" w:rsidR="004B5085" w:rsidRPr="00735C92" w:rsidRDefault="004B5085" w:rsidP="00D710CA">
      <w:pPr>
        <w:spacing w:after="0"/>
        <w:rPr>
          <w:rFonts w:asciiTheme="minorHAnsi" w:hAnsiTheme="minorHAnsi" w:cstheme="minorHAnsi"/>
          <w:sz w:val="20"/>
          <w:szCs w:val="20"/>
        </w:rPr>
      </w:pPr>
      <w:r w:rsidRPr="00036D13">
        <w:rPr>
          <w:rStyle w:val="FootnoteReference"/>
          <w:rFonts w:asciiTheme="minorHAnsi" w:hAnsiTheme="minorHAnsi" w:cstheme="minorHAnsi"/>
          <w:sz w:val="20"/>
          <w:szCs w:val="20"/>
        </w:rPr>
        <w:footnoteRef/>
      </w:r>
      <w:r w:rsidRPr="00036D13">
        <w:rPr>
          <w:rFonts w:asciiTheme="minorHAnsi" w:hAnsiTheme="minorHAnsi" w:cstheme="minorHAnsi"/>
          <w:sz w:val="20"/>
          <w:szCs w:val="20"/>
        </w:rPr>
        <w:t xml:space="preserve"> The link to the online external examiner report form is at </w:t>
      </w:r>
      <w:hyperlink r:id="rId28" w:history="1">
        <w:r w:rsidRPr="00735C92">
          <w:rPr>
            <w:rStyle w:val="Hyperlink"/>
            <w:rFonts w:asciiTheme="minorHAnsi" w:hAnsiTheme="minorHAnsi" w:cstheme="minorHAnsi"/>
            <w:sz w:val="20"/>
            <w:szCs w:val="20"/>
            <w:u w:val="none"/>
          </w:rPr>
          <w:t>www.edgehill.ac.uk/aqdu/external-examiners/annual-report/</w:t>
        </w:r>
      </w:hyperlink>
      <w:r w:rsidRPr="00735C92">
        <w:rPr>
          <w:rFonts w:asciiTheme="minorHAnsi" w:hAnsiTheme="minorHAnsi" w:cstheme="minorHAnsi"/>
          <w:sz w:val="20"/>
          <w:szCs w:val="20"/>
        </w:rPr>
        <w:t xml:space="preserve">. </w:t>
      </w:r>
    </w:p>
  </w:footnote>
  <w:footnote w:id="51">
    <w:p w14:paraId="22827A25" w14:textId="5EB70683" w:rsidR="004B5085" w:rsidRPr="00036D13" w:rsidRDefault="004B5085" w:rsidP="00B07AB8">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I.e.,</w:t>
      </w:r>
      <w:r w:rsidRPr="00036D13">
        <w:rPr>
          <w:rFonts w:asciiTheme="minorHAnsi" w:hAnsiTheme="minorHAnsi" w:cstheme="minorHAnsi"/>
        </w:rPr>
        <w:t xml:space="preserve"> at Institutional validation through the approval of Intended Learning Outcomes at module and programme level – see Chapter 4</w:t>
      </w:r>
      <w:r>
        <w:rPr>
          <w:rFonts w:asciiTheme="minorHAnsi" w:hAnsiTheme="minorHAnsi" w:cstheme="minorHAnsi"/>
        </w:rPr>
        <w:t>.</w:t>
      </w:r>
    </w:p>
  </w:footnote>
  <w:footnote w:id="52">
    <w:p w14:paraId="0294B26A" w14:textId="77777777" w:rsidR="004B5085" w:rsidRPr="00036D13" w:rsidRDefault="004B5085" w:rsidP="00B07AB8">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29" w:history="1">
        <w:r w:rsidRPr="00036D13">
          <w:rPr>
            <w:rStyle w:val="Hyperlink"/>
            <w:rFonts w:asciiTheme="minorHAnsi" w:hAnsiTheme="minorHAnsi" w:cstheme="minorHAnsi"/>
            <w:u w:val="none"/>
          </w:rPr>
          <w:t>www.edgehill.ac.uk/corporate-information/strategies-policies/</w:t>
        </w:r>
      </w:hyperlink>
      <w:r w:rsidRPr="00036D13">
        <w:rPr>
          <w:rFonts w:asciiTheme="minorHAnsi" w:hAnsiTheme="minorHAnsi" w:cstheme="minorHAnsi"/>
        </w:rPr>
        <w:t xml:space="preserve">.  </w:t>
      </w:r>
    </w:p>
  </w:footnote>
  <w:footnote w:id="53">
    <w:p w14:paraId="34143F69" w14:textId="61FAFB05" w:rsidR="004B5085" w:rsidRDefault="004B5085">
      <w:pPr>
        <w:pStyle w:val="FootnoteText"/>
      </w:pPr>
      <w:r>
        <w:rPr>
          <w:rStyle w:val="FootnoteReference"/>
        </w:rPr>
        <w:footnoteRef/>
      </w:r>
      <w:r>
        <w:t xml:space="preserve"> See also ‘Ending an External Examiner’s Engagement’, below.</w:t>
      </w:r>
    </w:p>
  </w:footnote>
  <w:footnote w:id="54">
    <w:p w14:paraId="274E1DFC" w14:textId="77777777"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At its November meeting</w:t>
      </w:r>
    </w:p>
  </w:footnote>
  <w:footnote w:id="55">
    <w:p w14:paraId="7AE115E6" w14:textId="1366DC36"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Using Form EE1 </w:t>
      </w:r>
      <w:r w:rsidRPr="00036D13">
        <w:rPr>
          <w:rFonts w:asciiTheme="minorHAnsi" w:hAnsiTheme="minorHAnsi" w:cstheme="minorHAnsi"/>
          <w:i/>
        </w:rPr>
        <w:t>‘Faculty Summary of External Examiner Reports and Department Responses’</w:t>
      </w:r>
      <w:r w:rsidRPr="00036D13">
        <w:rPr>
          <w:rFonts w:asciiTheme="minorHAnsi" w:hAnsiTheme="minorHAnsi" w:cstheme="minorHAnsi"/>
        </w:rPr>
        <w:t xml:space="preserve">, available at </w:t>
      </w:r>
      <w:hyperlink r:id="rId30" w:history="1">
        <w:r w:rsidRPr="00747527">
          <w:rPr>
            <w:rStyle w:val="Hyperlink"/>
          </w:rPr>
          <w:t xml:space="preserve"> </w:t>
        </w:r>
        <w:r w:rsidRPr="00747527">
          <w:rPr>
            <w:rStyle w:val="Hyperlink"/>
            <w:rFonts w:asciiTheme="minorHAnsi" w:hAnsiTheme="minorHAnsi" w:cstheme="minorHAnsi"/>
          </w:rPr>
          <w:t xml:space="preserve">https://go.edgehill.ac.uk/display/aqdu/Template+Documents. </w:t>
        </w:r>
      </w:hyperlink>
      <w:r w:rsidRPr="00036D13">
        <w:rPr>
          <w:rFonts w:asciiTheme="minorHAnsi" w:hAnsiTheme="minorHAnsi" w:cstheme="minorHAnsi"/>
        </w:rPr>
        <w:t>Faculty summaries are</w:t>
      </w:r>
      <w:r>
        <w:rPr>
          <w:rFonts w:asciiTheme="minorHAnsi" w:hAnsiTheme="minorHAnsi" w:cstheme="minorHAnsi"/>
        </w:rPr>
        <w:t xml:space="preserve"> typically</w:t>
      </w:r>
      <w:r w:rsidRPr="00036D13">
        <w:rPr>
          <w:rFonts w:asciiTheme="minorHAnsi" w:hAnsiTheme="minorHAnsi" w:cstheme="minorHAnsi"/>
        </w:rPr>
        <w:t xml:space="preserve"> received by EESC in February</w:t>
      </w:r>
      <w:r>
        <w:rPr>
          <w:rFonts w:asciiTheme="minorHAnsi" w:hAnsiTheme="minorHAnsi" w:cstheme="minorHAnsi"/>
        </w:rPr>
        <w:t xml:space="preserve"> or</w:t>
      </w:r>
      <w:r w:rsidRPr="00036D13">
        <w:rPr>
          <w:rFonts w:asciiTheme="minorHAnsi" w:hAnsiTheme="minorHAnsi" w:cstheme="minorHAnsi"/>
        </w:rPr>
        <w:t xml:space="preserve"> March.</w:t>
      </w:r>
    </w:p>
  </w:footnote>
  <w:footnote w:id="56">
    <w:p w14:paraId="28121217" w14:textId="61597789"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r>
        <w:rPr>
          <w:rFonts w:asciiTheme="minorHAnsi" w:hAnsiTheme="minorHAnsi" w:cstheme="minorHAnsi"/>
        </w:rPr>
        <w:t>See</w:t>
      </w:r>
      <w:r w:rsidRPr="00036D13">
        <w:rPr>
          <w:rFonts w:asciiTheme="minorHAnsi" w:hAnsiTheme="minorHAnsi" w:cstheme="minorHAnsi"/>
        </w:rPr>
        <w:t xml:space="preserve"> Chapter 8</w:t>
      </w:r>
      <w:r>
        <w:rPr>
          <w:rFonts w:asciiTheme="minorHAnsi" w:hAnsiTheme="minorHAnsi" w:cstheme="minorHAnsi"/>
        </w:rPr>
        <w:t>.</w:t>
      </w:r>
    </w:p>
  </w:footnote>
  <w:footnote w:id="57">
    <w:p w14:paraId="584CC7CF" w14:textId="47F2EACA"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31" w:history="1">
        <w:r w:rsidRPr="00475B57">
          <w:rPr>
            <w:rStyle w:val="Hyperlink"/>
          </w:rPr>
          <w:t>https://www.officeforstudents.org.uk/for-students/ofs-and-students/notifications/</w:t>
        </w:r>
      </w:hyperlink>
      <w:r>
        <w:t>.</w:t>
      </w:r>
    </w:p>
  </w:footnote>
  <w:footnote w:id="58">
    <w:p w14:paraId="149A26AB" w14:textId="6EB5745B"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w:t>
      </w:r>
      <w:hyperlink r:id="rId32" w:history="1">
        <w:r w:rsidRPr="003833BF">
          <w:t xml:space="preserve"> </w:t>
        </w:r>
        <w:r w:rsidRPr="003833BF">
          <w:rPr>
            <w:rStyle w:val="Hyperlink"/>
            <w:rFonts w:asciiTheme="minorHAnsi" w:hAnsiTheme="minorHAnsi" w:cstheme="minorHAnsi"/>
          </w:rPr>
          <w:t>https://go.edgehill.ac.uk/display/humanresources/Forms%2C+Policies+and+Documents</w:t>
        </w:r>
        <w:r w:rsidRPr="00475B57">
          <w:rPr>
            <w:rStyle w:val="Hyperlink"/>
            <w:rFonts w:asciiTheme="minorHAnsi" w:hAnsiTheme="minorHAnsi" w:cstheme="minorHAnsi"/>
          </w:rPr>
          <w:t xml:space="preserve">. </w:t>
        </w:r>
      </w:hyperlink>
    </w:p>
  </w:footnote>
  <w:footnote w:id="59">
    <w:p w14:paraId="00FE53A6" w14:textId="30509B60" w:rsidR="004B5085" w:rsidRPr="00036D13"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By the External Examiners Administrator acting on advice from the relevant Faculty.</w:t>
      </w:r>
    </w:p>
  </w:footnote>
  <w:footnote w:id="60">
    <w:p w14:paraId="37DBC4AC" w14:textId="26CA1611" w:rsidR="004B5085" w:rsidRPr="00FE1DBD" w:rsidRDefault="004B5085">
      <w:pPr>
        <w:pStyle w:val="FootnoteText"/>
        <w:rPr>
          <w:rFonts w:asciiTheme="minorHAnsi" w:hAnsiTheme="minorHAnsi" w:cstheme="minorHAnsi"/>
        </w:rPr>
      </w:pPr>
      <w:r w:rsidRPr="00036D13">
        <w:rPr>
          <w:rStyle w:val="FootnoteReference"/>
          <w:rFonts w:asciiTheme="minorHAnsi" w:hAnsiTheme="minorHAnsi" w:cstheme="minorHAnsi"/>
        </w:rPr>
        <w:footnoteRef/>
      </w:r>
      <w:r w:rsidRPr="00036D13">
        <w:rPr>
          <w:rFonts w:asciiTheme="minorHAnsi" w:hAnsiTheme="minorHAnsi" w:cstheme="minorHAnsi"/>
        </w:rPr>
        <w:t xml:space="preserve"> See </w:t>
      </w:r>
      <w:r>
        <w:rPr>
          <w:rFonts w:asciiTheme="minorHAnsi" w:hAnsiTheme="minorHAnsi" w:cstheme="minorHAnsi"/>
        </w:rPr>
        <w:t>Chapter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E17C" w14:textId="77777777" w:rsidR="004B5085" w:rsidRDefault="004B5085" w:rsidP="006218CA">
    <w:pPr>
      <w:pStyle w:val="Style1"/>
    </w:pPr>
    <w:r>
      <w:t>Edge Hill University</w:t>
    </w:r>
    <w:r>
      <w:tab/>
    </w:r>
    <w:r>
      <w:tab/>
      <w:t>Quality Management Handbook</w:t>
    </w:r>
  </w:p>
  <w:p w14:paraId="0F175BF0" w14:textId="67D7C2AE" w:rsidR="004B5085" w:rsidRPr="0012184B" w:rsidRDefault="004B5085" w:rsidP="006218CA">
    <w:pPr>
      <w:pStyle w:val="Style1"/>
    </w:pPr>
    <w:r>
      <w:tab/>
      <w:t xml:space="preserve">                                                                                                                               Chapter 2 External Examiners</w:t>
    </w:r>
    <w:r w:rsidRPr="0012184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4B6"/>
    <w:multiLevelType w:val="hybridMultilevel"/>
    <w:tmpl w:val="82EE73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061C8"/>
    <w:multiLevelType w:val="hybridMultilevel"/>
    <w:tmpl w:val="0228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438FE"/>
    <w:multiLevelType w:val="hybridMultilevel"/>
    <w:tmpl w:val="2F30B82A"/>
    <w:lvl w:ilvl="0" w:tplc="D1EE4600">
      <w:start w:val="6"/>
      <w:numFmt w:val="bullet"/>
      <w:lvlText w:val="-"/>
      <w:lvlJc w:val="left"/>
      <w:pPr>
        <w:ind w:left="737" w:hanging="377"/>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824"/>
    <w:multiLevelType w:val="hybridMultilevel"/>
    <w:tmpl w:val="B840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A67D6"/>
    <w:multiLevelType w:val="hybridMultilevel"/>
    <w:tmpl w:val="A036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C1CB4"/>
    <w:multiLevelType w:val="hybridMultilevel"/>
    <w:tmpl w:val="D37A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36DF4"/>
    <w:multiLevelType w:val="hybridMultilevel"/>
    <w:tmpl w:val="E7FE96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0576A"/>
    <w:multiLevelType w:val="hybridMultilevel"/>
    <w:tmpl w:val="9C74A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31B06"/>
    <w:multiLevelType w:val="hybridMultilevel"/>
    <w:tmpl w:val="C958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318E7"/>
    <w:multiLevelType w:val="hybridMultilevel"/>
    <w:tmpl w:val="1C32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015D6"/>
    <w:multiLevelType w:val="hybridMultilevel"/>
    <w:tmpl w:val="F2044A66"/>
    <w:lvl w:ilvl="0" w:tplc="8AD6A142">
      <w:start w:val="1"/>
      <w:numFmt w:val="decimal"/>
      <w:lvlText w:val="%1."/>
      <w:lvlJc w:val="left"/>
      <w:pPr>
        <w:ind w:left="317" w:hanging="320"/>
      </w:pPr>
      <w:rPr>
        <w:rFonts w:ascii="Calibri" w:eastAsia="Calibri" w:hAnsi="Calibri" w:cs="Calibri" w:hint="default"/>
        <w:b/>
        <w:bCs/>
        <w:color w:val="385623"/>
        <w:w w:val="100"/>
        <w:sz w:val="26"/>
        <w:szCs w:val="26"/>
      </w:rPr>
    </w:lvl>
    <w:lvl w:ilvl="1" w:tplc="CB562B00">
      <w:start w:val="1"/>
      <w:numFmt w:val="lowerRoman"/>
      <w:lvlText w:val="%2."/>
      <w:lvlJc w:val="left"/>
      <w:pPr>
        <w:ind w:left="1037" w:hanging="476"/>
        <w:jc w:val="right"/>
      </w:pPr>
      <w:rPr>
        <w:rFonts w:ascii="Calibri" w:eastAsia="Calibri" w:hAnsi="Calibri" w:cs="Calibri" w:hint="default"/>
        <w:spacing w:val="-2"/>
        <w:w w:val="100"/>
        <w:sz w:val="24"/>
        <w:szCs w:val="24"/>
      </w:rPr>
    </w:lvl>
    <w:lvl w:ilvl="2" w:tplc="14102FC6">
      <w:numFmt w:val="bullet"/>
      <w:lvlText w:val="•"/>
      <w:lvlJc w:val="left"/>
      <w:pPr>
        <w:ind w:left="1966" w:hanging="476"/>
      </w:pPr>
      <w:rPr>
        <w:rFonts w:hint="default"/>
      </w:rPr>
    </w:lvl>
    <w:lvl w:ilvl="3" w:tplc="434ABF14">
      <w:numFmt w:val="bullet"/>
      <w:lvlText w:val="•"/>
      <w:lvlJc w:val="left"/>
      <w:pPr>
        <w:ind w:left="2893" w:hanging="476"/>
      </w:pPr>
      <w:rPr>
        <w:rFonts w:hint="default"/>
      </w:rPr>
    </w:lvl>
    <w:lvl w:ilvl="4" w:tplc="083C531A">
      <w:numFmt w:val="bullet"/>
      <w:lvlText w:val="•"/>
      <w:lvlJc w:val="left"/>
      <w:pPr>
        <w:ind w:left="3820" w:hanging="476"/>
      </w:pPr>
      <w:rPr>
        <w:rFonts w:hint="default"/>
      </w:rPr>
    </w:lvl>
    <w:lvl w:ilvl="5" w:tplc="5CF0FA0A">
      <w:numFmt w:val="bullet"/>
      <w:lvlText w:val="•"/>
      <w:lvlJc w:val="left"/>
      <w:pPr>
        <w:ind w:left="4746" w:hanging="476"/>
      </w:pPr>
      <w:rPr>
        <w:rFonts w:hint="default"/>
      </w:rPr>
    </w:lvl>
    <w:lvl w:ilvl="6" w:tplc="E97A9B54">
      <w:numFmt w:val="bullet"/>
      <w:lvlText w:val="•"/>
      <w:lvlJc w:val="left"/>
      <w:pPr>
        <w:ind w:left="5673" w:hanging="476"/>
      </w:pPr>
      <w:rPr>
        <w:rFonts w:hint="default"/>
      </w:rPr>
    </w:lvl>
    <w:lvl w:ilvl="7" w:tplc="6770A990">
      <w:numFmt w:val="bullet"/>
      <w:lvlText w:val="•"/>
      <w:lvlJc w:val="left"/>
      <w:pPr>
        <w:ind w:left="6600" w:hanging="476"/>
      </w:pPr>
      <w:rPr>
        <w:rFonts w:hint="default"/>
      </w:rPr>
    </w:lvl>
    <w:lvl w:ilvl="8" w:tplc="9A52E780">
      <w:numFmt w:val="bullet"/>
      <w:lvlText w:val="•"/>
      <w:lvlJc w:val="left"/>
      <w:pPr>
        <w:ind w:left="7526" w:hanging="476"/>
      </w:pPr>
      <w:rPr>
        <w:rFonts w:hint="default"/>
      </w:rPr>
    </w:lvl>
  </w:abstractNum>
  <w:abstractNum w:abstractNumId="11" w15:restartNumberingAfterBreak="0">
    <w:nsid w:val="300444FC"/>
    <w:multiLevelType w:val="hybridMultilevel"/>
    <w:tmpl w:val="99B664E4"/>
    <w:lvl w:ilvl="0" w:tplc="08090001">
      <w:start w:val="1"/>
      <w:numFmt w:val="bullet"/>
      <w:lvlText w:val=""/>
      <w:lvlJc w:val="left"/>
      <w:pPr>
        <w:ind w:left="780" w:hanging="360"/>
      </w:pPr>
      <w:rPr>
        <w:rFonts w:ascii="Symbol" w:hAnsi="Symbol" w:hint="default"/>
      </w:rPr>
    </w:lvl>
    <w:lvl w:ilvl="1" w:tplc="08090005">
      <w:start w:val="1"/>
      <w:numFmt w:val="bullet"/>
      <w:lvlText w:val=""/>
      <w:lvlJc w:val="left"/>
      <w:pPr>
        <w:ind w:left="1500" w:hanging="360"/>
      </w:pPr>
      <w:rPr>
        <w:rFonts w:ascii="Wingdings" w:hAnsi="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00602F5"/>
    <w:multiLevelType w:val="hybridMultilevel"/>
    <w:tmpl w:val="580642F2"/>
    <w:lvl w:ilvl="0" w:tplc="B2F2A3E6">
      <w:start w:val="1"/>
      <w:numFmt w:val="lowerLetter"/>
      <w:lvlText w:val="%1)"/>
      <w:lvlJc w:val="left"/>
      <w:pPr>
        <w:ind w:left="743" w:hanging="426"/>
      </w:pPr>
      <w:rPr>
        <w:rFonts w:ascii="Calibri" w:eastAsia="Calibri" w:hAnsi="Calibri" w:cs="Calibri" w:hint="default"/>
        <w:spacing w:val="-2"/>
        <w:w w:val="99"/>
        <w:sz w:val="24"/>
        <w:szCs w:val="24"/>
      </w:rPr>
    </w:lvl>
    <w:lvl w:ilvl="1" w:tplc="2562A0B0">
      <w:numFmt w:val="bullet"/>
      <w:lvlText w:val="•"/>
      <w:lvlJc w:val="left"/>
      <w:pPr>
        <w:ind w:left="1604" w:hanging="426"/>
      </w:pPr>
      <w:rPr>
        <w:rFonts w:hint="default"/>
      </w:rPr>
    </w:lvl>
    <w:lvl w:ilvl="2" w:tplc="F580CFD0">
      <w:numFmt w:val="bullet"/>
      <w:lvlText w:val="•"/>
      <w:lvlJc w:val="left"/>
      <w:pPr>
        <w:ind w:left="2468" w:hanging="426"/>
      </w:pPr>
      <w:rPr>
        <w:rFonts w:hint="default"/>
      </w:rPr>
    </w:lvl>
    <w:lvl w:ilvl="3" w:tplc="04F20584">
      <w:numFmt w:val="bullet"/>
      <w:lvlText w:val="•"/>
      <w:lvlJc w:val="left"/>
      <w:pPr>
        <w:ind w:left="3332" w:hanging="426"/>
      </w:pPr>
      <w:rPr>
        <w:rFonts w:hint="default"/>
      </w:rPr>
    </w:lvl>
    <w:lvl w:ilvl="4" w:tplc="D526AD28">
      <w:numFmt w:val="bullet"/>
      <w:lvlText w:val="•"/>
      <w:lvlJc w:val="left"/>
      <w:pPr>
        <w:ind w:left="4196" w:hanging="426"/>
      </w:pPr>
      <w:rPr>
        <w:rFonts w:hint="default"/>
      </w:rPr>
    </w:lvl>
    <w:lvl w:ilvl="5" w:tplc="544C6092">
      <w:numFmt w:val="bullet"/>
      <w:lvlText w:val="•"/>
      <w:lvlJc w:val="left"/>
      <w:pPr>
        <w:ind w:left="5060" w:hanging="426"/>
      </w:pPr>
      <w:rPr>
        <w:rFonts w:hint="default"/>
      </w:rPr>
    </w:lvl>
    <w:lvl w:ilvl="6" w:tplc="38D231EC">
      <w:numFmt w:val="bullet"/>
      <w:lvlText w:val="•"/>
      <w:lvlJc w:val="left"/>
      <w:pPr>
        <w:ind w:left="5924" w:hanging="426"/>
      </w:pPr>
      <w:rPr>
        <w:rFonts w:hint="default"/>
      </w:rPr>
    </w:lvl>
    <w:lvl w:ilvl="7" w:tplc="79122FDC">
      <w:numFmt w:val="bullet"/>
      <w:lvlText w:val="•"/>
      <w:lvlJc w:val="left"/>
      <w:pPr>
        <w:ind w:left="6788" w:hanging="426"/>
      </w:pPr>
      <w:rPr>
        <w:rFonts w:hint="default"/>
      </w:rPr>
    </w:lvl>
    <w:lvl w:ilvl="8" w:tplc="6F1C1770">
      <w:numFmt w:val="bullet"/>
      <w:lvlText w:val="•"/>
      <w:lvlJc w:val="left"/>
      <w:pPr>
        <w:ind w:left="7652" w:hanging="426"/>
      </w:pPr>
      <w:rPr>
        <w:rFonts w:hint="default"/>
      </w:rPr>
    </w:lvl>
  </w:abstractNum>
  <w:abstractNum w:abstractNumId="13" w15:restartNumberingAfterBreak="0">
    <w:nsid w:val="30E44D5F"/>
    <w:multiLevelType w:val="hybridMultilevel"/>
    <w:tmpl w:val="0DFA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E045B"/>
    <w:multiLevelType w:val="hybridMultilevel"/>
    <w:tmpl w:val="7780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C65A3"/>
    <w:multiLevelType w:val="hybridMultilevel"/>
    <w:tmpl w:val="C2E8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50336"/>
    <w:multiLevelType w:val="hybridMultilevel"/>
    <w:tmpl w:val="BED81E7C"/>
    <w:lvl w:ilvl="0" w:tplc="E708B878">
      <w:numFmt w:val="bullet"/>
      <w:lvlText w:val=""/>
      <w:lvlJc w:val="left"/>
      <w:pPr>
        <w:ind w:left="602" w:hanging="285"/>
      </w:pPr>
      <w:rPr>
        <w:rFonts w:ascii="Wingdings" w:eastAsia="Wingdings" w:hAnsi="Wingdings" w:cs="Wingdings" w:hint="default"/>
        <w:w w:val="100"/>
        <w:sz w:val="24"/>
        <w:szCs w:val="24"/>
      </w:rPr>
    </w:lvl>
    <w:lvl w:ilvl="1" w:tplc="89482890">
      <w:numFmt w:val="bullet"/>
      <w:lvlText w:val="•"/>
      <w:lvlJc w:val="left"/>
      <w:pPr>
        <w:ind w:left="1478" w:hanging="285"/>
      </w:pPr>
      <w:rPr>
        <w:rFonts w:hint="default"/>
      </w:rPr>
    </w:lvl>
    <w:lvl w:ilvl="2" w:tplc="AA96C91E">
      <w:numFmt w:val="bullet"/>
      <w:lvlText w:val="•"/>
      <w:lvlJc w:val="left"/>
      <w:pPr>
        <w:ind w:left="2356" w:hanging="285"/>
      </w:pPr>
      <w:rPr>
        <w:rFonts w:hint="default"/>
      </w:rPr>
    </w:lvl>
    <w:lvl w:ilvl="3" w:tplc="F9EC6130">
      <w:numFmt w:val="bullet"/>
      <w:lvlText w:val="•"/>
      <w:lvlJc w:val="left"/>
      <w:pPr>
        <w:ind w:left="3234" w:hanging="285"/>
      </w:pPr>
      <w:rPr>
        <w:rFonts w:hint="default"/>
      </w:rPr>
    </w:lvl>
    <w:lvl w:ilvl="4" w:tplc="F3ACC440">
      <w:numFmt w:val="bullet"/>
      <w:lvlText w:val="•"/>
      <w:lvlJc w:val="left"/>
      <w:pPr>
        <w:ind w:left="4112" w:hanging="285"/>
      </w:pPr>
      <w:rPr>
        <w:rFonts w:hint="default"/>
      </w:rPr>
    </w:lvl>
    <w:lvl w:ilvl="5" w:tplc="56A699A8">
      <w:numFmt w:val="bullet"/>
      <w:lvlText w:val="•"/>
      <w:lvlJc w:val="left"/>
      <w:pPr>
        <w:ind w:left="4990" w:hanging="285"/>
      </w:pPr>
      <w:rPr>
        <w:rFonts w:hint="default"/>
      </w:rPr>
    </w:lvl>
    <w:lvl w:ilvl="6" w:tplc="4F7228CE">
      <w:numFmt w:val="bullet"/>
      <w:lvlText w:val="•"/>
      <w:lvlJc w:val="left"/>
      <w:pPr>
        <w:ind w:left="5868" w:hanging="285"/>
      </w:pPr>
      <w:rPr>
        <w:rFonts w:hint="default"/>
      </w:rPr>
    </w:lvl>
    <w:lvl w:ilvl="7" w:tplc="AB58ECB6">
      <w:numFmt w:val="bullet"/>
      <w:lvlText w:val="•"/>
      <w:lvlJc w:val="left"/>
      <w:pPr>
        <w:ind w:left="6746" w:hanging="285"/>
      </w:pPr>
      <w:rPr>
        <w:rFonts w:hint="default"/>
      </w:rPr>
    </w:lvl>
    <w:lvl w:ilvl="8" w:tplc="AED00BFA">
      <w:numFmt w:val="bullet"/>
      <w:lvlText w:val="•"/>
      <w:lvlJc w:val="left"/>
      <w:pPr>
        <w:ind w:left="7624" w:hanging="285"/>
      </w:pPr>
      <w:rPr>
        <w:rFonts w:hint="default"/>
      </w:rPr>
    </w:lvl>
  </w:abstractNum>
  <w:abstractNum w:abstractNumId="17" w15:restartNumberingAfterBreak="0">
    <w:nsid w:val="4485654B"/>
    <w:multiLevelType w:val="hybridMultilevel"/>
    <w:tmpl w:val="61E0258E"/>
    <w:lvl w:ilvl="0" w:tplc="428EA6A2">
      <w:numFmt w:val="bullet"/>
      <w:lvlText w:val="•"/>
      <w:lvlJc w:val="left"/>
      <w:pPr>
        <w:ind w:left="767" w:hanging="450"/>
      </w:pPr>
      <w:rPr>
        <w:rFonts w:ascii="Calibri" w:eastAsia="Calibri" w:hAnsi="Calibri" w:cs="Calibri" w:hint="default"/>
        <w:spacing w:val="-2"/>
        <w:w w:val="100"/>
        <w:sz w:val="24"/>
        <w:szCs w:val="24"/>
      </w:rPr>
    </w:lvl>
    <w:lvl w:ilvl="1" w:tplc="34364410">
      <w:numFmt w:val="bullet"/>
      <w:lvlText w:val="•"/>
      <w:lvlJc w:val="left"/>
      <w:pPr>
        <w:ind w:left="1622" w:hanging="450"/>
      </w:pPr>
      <w:rPr>
        <w:rFonts w:hint="default"/>
      </w:rPr>
    </w:lvl>
    <w:lvl w:ilvl="2" w:tplc="9BE08ADA">
      <w:numFmt w:val="bullet"/>
      <w:lvlText w:val="•"/>
      <w:lvlJc w:val="left"/>
      <w:pPr>
        <w:ind w:left="2484" w:hanging="450"/>
      </w:pPr>
      <w:rPr>
        <w:rFonts w:hint="default"/>
      </w:rPr>
    </w:lvl>
    <w:lvl w:ilvl="3" w:tplc="515A40D6">
      <w:numFmt w:val="bullet"/>
      <w:lvlText w:val="•"/>
      <w:lvlJc w:val="left"/>
      <w:pPr>
        <w:ind w:left="3346" w:hanging="450"/>
      </w:pPr>
      <w:rPr>
        <w:rFonts w:hint="default"/>
      </w:rPr>
    </w:lvl>
    <w:lvl w:ilvl="4" w:tplc="DA56ACFE">
      <w:numFmt w:val="bullet"/>
      <w:lvlText w:val="•"/>
      <w:lvlJc w:val="left"/>
      <w:pPr>
        <w:ind w:left="4208" w:hanging="450"/>
      </w:pPr>
      <w:rPr>
        <w:rFonts w:hint="default"/>
      </w:rPr>
    </w:lvl>
    <w:lvl w:ilvl="5" w:tplc="0F9AC95A">
      <w:numFmt w:val="bullet"/>
      <w:lvlText w:val="•"/>
      <w:lvlJc w:val="left"/>
      <w:pPr>
        <w:ind w:left="5070" w:hanging="450"/>
      </w:pPr>
      <w:rPr>
        <w:rFonts w:hint="default"/>
      </w:rPr>
    </w:lvl>
    <w:lvl w:ilvl="6" w:tplc="FAB6B12C">
      <w:numFmt w:val="bullet"/>
      <w:lvlText w:val="•"/>
      <w:lvlJc w:val="left"/>
      <w:pPr>
        <w:ind w:left="5932" w:hanging="450"/>
      </w:pPr>
      <w:rPr>
        <w:rFonts w:hint="default"/>
      </w:rPr>
    </w:lvl>
    <w:lvl w:ilvl="7" w:tplc="66CC15BA">
      <w:numFmt w:val="bullet"/>
      <w:lvlText w:val="•"/>
      <w:lvlJc w:val="left"/>
      <w:pPr>
        <w:ind w:left="6794" w:hanging="450"/>
      </w:pPr>
      <w:rPr>
        <w:rFonts w:hint="default"/>
      </w:rPr>
    </w:lvl>
    <w:lvl w:ilvl="8" w:tplc="0840E05E">
      <w:numFmt w:val="bullet"/>
      <w:lvlText w:val="•"/>
      <w:lvlJc w:val="left"/>
      <w:pPr>
        <w:ind w:left="7656" w:hanging="450"/>
      </w:pPr>
      <w:rPr>
        <w:rFonts w:hint="default"/>
      </w:rPr>
    </w:lvl>
  </w:abstractNum>
  <w:abstractNum w:abstractNumId="18" w15:restartNumberingAfterBreak="0">
    <w:nsid w:val="45BA2373"/>
    <w:multiLevelType w:val="hybridMultilevel"/>
    <w:tmpl w:val="630C5188"/>
    <w:lvl w:ilvl="0" w:tplc="60E6F03A">
      <w:start w:val="1"/>
      <w:numFmt w:val="decimal"/>
      <w:lvlText w:val="%1."/>
      <w:lvlJc w:val="left"/>
      <w:pPr>
        <w:ind w:left="677" w:hanging="360"/>
      </w:pPr>
      <w:rPr>
        <w:rFonts w:hint="default"/>
        <w:b w:val="0"/>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9" w15:restartNumberingAfterBreak="0">
    <w:nsid w:val="4B5F49F3"/>
    <w:multiLevelType w:val="hybridMultilevel"/>
    <w:tmpl w:val="7C5663A4"/>
    <w:lvl w:ilvl="0" w:tplc="D1EE4600">
      <w:start w:val="6"/>
      <w:numFmt w:val="bullet"/>
      <w:lvlText w:val="-"/>
      <w:lvlJc w:val="left"/>
      <w:pPr>
        <w:ind w:left="737" w:hanging="377"/>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97012"/>
    <w:multiLevelType w:val="hybridMultilevel"/>
    <w:tmpl w:val="600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37A21"/>
    <w:multiLevelType w:val="hybridMultilevel"/>
    <w:tmpl w:val="29AC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57A56"/>
    <w:multiLevelType w:val="hybridMultilevel"/>
    <w:tmpl w:val="606C7D0C"/>
    <w:lvl w:ilvl="0" w:tplc="761EEE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4E495C"/>
    <w:multiLevelType w:val="hybridMultilevel"/>
    <w:tmpl w:val="A630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9537E"/>
    <w:multiLevelType w:val="hybridMultilevel"/>
    <w:tmpl w:val="90AC8760"/>
    <w:lvl w:ilvl="0" w:tplc="F3884E64">
      <w:numFmt w:val="bullet"/>
      <w:lvlText w:val=""/>
      <w:lvlJc w:val="left"/>
      <w:pPr>
        <w:ind w:left="743" w:hanging="426"/>
      </w:pPr>
      <w:rPr>
        <w:rFonts w:ascii="Symbol" w:eastAsia="Symbol" w:hAnsi="Symbol" w:cs="Symbol" w:hint="default"/>
        <w:w w:val="100"/>
        <w:sz w:val="24"/>
        <w:szCs w:val="24"/>
      </w:rPr>
    </w:lvl>
    <w:lvl w:ilvl="1" w:tplc="BB1CA388">
      <w:numFmt w:val="bullet"/>
      <w:lvlText w:val=""/>
      <w:lvlJc w:val="left"/>
      <w:pPr>
        <w:ind w:left="1031" w:hanging="358"/>
      </w:pPr>
      <w:rPr>
        <w:rFonts w:ascii="Symbol" w:eastAsia="Symbol" w:hAnsi="Symbol" w:cs="Symbol" w:hint="default"/>
        <w:w w:val="100"/>
        <w:sz w:val="24"/>
        <w:szCs w:val="24"/>
      </w:rPr>
    </w:lvl>
    <w:lvl w:ilvl="2" w:tplc="37481D10">
      <w:numFmt w:val="bullet"/>
      <w:lvlText w:val="•"/>
      <w:lvlJc w:val="left"/>
      <w:pPr>
        <w:ind w:left="1966" w:hanging="358"/>
      </w:pPr>
      <w:rPr>
        <w:rFonts w:hint="default"/>
      </w:rPr>
    </w:lvl>
    <w:lvl w:ilvl="3" w:tplc="3A5434E0">
      <w:numFmt w:val="bullet"/>
      <w:lvlText w:val="•"/>
      <w:lvlJc w:val="left"/>
      <w:pPr>
        <w:ind w:left="2893" w:hanging="358"/>
      </w:pPr>
      <w:rPr>
        <w:rFonts w:hint="default"/>
      </w:rPr>
    </w:lvl>
    <w:lvl w:ilvl="4" w:tplc="BC4A1734">
      <w:numFmt w:val="bullet"/>
      <w:lvlText w:val="•"/>
      <w:lvlJc w:val="left"/>
      <w:pPr>
        <w:ind w:left="3820" w:hanging="358"/>
      </w:pPr>
      <w:rPr>
        <w:rFonts w:hint="default"/>
      </w:rPr>
    </w:lvl>
    <w:lvl w:ilvl="5" w:tplc="90465A52">
      <w:numFmt w:val="bullet"/>
      <w:lvlText w:val="•"/>
      <w:lvlJc w:val="left"/>
      <w:pPr>
        <w:ind w:left="4746" w:hanging="358"/>
      </w:pPr>
      <w:rPr>
        <w:rFonts w:hint="default"/>
      </w:rPr>
    </w:lvl>
    <w:lvl w:ilvl="6" w:tplc="959AB112">
      <w:numFmt w:val="bullet"/>
      <w:lvlText w:val="•"/>
      <w:lvlJc w:val="left"/>
      <w:pPr>
        <w:ind w:left="5673" w:hanging="358"/>
      </w:pPr>
      <w:rPr>
        <w:rFonts w:hint="default"/>
      </w:rPr>
    </w:lvl>
    <w:lvl w:ilvl="7" w:tplc="7B66939C">
      <w:numFmt w:val="bullet"/>
      <w:lvlText w:val="•"/>
      <w:lvlJc w:val="left"/>
      <w:pPr>
        <w:ind w:left="6600" w:hanging="358"/>
      </w:pPr>
      <w:rPr>
        <w:rFonts w:hint="default"/>
      </w:rPr>
    </w:lvl>
    <w:lvl w:ilvl="8" w:tplc="6A965A16">
      <w:numFmt w:val="bullet"/>
      <w:lvlText w:val="•"/>
      <w:lvlJc w:val="left"/>
      <w:pPr>
        <w:ind w:left="7526" w:hanging="358"/>
      </w:pPr>
      <w:rPr>
        <w:rFonts w:hint="default"/>
      </w:rPr>
    </w:lvl>
  </w:abstractNum>
  <w:abstractNum w:abstractNumId="25" w15:restartNumberingAfterBreak="0">
    <w:nsid w:val="56011B8C"/>
    <w:multiLevelType w:val="hybridMultilevel"/>
    <w:tmpl w:val="EA54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E1B32"/>
    <w:multiLevelType w:val="hybridMultilevel"/>
    <w:tmpl w:val="2CD67348"/>
    <w:lvl w:ilvl="0" w:tplc="1B8044CC">
      <w:numFmt w:val="bullet"/>
      <w:lvlText w:val=""/>
      <w:lvlJc w:val="left"/>
      <w:pPr>
        <w:ind w:left="1037" w:hanging="450"/>
      </w:pPr>
      <w:rPr>
        <w:rFonts w:ascii="Symbol" w:eastAsia="Symbol" w:hAnsi="Symbol" w:cs="Symbol" w:hint="default"/>
        <w:w w:val="100"/>
        <w:sz w:val="24"/>
        <w:szCs w:val="24"/>
      </w:rPr>
    </w:lvl>
    <w:lvl w:ilvl="1" w:tplc="D7C40792">
      <w:numFmt w:val="bullet"/>
      <w:lvlText w:val="•"/>
      <w:lvlJc w:val="left"/>
      <w:pPr>
        <w:ind w:left="1874" w:hanging="450"/>
      </w:pPr>
      <w:rPr>
        <w:rFonts w:hint="default"/>
      </w:rPr>
    </w:lvl>
    <w:lvl w:ilvl="2" w:tplc="E23EEB6E">
      <w:numFmt w:val="bullet"/>
      <w:lvlText w:val="•"/>
      <w:lvlJc w:val="left"/>
      <w:pPr>
        <w:ind w:left="2708" w:hanging="450"/>
      </w:pPr>
      <w:rPr>
        <w:rFonts w:hint="default"/>
      </w:rPr>
    </w:lvl>
    <w:lvl w:ilvl="3" w:tplc="97948AFC">
      <w:numFmt w:val="bullet"/>
      <w:lvlText w:val="•"/>
      <w:lvlJc w:val="left"/>
      <w:pPr>
        <w:ind w:left="3542" w:hanging="450"/>
      </w:pPr>
      <w:rPr>
        <w:rFonts w:hint="default"/>
      </w:rPr>
    </w:lvl>
    <w:lvl w:ilvl="4" w:tplc="78BC5258">
      <w:numFmt w:val="bullet"/>
      <w:lvlText w:val="•"/>
      <w:lvlJc w:val="left"/>
      <w:pPr>
        <w:ind w:left="4376" w:hanging="450"/>
      </w:pPr>
      <w:rPr>
        <w:rFonts w:hint="default"/>
      </w:rPr>
    </w:lvl>
    <w:lvl w:ilvl="5" w:tplc="7EB8E096">
      <w:numFmt w:val="bullet"/>
      <w:lvlText w:val="•"/>
      <w:lvlJc w:val="left"/>
      <w:pPr>
        <w:ind w:left="5210" w:hanging="450"/>
      </w:pPr>
      <w:rPr>
        <w:rFonts w:hint="default"/>
      </w:rPr>
    </w:lvl>
    <w:lvl w:ilvl="6" w:tplc="87FE8CE4">
      <w:numFmt w:val="bullet"/>
      <w:lvlText w:val="•"/>
      <w:lvlJc w:val="left"/>
      <w:pPr>
        <w:ind w:left="6044" w:hanging="450"/>
      </w:pPr>
      <w:rPr>
        <w:rFonts w:hint="default"/>
      </w:rPr>
    </w:lvl>
    <w:lvl w:ilvl="7" w:tplc="8AA696EE">
      <w:numFmt w:val="bullet"/>
      <w:lvlText w:val="•"/>
      <w:lvlJc w:val="left"/>
      <w:pPr>
        <w:ind w:left="6878" w:hanging="450"/>
      </w:pPr>
      <w:rPr>
        <w:rFonts w:hint="default"/>
      </w:rPr>
    </w:lvl>
    <w:lvl w:ilvl="8" w:tplc="A46077C6">
      <w:numFmt w:val="bullet"/>
      <w:lvlText w:val="•"/>
      <w:lvlJc w:val="left"/>
      <w:pPr>
        <w:ind w:left="7712" w:hanging="450"/>
      </w:pPr>
      <w:rPr>
        <w:rFonts w:hint="default"/>
      </w:rPr>
    </w:lvl>
  </w:abstractNum>
  <w:abstractNum w:abstractNumId="27" w15:restartNumberingAfterBreak="0">
    <w:nsid w:val="5B727D93"/>
    <w:multiLevelType w:val="hybridMultilevel"/>
    <w:tmpl w:val="84B8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561816"/>
    <w:multiLevelType w:val="hybridMultilevel"/>
    <w:tmpl w:val="EAC88388"/>
    <w:lvl w:ilvl="0" w:tplc="D1EE4600">
      <w:start w:val="6"/>
      <w:numFmt w:val="bullet"/>
      <w:lvlText w:val="-"/>
      <w:lvlJc w:val="left"/>
      <w:pPr>
        <w:ind w:left="1370" w:hanging="377"/>
      </w:pPr>
      <w:rPr>
        <w:rFonts w:ascii="Arial" w:eastAsiaTheme="minorHAnsi" w:hAnsi="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6458493F"/>
    <w:multiLevelType w:val="hybridMultilevel"/>
    <w:tmpl w:val="6FCA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81258"/>
    <w:multiLevelType w:val="hybridMultilevel"/>
    <w:tmpl w:val="EDD6EEBC"/>
    <w:lvl w:ilvl="0" w:tplc="4A364E74">
      <w:numFmt w:val="bullet"/>
      <w:lvlText w:val=""/>
      <w:lvlJc w:val="left"/>
      <w:pPr>
        <w:ind w:left="432" w:hanging="340"/>
      </w:pPr>
      <w:rPr>
        <w:rFonts w:ascii="Symbol" w:eastAsia="Symbol" w:hAnsi="Symbol" w:cs="Symbol" w:hint="default"/>
        <w:color w:val="385623"/>
        <w:w w:val="100"/>
        <w:sz w:val="24"/>
        <w:szCs w:val="24"/>
      </w:rPr>
    </w:lvl>
    <w:lvl w:ilvl="1" w:tplc="1DF49A74">
      <w:numFmt w:val="bullet"/>
      <w:lvlText w:val="•"/>
      <w:lvlJc w:val="left"/>
      <w:pPr>
        <w:ind w:left="1254" w:hanging="340"/>
      </w:pPr>
      <w:rPr>
        <w:rFonts w:hint="default"/>
      </w:rPr>
    </w:lvl>
    <w:lvl w:ilvl="2" w:tplc="F5EC1AE0">
      <w:numFmt w:val="bullet"/>
      <w:lvlText w:val="•"/>
      <w:lvlJc w:val="left"/>
      <w:pPr>
        <w:ind w:left="2069" w:hanging="340"/>
      </w:pPr>
      <w:rPr>
        <w:rFonts w:hint="default"/>
      </w:rPr>
    </w:lvl>
    <w:lvl w:ilvl="3" w:tplc="8C42373A">
      <w:numFmt w:val="bullet"/>
      <w:lvlText w:val="•"/>
      <w:lvlJc w:val="left"/>
      <w:pPr>
        <w:ind w:left="2883" w:hanging="340"/>
      </w:pPr>
      <w:rPr>
        <w:rFonts w:hint="default"/>
      </w:rPr>
    </w:lvl>
    <w:lvl w:ilvl="4" w:tplc="2EF4C484">
      <w:numFmt w:val="bullet"/>
      <w:lvlText w:val="•"/>
      <w:lvlJc w:val="left"/>
      <w:pPr>
        <w:ind w:left="3698" w:hanging="340"/>
      </w:pPr>
      <w:rPr>
        <w:rFonts w:hint="default"/>
      </w:rPr>
    </w:lvl>
    <w:lvl w:ilvl="5" w:tplc="8B8603CC">
      <w:numFmt w:val="bullet"/>
      <w:lvlText w:val="•"/>
      <w:lvlJc w:val="left"/>
      <w:pPr>
        <w:ind w:left="4513" w:hanging="340"/>
      </w:pPr>
      <w:rPr>
        <w:rFonts w:hint="default"/>
      </w:rPr>
    </w:lvl>
    <w:lvl w:ilvl="6" w:tplc="EF44B742">
      <w:numFmt w:val="bullet"/>
      <w:lvlText w:val="•"/>
      <w:lvlJc w:val="left"/>
      <w:pPr>
        <w:ind w:left="5327" w:hanging="340"/>
      </w:pPr>
      <w:rPr>
        <w:rFonts w:hint="default"/>
      </w:rPr>
    </w:lvl>
    <w:lvl w:ilvl="7" w:tplc="116225CC">
      <w:numFmt w:val="bullet"/>
      <w:lvlText w:val="•"/>
      <w:lvlJc w:val="left"/>
      <w:pPr>
        <w:ind w:left="6142" w:hanging="340"/>
      </w:pPr>
      <w:rPr>
        <w:rFonts w:hint="default"/>
      </w:rPr>
    </w:lvl>
    <w:lvl w:ilvl="8" w:tplc="7C16F98E">
      <w:numFmt w:val="bullet"/>
      <w:lvlText w:val="•"/>
      <w:lvlJc w:val="left"/>
      <w:pPr>
        <w:ind w:left="6956" w:hanging="340"/>
      </w:pPr>
      <w:rPr>
        <w:rFonts w:hint="default"/>
      </w:rPr>
    </w:lvl>
  </w:abstractNum>
  <w:abstractNum w:abstractNumId="31" w15:restartNumberingAfterBreak="0">
    <w:nsid w:val="694F5B8B"/>
    <w:multiLevelType w:val="hybridMultilevel"/>
    <w:tmpl w:val="4A62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1708B"/>
    <w:multiLevelType w:val="hybridMultilevel"/>
    <w:tmpl w:val="88468B2A"/>
    <w:lvl w:ilvl="0" w:tplc="08090001">
      <w:start w:val="1"/>
      <w:numFmt w:val="bullet"/>
      <w:lvlText w:val=""/>
      <w:lvlJc w:val="left"/>
      <w:pPr>
        <w:ind w:left="737" w:hanging="37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F7953"/>
    <w:multiLevelType w:val="hybridMultilevel"/>
    <w:tmpl w:val="5C0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41662"/>
    <w:multiLevelType w:val="hybridMultilevel"/>
    <w:tmpl w:val="B79C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390D66"/>
    <w:multiLevelType w:val="hybridMultilevel"/>
    <w:tmpl w:val="E3CC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505D2"/>
    <w:multiLevelType w:val="hybridMultilevel"/>
    <w:tmpl w:val="E342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5068D"/>
    <w:multiLevelType w:val="hybridMultilevel"/>
    <w:tmpl w:val="10A6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BF49AD"/>
    <w:multiLevelType w:val="hybridMultilevel"/>
    <w:tmpl w:val="60A4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C70785"/>
    <w:multiLevelType w:val="hybridMultilevel"/>
    <w:tmpl w:val="40DA3C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ADB6CCC"/>
    <w:multiLevelType w:val="hybridMultilevel"/>
    <w:tmpl w:val="4E30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809AB"/>
    <w:multiLevelType w:val="hybridMultilevel"/>
    <w:tmpl w:val="37D8C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7A5CDA"/>
    <w:multiLevelType w:val="hybridMultilevel"/>
    <w:tmpl w:val="9F34090C"/>
    <w:lvl w:ilvl="0" w:tplc="57280DF0">
      <w:numFmt w:val="bullet"/>
      <w:lvlText w:val="•"/>
      <w:lvlJc w:val="left"/>
      <w:pPr>
        <w:ind w:left="366" w:hanging="274"/>
      </w:pPr>
      <w:rPr>
        <w:rFonts w:ascii="Calibri" w:eastAsia="Calibri" w:hAnsi="Calibri" w:cs="Calibri" w:hint="default"/>
        <w:b/>
        <w:bCs/>
        <w:color w:val="385623"/>
        <w:spacing w:val="-9"/>
        <w:w w:val="100"/>
        <w:sz w:val="24"/>
        <w:szCs w:val="24"/>
      </w:rPr>
    </w:lvl>
    <w:lvl w:ilvl="1" w:tplc="07CA26D4">
      <w:numFmt w:val="bullet"/>
      <w:lvlText w:val="•"/>
      <w:lvlJc w:val="left"/>
      <w:pPr>
        <w:ind w:left="1182" w:hanging="274"/>
      </w:pPr>
      <w:rPr>
        <w:rFonts w:hint="default"/>
      </w:rPr>
    </w:lvl>
    <w:lvl w:ilvl="2" w:tplc="E174CDA8">
      <w:numFmt w:val="bullet"/>
      <w:lvlText w:val="•"/>
      <w:lvlJc w:val="left"/>
      <w:pPr>
        <w:ind w:left="2005" w:hanging="274"/>
      </w:pPr>
      <w:rPr>
        <w:rFonts w:hint="default"/>
      </w:rPr>
    </w:lvl>
    <w:lvl w:ilvl="3" w:tplc="5CE8A5AE">
      <w:numFmt w:val="bullet"/>
      <w:lvlText w:val="•"/>
      <w:lvlJc w:val="left"/>
      <w:pPr>
        <w:ind w:left="2827" w:hanging="274"/>
      </w:pPr>
      <w:rPr>
        <w:rFonts w:hint="default"/>
      </w:rPr>
    </w:lvl>
    <w:lvl w:ilvl="4" w:tplc="B5AC2CBA">
      <w:numFmt w:val="bullet"/>
      <w:lvlText w:val="•"/>
      <w:lvlJc w:val="left"/>
      <w:pPr>
        <w:ind w:left="3650" w:hanging="274"/>
      </w:pPr>
      <w:rPr>
        <w:rFonts w:hint="default"/>
      </w:rPr>
    </w:lvl>
    <w:lvl w:ilvl="5" w:tplc="301AA218">
      <w:numFmt w:val="bullet"/>
      <w:lvlText w:val="•"/>
      <w:lvlJc w:val="left"/>
      <w:pPr>
        <w:ind w:left="4473" w:hanging="274"/>
      </w:pPr>
      <w:rPr>
        <w:rFonts w:hint="default"/>
      </w:rPr>
    </w:lvl>
    <w:lvl w:ilvl="6" w:tplc="EA52D1D0">
      <w:numFmt w:val="bullet"/>
      <w:lvlText w:val="•"/>
      <w:lvlJc w:val="left"/>
      <w:pPr>
        <w:ind w:left="5295" w:hanging="274"/>
      </w:pPr>
      <w:rPr>
        <w:rFonts w:hint="default"/>
      </w:rPr>
    </w:lvl>
    <w:lvl w:ilvl="7" w:tplc="B3F0964A">
      <w:numFmt w:val="bullet"/>
      <w:lvlText w:val="•"/>
      <w:lvlJc w:val="left"/>
      <w:pPr>
        <w:ind w:left="6118" w:hanging="274"/>
      </w:pPr>
      <w:rPr>
        <w:rFonts w:hint="default"/>
      </w:rPr>
    </w:lvl>
    <w:lvl w:ilvl="8" w:tplc="3116A014">
      <w:numFmt w:val="bullet"/>
      <w:lvlText w:val="•"/>
      <w:lvlJc w:val="left"/>
      <w:pPr>
        <w:ind w:left="6940" w:hanging="274"/>
      </w:pPr>
      <w:rPr>
        <w:rFonts w:hint="default"/>
      </w:rPr>
    </w:lvl>
  </w:abstractNum>
  <w:num w:numId="1">
    <w:abstractNumId w:val="40"/>
  </w:num>
  <w:num w:numId="2">
    <w:abstractNumId w:val="20"/>
  </w:num>
  <w:num w:numId="3">
    <w:abstractNumId w:val="3"/>
  </w:num>
  <w:num w:numId="4">
    <w:abstractNumId w:val="18"/>
  </w:num>
  <w:num w:numId="5">
    <w:abstractNumId w:val="26"/>
  </w:num>
  <w:num w:numId="6">
    <w:abstractNumId w:val="10"/>
  </w:num>
  <w:num w:numId="7">
    <w:abstractNumId w:val="16"/>
  </w:num>
  <w:num w:numId="8">
    <w:abstractNumId w:val="24"/>
  </w:num>
  <w:num w:numId="9">
    <w:abstractNumId w:val="12"/>
  </w:num>
  <w:num w:numId="10">
    <w:abstractNumId w:val="22"/>
  </w:num>
  <w:num w:numId="11">
    <w:abstractNumId w:val="8"/>
  </w:num>
  <w:num w:numId="12">
    <w:abstractNumId w:val="37"/>
  </w:num>
  <w:num w:numId="13">
    <w:abstractNumId w:val="25"/>
  </w:num>
  <w:num w:numId="14">
    <w:abstractNumId w:val="9"/>
  </w:num>
  <w:num w:numId="15">
    <w:abstractNumId w:val="6"/>
  </w:num>
  <w:num w:numId="16">
    <w:abstractNumId w:val="29"/>
  </w:num>
  <w:num w:numId="17">
    <w:abstractNumId w:val="34"/>
  </w:num>
  <w:num w:numId="18">
    <w:abstractNumId w:val="21"/>
  </w:num>
  <w:num w:numId="19">
    <w:abstractNumId w:val="33"/>
  </w:num>
  <w:num w:numId="20">
    <w:abstractNumId w:val="28"/>
  </w:num>
  <w:num w:numId="21">
    <w:abstractNumId w:val="42"/>
  </w:num>
  <w:num w:numId="22">
    <w:abstractNumId w:val="30"/>
  </w:num>
  <w:num w:numId="23">
    <w:abstractNumId w:val="19"/>
  </w:num>
  <w:num w:numId="24">
    <w:abstractNumId w:val="2"/>
  </w:num>
  <w:num w:numId="25">
    <w:abstractNumId w:val="32"/>
  </w:num>
  <w:num w:numId="26">
    <w:abstractNumId w:val="17"/>
  </w:num>
  <w:num w:numId="27">
    <w:abstractNumId w:val="36"/>
  </w:num>
  <w:num w:numId="28">
    <w:abstractNumId w:val="35"/>
  </w:num>
  <w:num w:numId="29">
    <w:abstractNumId w:val="4"/>
  </w:num>
  <w:num w:numId="30">
    <w:abstractNumId w:val="1"/>
  </w:num>
  <w:num w:numId="31">
    <w:abstractNumId w:val="14"/>
  </w:num>
  <w:num w:numId="32">
    <w:abstractNumId w:val="15"/>
  </w:num>
  <w:num w:numId="33">
    <w:abstractNumId w:val="41"/>
  </w:num>
  <w:num w:numId="34">
    <w:abstractNumId w:val="7"/>
  </w:num>
  <w:num w:numId="35">
    <w:abstractNumId w:val="38"/>
  </w:num>
  <w:num w:numId="36">
    <w:abstractNumId w:val="5"/>
  </w:num>
  <w:num w:numId="37">
    <w:abstractNumId w:val="27"/>
  </w:num>
  <w:num w:numId="38">
    <w:abstractNumId w:val="39"/>
  </w:num>
  <w:num w:numId="39">
    <w:abstractNumId w:val="11"/>
  </w:num>
  <w:num w:numId="40">
    <w:abstractNumId w:val="0"/>
  </w:num>
  <w:num w:numId="41">
    <w:abstractNumId w:val="13"/>
  </w:num>
  <w:num w:numId="42">
    <w:abstractNumId w:val="31"/>
  </w:num>
  <w:num w:numId="4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2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31A9"/>
    <w:rsid w:val="000034EA"/>
    <w:rsid w:val="00006AB0"/>
    <w:rsid w:val="00022078"/>
    <w:rsid w:val="0002535A"/>
    <w:rsid w:val="00035BDB"/>
    <w:rsid w:val="00036420"/>
    <w:rsid w:val="00036D13"/>
    <w:rsid w:val="0003731A"/>
    <w:rsid w:val="000424E0"/>
    <w:rsid w:val="000500D1"/>
    <w:rsid w:val="000505A4"/>
    <w:rsid w:val="00050D85"/>
    <w:rsid w:val="00065D6D"/>
    <w:rsid w:val="0007015E"/>
    <w:rsid w:val="00073E0D"/>
    <w:rsid w:val="0008458D"/>
    <w:rsid w:val="000B3AC2"/>
    <w:rsid w:val="000D3812"/>
    <w:rsid w:val="000E42CF"/>
    <w:rsid w:val="000F3143"/>
    <w:rsid w:val="000F3AF8"/>
    <w:rsid w:val="000F608E"/>
    <w:rsid w:val="0010707D"/>
    <w:rsid w:val="001104E2"/>
    <w:rsid w:val="00114F1A"/>
    <w:rsid w:val="00116AB4"/>
    <w:rsid w:val="0012184B"/>
    <w:rsid w:val="001222C1"/>
    <w:rsid w:val="00132B41"/>
    <w:rsid w:val="001339F0"/>
    <w:rsid w:val="001417AD"/>
    <w:rsid w:val="00142697"/>
    <w:rsid w:val="0014356C"/>
    <w:rsid w:val="001528E7"/>
    <w:rsid w:val="00154739"/>
    <w:rsid w:val="00177073"/>
    <w:rsid w:val="0018030F"/>
    <w:rsid w:val="001916EA"/>
    <w:rsid w:val="001943DD"/>
    <w:rsid w:val="00195C62"/>
    <w:rsid w:val="001971B1"/>
    <w:rsid w:val="001D51BA"/>
    <w:rsid w:val="001F1F0E"/>
    <w:rsid w:val="00201279"/>
    <w:rsid w:val="00217DDF"/>
    <w:rsid w:val="0022594C"/>
    <w:rsid w:val="00235C19"/>
    <w:rsid w:val="002404A2"/>
    <w:rsid w:val="00253062"/>
    <w:rsid w:val="00257D1B"/>
    <w:rsid w:val="00261643"/>
    <w:rsid w:val="002629D7"/>
    <w:rsid w:val="00267B05"/>
    <w:rsid w:val="00275DD5"/>
    <w:rsid w:val="00283CA6"/>
    <w:rsid w:val="00286CF2"/>
    <w:rsid w:val="00296B67"/>
    <w:rsid w:val="002B0F58"/>
    <w:rsid w:val="002C4D80"/>
    <w:rsid w:val="002D67A5"/>
    <w:rsid w:val="002E396A"/>
    <w:rsid w:val="002E726C"/>
    <w:rsid w:val="002E7594"/>
    <w:rsid w:val="00304392"/>
    <w:rsid w:val="003052BA"/>
    <w:rsid w:val="003107CD"/>
    <w:rsid w:val="00334D03"/>
    <w:rsid w:val="00337D25"/>
    <w:rsid w:val="0034047C"/>
    <w:rsid w:val="003436EB"/>
    <w:rsid w:val="0035021D"/>
    <w:rsid w:val="003526B7"/>
    <w:rsid w:val="003544AA"/>
    <w:rsid w:val="003770F3"/>
    <w:rsid w:val="003833BF"/>
    <w:rsid w:val="00390C4C"/>
    <w:rsid w:val="003911DA"/>
    <w:rsid w:val="00394EBB"/>
    <w:rsid w:val="003A045C"/>
    <w:rsid w:val="003B40DC"/>
    <w:rsid w:val="003B77F9"/>
    <w:rsid w:val="003C1703"/>
    <w:rsid w:val="003C1917"/>
    <w:rsid w:val="003C3573"/>
    <w:rsid w:val="003D348A"/>
    <w:rsid w:val="003D62A5"/>
    <w:rsid w:val="003E1FCF"/>
    <w:rsid w:val="003E3B67"/>
    <w:rsid w:val="003E63BF"/>
    <w:rsid w:val="004033F2"/>
    <w:rsid w:val="00411DB7"/>
    <w:rsid w:val="00417229"/>
    <w:rsid w:val="00417FB8"/>
    <w:rsid w:val="00422AEF"/>
    <w:rsid w:val="00425BE7"/>
    <w:rsid w:val="0043420A"/>
    <w:rsid w:val="00445AB3"/>
    <w:rsid w:val="00445E02"/>
    <w:rsid w:val="00453952"/>
    <w:rsid w:val="004540CA"/>
    <w:rsid w:val="00461B95"/>
    <w:rsid w:val="00463D62"/>
    <w:rsid w:val="00464A3B"/>
    <w:rsid w:val="00464F9E"/>
    <w:rsid w:val="004666F3"/>
    <w:rsid w:val="004741F7"/>
    <w:rsid w:val="004757F5"/>
    <w:rsid w:val="004967F2"/>
    <w:rsid w:val="004A0719"/>
    <w:rsid w:val="004B5085"/>
    <w:rsid w:val="004B61E4"/>
    <w:rsid w:val="004B6E04"/>
    <w:rsid w:val="004D1EAB"/>
    <w:rsid w:val="004D3D3C"/>
    <w:rsid w:val="004D55AF"/>
    <w:rsid w:val="00522C9A"/>
    <w:rsid w:val="00526BED"/>
    <w:rsid w:val="00526F2A"/>
    <w:rsid w:val="0052758B"/>
    <w:rsid w:val="00531794"/>
    <w:rsid w:val="00534013"/>
    <w:rsid w:val="00534775"/>
    <w:rsid w:val="005352E7"/>
    <w:rsid w:val="00545CEF"/>
    <w:rsid w:val="00553C8C"/>
    <w:rsid w:val="0055467D"/>
    <w:rsid w:val="00554DBE"/>
    <w:rsid w:val="00556E89"/>
    <w:rsid w:val="0056010B"/>
    <w:rsid w:val="00560CC0"/>
    <w:rsid w:val="00562F79"/>
    <w:rsid w:val="00564B69"/>
    <w:rsid w:val="00580655"/>
    <w:rsid w:val="005A5A94"/>
    <w:rsid w:val="005A6A61"/>
    <w:rsid w:val="005B14A5"/>
    <w:rsid w:val="005B404B"/>
    <w:rsid w:val="005B4C4D"/>
    <w:rsid w:val="005D1FE5"/>
    <w:rsid w:val="005D3CE2"/>
    <w:rsid w:val="005E6928"/>
    <w:rsid w:val="005F42B7"/>
    <w:rsid w:val="00610E4D"/>
    <w:rsid w:val="0061403E"/>
    <w:rsid w:val="00615F93"/>
    <w:rsid w:val="006218CA"/>
    <w:rsid w:val="0063131D"/>
    <w:rsid w:val="00634B6E"/>
    <w:rsid w:val="00641166"/>
    <w:rsid w:val="00644F72"/>
    <w:rsid w:val="00650111"/>
    <w:rsid w:val="00660681"/>
    <w:rsid w:val="006616DA"/>
    <w:rsid w:val="00663131"/>
    <w:rsid w:val="00672817"/>
    <w:rsid w:val="0069468D"/>
    <w:rsid w:val="006A2514"/>
    <w:rsid w:val="006A3606"/>
    <w:rsid w:val="006B03F0"/>
    <w:rsid w:val="006B1199"/>
    <w:rsid w:val="006B1CC4"/>
    <w:rsid w:val="006B67AE"/>
    <w:rsid w:val="006C6C75"/>
    <w:rsid w:val="006F2038"/>
    <w:rsid w:val="006F3A94"/>
    <w:rsid w:val="006F4532"/>
    <w:rsid w:val="00700683"/>
    <w:rsid w:val="00714954"/>
    <w:rsid w:val="0072220A"/>
    <w:rsid w:val="00722685"/>
    <w:rsid w:val="007228E8"/>
    <w:rsid w:val="007234E5"/>
    <w:rsid w:val="00724D04"/>
    <w:rsid w:val="00727DFB"/>
    <w:rsid w:val="00735C92"/>
    <w:rsid w:val="00737D1D"/>
    <w:rsid w:val="007424D7"/>
    <w:rsid w:val="007471FD"/>
    <w:rsid w:val="00756B9B"/>
    <w:rsid w:val="00760388"/>
    <w:rsid w:val="00762E64"/>
    <w:rsid w:val="00766E46"/>
    <w:rsid w:val="00767AC7"/>
    <w:rsid w:val="00770748"/>
    <w:rsid w:val="00781E9A"/>
    <w:rsid w:val="00783ABC"/>
    <w:rsid w:val="007902F4"/>
    <w:rsid w:val="00792C8B"/>
    <w:rsid w:val="00794A90"/>
    <w:rsid w:val="00797AA8"/>
    <w:rsid w:val="007A3743"/>
    <w:rsid w:val="007C1142"/>
    <w:rsid w:val="007C6BC4"/>
    <w:rsid w:val="007D2E05"/>
    <w:rsid w:val="007E573B"/>
    <w:rsid w:val="007E7D3E"/>
    <w:rsid w:val="007E7F16"/>
    <w:rsid w:val="007F3497"/>
    <w:rsid w:val="007F418D"/>
    <w:rsid w:val="0080423C"/>
    <w:rsid w:val="00806118"/>
    <w:rsid w:val="008160C0"/>
    <w:rsid w:val="00820307"/>
    <w:rsid w:val="00826E01"/>
    <w:rsid w:val="00840176"/>
    <w:rsid w:val="00843F95"/>
    <w:rsid w:val="008516FA"/>
    <w:rsid w:val="00856411"/>
    <w:rsid w:val="00866FE5"/>
    <w:rsid w:val="00873457"/>
    <w:rsid w:val="00876667"/>
    <w:rsid w:val="0088324B"/>
    <w:rsid w:val="00891187"/>
    <w:rsid w:val="008936CD"/>
    <w:rsid w:val="008A2C4D"/>
    <w:rsid w:val="008A2D5E"/>
    <w:rsid w:val="008A3AFE"/>
    <w:rsid w:val="008B7DD9"/>
    <w:rsid w:val="008D5AB4"/>
    <w:rsid w:val="008F31B3"/>
    <w:rsid w:val="0090143E"/>
    <w:rsid w:val="0091320A"/>
    <w:rsid w:val="0091351F"/>
    <w:rsid w:val="009140E8"/>
    <w:rsid w:val="009204A1"/>
    <w:rsid w:val="00923B8E"/>
    <w:rsid w:val="009376B0"/>
    <w:rsid w:val="00951248"/>
    <w:rsid w:val="00954992"/>
    <w:rsid w:val="00964035"/>
    <w:rsid w:val="00971F84"/>
    <w:rsid w:val="00986351"/>
    <w:rsid w:val="00992CB5"/>
    <w:rsid w:val="00995C11"/>
    <w:rsid w:val="009A79C2"/>
    <w:rsid w:val="009B592E"/>
    <w:rsid w:val="009C3C89"/>
    <w:rsid w:val="009C5BF2"/>
    <w:rsid w:val="009C73C1"/>
    <w:rsid w:val="009D4C22"/>
    <w:rsid w:val="009E5938"/>
    <w:rsid w:val="009F16AB"/>
    <w:rsid w:val="009F6F38"/>
    <w:rsid w:val="00A044D7"/>
    <w:rsid w:val="00A13951"/>
    <w:rsid w:val="00A205BD"/>
    <w:rsid w:val="00A5704C"/>
    <w:rsid w:val="00A64CAB"/>
    <w:rsid w:val="00A651EF"/>
    <w:rsid w:val="00A66E03"/>
    <w:rsid w:val="00A70F7E"/>
    <w:rsid w:val="00A71392"/>
    <w:rsid w:val="00A73270"/>
    <w:rsid w:val="00A776B3"/>
    <w:rsid w:val="00AA2B0E"/>
    <w:rsid w:val="00AA617B"/>
    <w:rsid w:val="00AB10D0"/>
    <w:rsid w:val="00AB7C04"/>
    <w:rsid w:val="00AC1536"/>
    <w:rsid w:val="00AD0BD5"/>
    <w:rsid w:val="00AD27FC"/>
    <w:rsid w:val="00AE1D7A"/>
    <w:rsid w:val="00AE1F44"/>
    <w:rsid w:val="00AE50CE"/>
    <w:rsid w:val="00AF05C4"/>
    <w:rsid w:val="00B06C76"/>
    <w:rsid w:val="00B06F45"/>
    <w:rsid w:val="00B07AB8"/>
    <w:rsid w:val="00B101DF"/>
    <w:rsid w:val="00B11081"/>
    <w:rsid w:val="00B11DDD"/>
    <w:rsid w:val="00B148A0"/>
    <w:rsid w:val="00B220EF"/>
    <w:rsid w:val="00B251A5"/>
    <w:rsid w:val="00B330D7"/>
    <w:rsid w:val="00B40054"/>
    <w:rsid w:val="00B408B3"/>
    <w:rsid w:val="00B537A6"/>
    <w:rsid w:val="00B71E1A"/>
    <w:rsid w:val="00B74991"/>
    <w:rsid w:val="00B773E0"/>
    <w:rsid w:val="00B813EB"/>
    <w:rsid w:val="00B96FA4"/>
    <w:rsid w:val="00BB171A"/>
    <w:rsid w:val="00BC4EE9"/>
    <w:rsid w:val="00BD3A56"/>
    <w:rsid w:val="00BE46BF"/>
    <w:rsid w:val="00BF0AD9"/>
    <w:rsid w:val="00BF3DC1"/>
    <w:rsid w:val="00BF5768"/>
    <w:rsid w:val="00C03C29"/>
    <w:rsid w:val="00C047D6"/>
    <w:rsid w:val="00C155D1"/>
    <w:rsid w:val="00C33A7D"/>
    <w:rsid w:val="00C3434E"/>
    <w:rsid w:val="00C40F92"/>
    <w:rsid w:val="00C45D5B"/>
    <w:rsid w:val="00C53356"/>
    <w:rsid w:val="00C77195"/>
    <w:rsid w:val="00C77AC5"/>
    <w:rsid w:val="00C85C52"/>
    <w:rsid w:val="00C85F4E"/>
    <w:rsid w:val="00C91D6C"/>
    <w:rsid w:val="00C95A5D"/>
    <w:rsid w:val="00C973D6"/>
    <w:rsid w:val="00CA0144"/>
    <w:rsid w:val="00CA05F2"/>
    <w:rsid w:val="00CA51DB"/>
    <w:rsid w:val="00CA673D"/>
    <w:rsid w:val="00CC20B4"/>
    <w:rsid w:val="00CC347C"/>
    <w:rsid w:val="00CC381E"/>
    <w:rsid w:val="00CC7002"/>
    <w:rsid w:val="00CD255E"/>
    <w:rsid w:val="00CE0106"/>
    <w:rsid w:val="00CE37E4"/>
    <w:rsid w:val="00CE4360"/>
    <w:rsid w:val="00CF1A13"/>
    <w:rsid w:val="00CF75EE"/>
    <w:rsid w:val="00D1717D"/>
    <w:rsid w:val="00D25B7C"/>
    <w:rsid w:val="00D262E1"/>
    <w:rsid w:val="00D30D1F"/>
    <w:rsid w:val="00D4402D"/>
    <w:rsid w:val="00D45B06"/>
    <w:rsid w:val="00D57186"/>
    <w:rsid w:val="00D710CA"/>
    <w:rsid w:val="00D84309"/>
    <w:rsid w:val="00D868F8"/>
    <w:rsid w:val="00D86A7B"/>
    <w:rsid w:val="00D86AF0"/>
    <w:rsid w:val="00D87BC5"/>
    <w:rsid w:val="00D908A5"/>
    <w:rsid w:val="00DA1D84"/>
    <w:rsid w:val="00DB1368"/>
    <w:rsid w:val="00DB5877"/>
    <w:rsid w:val="00DC1403"/>
    <w:rsid w:val="00DD101E"/>
    <w:rsid w:val="00DD4C87"/>
    <w:rsid w:val="00DE103D"/>
    <w:rsid w:val="00DE4D87"/>
    <w:rsid w:val="00DE4E49"/>
    <w:rsid w:val="00DE7AE5"/>
    <w:rsid w:val="00DF7141"/>
    <w:rsid w:val="00E00760"/>
    <w:rsid w:val="00E232F6"/>
    <w:rsid w:val="00E307C1"/>
    <w:rsid w:val="00E36BAF"/>
    <w:rsid w:val="00E40FA4"/>
    <w:rsid w:val="00E46B39"/>
    <w:rsid w:val="00E614CF"/>
    <w:rsid w:val="00E75540"/>
    <w:rsid w:val="00E86526"/>
    <w:rsid w:val="00E87335"/>
    <w:rsid w:val="00E9011A"/>
    <w:rsid w:val="00E904E2"/>
    <w:rsid w:val="00EA3B21"/>
    <w:rsid w:val="00EA58A6"/>
    <w:rsid w:val="00EB3F37"/>
    <w:rsid w:val="00EC0981"/>
    <w:rsid w:val="00EC2170"/>
    <w:rsid w:val="00EC4AB9"/>
    <w:rsid w:val="00ED31AA"/>
    <w:rsid w:val="00ED5239"/>
    <w:rsid w:val="00ED5463"/>
    <w:rsid w:val="00ED6A11"/>
    <w:rsid w:val="00EE7CD4"/>
    <w:rsid w:val="00EF2942"/>
    <w:rsid w:val="00EF6391"/>
    <w:rsid w:val="00F008DD"/>
    <w:rsid w:val="00F02E61"/>
    <w:rsid w:val="00F149A4"/>
    <w:rsid w:val="00F24423"/>
    <w:rsid w:val="00F37A61"/>
    <w:rsid w:val="00F42736"/>
    <w:rsid w:val="00F430BF"/>
    <w:rsid w:val="00F531FE"/>
    <w:rsid w:val="00F53955"/>
    <w:rsid w:val="00F557DA"/>
    <w:rsid w:val="00F600FE"/>
    <w:rsid w:val="00F77E58"/>
    <w:rsid w:val="00F80CD2"/>
    <w:rsid w:val="00F82937"/>
    <w:rsid w:val="00F85445"/>
    <w:rsid w:val="00F97415"/>
    <w:rsid w:val="00F97DC9"/>
    <w:rsid w:val="00FA565D"/>
    <w:rsid w:val="00FB739C"/>
    <w:rsid w:val="00FE1112"/>
    <w:rsid w:val="00FE1DBD"/>
    <w:rsid w:val="00FE2D03"/>
    <w:rsid w:val="00FE38C1"/>
    <w:rsid w:val="00FE553E"/>
    <w:rsid w:val="00FF10D8"/>
    <w:rsid w:val="00FF5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018C35"/>
  <w15:chartTrackingRefBased/>
  <w15:docId w15:val="{0FF0B7E4-0965-4E69-9C86-0103C18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3544AA"/>
    <w:pPr>
      <w:keepNext/>
      <w:keepLines/>
      <w:spacing w:before="240" w:after="0" w:line="360"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B4C4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44F72"/>
    <w:pPr>
      <w:keepNext/>
      <w:keepLines/>
      <w:spacing w:before="40" w:after="0" w:line="360" w:lineRule="auto"/>
      <w:outlineLvl w:val="3"/>
    </w:pPr>
    <w:rPr>
      <w:rFonts w:eastAsiaTheme="majorEastAsia" w:cstheme="majorBidi"/>
      <w:iCs/>
      <w:u w:val="single"/>
    </w:rPr>
  </w:style>
  <w:style w:type="paragraph" w:styleId="Heading5">
    <w:name w:val="heading 5"/>
    <w:basedOn w:val="Normal"/>
    <w:next w:val="Normal"/>
    <w:link w:val="Heading5Char"/>
    <w:uiPriority w:val="9"/>
    <w:semiHidden/>
    <w:unhideWhenUsed/>
    <w:qFormat/>
    <w:rsid w:val="005E692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3544AA"/>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E86526"/>
    <w:pPr>
      <w:tabs>
        <w:tab w:val="right" w:leader="dot" w:pos="9016"/>
      </w:tabs>
      <w:spacing w:after="100" w:line="360" w:lineRule="auto"/>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basedOn w:val="Normal"/>
    <w:uiPriority w:val="34"/>
    <w:qFormat/>
    <w:rsid w:val="009E5938"/>
    <w:pPr>
      <w:ind w:left="720"/>
      <w:contextualSpacing/>
    </w:pPr>
  </w:style>
  <w:style w:type="paragraph" w:styleId="FootnoteText">
    <w:name w:val="footnote text"/>
    <w:basedOn w:val="Normal"/>
    <w:link w:val="FootnoteTextChar"/>
    <w:uiPriority w:val="99"/>
    <w:unhideWhenUsed/>
    <w:rsid w:val="009E5938"/>
    <w:pPr>
      <w:spacing w:after="0"/>
    </w:pPr>
    <w:rPr>
      <w:sz w:val="20"/>
      <w:szCs w:val="20"/>
    </w:rPr>
  </w:style>
  <w:style w:type="character" w:customStyle="1" w:styleId="FootnoteTextChar">
    <w:name w:val="Footnote Text Char"/>
    <w:basedOn w:val="DefaultParagraphFont"/>
    <w:link w:val="FootnoteText"/>
    <w:uiPriority w:val="99"/>
    <w:rsid w:val="009E5938"/>
    <w:rPr>
      <w:rFonts w:ascii="Calibri" w:hAnsi="Calibri"/>
      <w:sz w:val="20"/>
      <w:szCs w:val="20"/>
    </w:rPr>
  </w:style>
  <w:style w:type="character" w:styleId="FootnoteReference">
    <w:name w:val="footnote reference"/>
    <w:basedOn w:val="DefaultParagraphFont"/>
    <w:uiPriority w:val="99"/>
    <w:semiHidden/>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5B4C4D"/>
    <w:rPr>
      <w:rFonts w:ascii="Calibri" w:eastAsiaTheme="majorEastAsia" w:hAnsi="Calibri" w:cstheme="majorBidi"/>
      <w:b/>
      <w:sz w:val="24"/>
      <w:szCs w:val="24"/>
    </w:rPr>
  </w:style>
  <w:style w:type="paragraph" w:styleId="TOC2">
    <w:name w:val="toc 2"/>
    <w:basedOn w:val="Normal"/>
    <w:next w:val="Normal"/>
    <w:autoRedefine/>
    <w:uiPriority w:val="39"/>
    <w:unhideWhenUsed/>
    <w:rsid w:val="004540CA"/>
    <w:pPr>
      <w:tabs>
        <w:tab w:val="right" w:leader="dot" w:pos="9016"/>
      </w:tabs>
      <w:spacing w:after="100" w:line="360" w:lineRule="auto"/>
      <w:ind w:left="426"/>
    </w:pPr>
  </w:style>
  <w:style w:type="paragraph" w:styleId="TOC3">
    <w:name w:val="toc 3"/>
    <w:basedOn w:val="Normal"/>
    <w:next w:val="Normal"/>
    <w:autoRedefine/>
    <w:uiPriority w:val="39"/>
    <w:unhideWhenUsed/>
    <w:rsid w:val="005B4C4D"/>
    <w:pPr>
      <w:spacing w:after="100"/>
      <w:ind w:left="480"/>
    </w:pPr>
  </w:style>
  <w:style w:type="table" w:styleId="TableGrid">
    <w:name w:val="Table Grid"/>
    <w:basedOn w:val="TableNormal"/>
    <w:uiPriority w:val="59"/>
    <w:rsid w:val="00F5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3955"/>
    <w:pPr>
      <w:widowControl w:val="0"/>
      <w:autoSpaceDE w:val="0"/>
      <w:autoSpaceDN w:val="0"/>
      <w:spacing w:after="0"/>
    </w:pPr>
    <w:rPr>
      <w:rFonts w:eastAsia="Calibri" w:cs="Calibri"/>
      <w:sz w:val="22"/>
      <w:lang w:val="en-US"/>
    </w:rPr>
  </w:style>
  <w:style w:type="table" w:styleId="GridTable4-Accent1">
    <w:name w:val="Grid Table 4 Accent 1"/>
    <w:basedOn w:val="TableNormal"/>
    <w:uiPriority w:val="49"/>
    <w:rsid w:val="00F77E5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644F72"/>
    <w:rPr>
      <w:rFonts w:ascii="Calibri" w:eastAsiaTheme="majorEastAsia" w:hAnsi="Calibri" w:cstheme="majorBidi"/>
      <w:iCs/>
      <w:sz w:val="24"/>
      <w:u w:val="single"/>
    </w:rPr>
  </w:style>
  <w:style w:type="character" w:styleId="FollowedHyperlink">
    <w:name w:val="FollowedHyperlink"/>
    <w:basedOn w:val="DefaultParagraphFont"/>
    <w:uiPriority w:val="99"/>
    <w:semiHidden/>
    <w:unhideWhenUsed/>
    <w:rsid w:val="00286CF2"/>
    <w:rPr>
      <w:color w:val="800080" w:themeColor="followedHyperlink"/>
      <w:u w:val="single"/>
    </w:rPr>
  </w:style>
  <w:style w:type="character" w:customStyle="1" w:styleId="Heading5Char">
    <w:name w:val="Heading 5 Char"/>
    <w:basedOn w:val="DefaultParagraphFont"/>
    <w:link w:val="Heading5"/>
    <w:uiPriority w:val="9"/>
    <w:semiHidden/>
    <w:rsid w:val="005E6928"/>
    <w:rPr>
      <w:rFonts w:asciiTheme="majorHAnsi" w:eastAsiaTheme="majorEastAsia" w:hAnsiTheme="majorHAnsi" w:cstheme="majorBidi"/>
      <w:color w:val="365F91" w:themeColor="accent1" w:themeShade="BF"/>
      <w:sz w:val="24"/>
    </w:rPr>
  </w:style>
  <w:style w:type="character" w:styleId="LineNumber">
    <w:name w:val="line number"/>
    <w:basedOn w:val="DefaultParagraphFont"/>
    <w:uiPriority w:val="99"/>
    <w:semiHidden/>
    <w:unhideWhenUsed/>
    <w:rsid w:val="00445AB3"/>
  </w:style>
  <w:style w:type="paragraph" w:styleId="Title">
    <w:name w:val="Title"/>
    <w:basedOn w:val="NoSpacing"/>
    <w:next w:val="Normal"/>
    <w:link w:val="TitleChar"/>
    <w:uiPriority w:val="10"/>
    <w:qFormat/>
    <w:rsid w:val="00806118"/>
    <w:pPr>
      <w:jc w:val="center"/>
    </w:pPr>
    <w:rPr>
      <w:rFonts w:ascii="Calibri" w:eastAsia="Calibri" w:hAnsi="Calibri" w:cs="Calibri"/>
      <w:color w:val="EEEEEE"/>
      <w:w w:val="105"/>
      <w:sz w:val="80"/>
      <w:lang w:val="en-US"/>
    </w:rPr>
  </w:style>
  <w:style w:type="character" w:customStyle="1" w:styleId="TitleChar">
    <w:name w:val="Title Char"/>
    <w:basedOn w:val="DefaultParagraphFont"/>
    <w:link w:val="Title"/>
    <w:uiPriority w:val="10"/>
    <w:rsid w:val="00806118"/>
    <w:rPr>
      <w:rFonts w:ascii="Calibri" w:eastAsia="Calibri" w:hAnsi="Calibri" w:cs="Calibri"/>
      <w:color w:val="EEEEEE"/>
      <w:w w:val="105"/>
      <w:sz w:val="80"/>
      <w:lang w:val="en-US"/>
    </w:rPr>
  </w:style>
  <w:style w:type="paragraph" w:styleId="BalloonText">
    <w:name w:val="Balloon Text"/>
    <w:basedOn w:val="Normal"/>
    <w:link w:val="BalloonTextChar"/>
    <w:uiPriority w:val="99"/>
    <w:semiHidden/>
    <w:unhideWhenUsed/>
    <w:rsid w:val="00C973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3D6"/>
    <w:rPr>
      <w:rFonts w:ascii="Segoe UI" w:hAnsi="Segoe UI" w:cs="Segoe UI"/>
      <w:sz w:val="18"/>
      <w:szCs w:val="18"/>
    </w:rPr>
  </w:style>
  <w:style w:type="character" w:styleId="CommentReference">
    <w:name w:val="annotation reference"/>
    <w:basedOn w:val="DefaultParagraphFont"/>
    <w:uiPriority w:val="99"/>
    <w:semiHidden/>
    <w:unhideWhenUsed/>
    <w:rsid w:val="006B67AE"/>
    <w:rPr>
      <w:sz w:val="16"/>
      <w:szCs w:val="16"/>
    </w:rPr>
  </w:style>
  <w:style w:type="paragraph" w:styleId="CommentText">
    <w:name w:val="annotation text"/>
    <w:basedOn w:val="Normal"/>
    <w:link w:val="CommentTextChar"/>
    <w:uiPriority w:val="99"/>
    <w:semiHidden/>
    <w:unhideWhenUsed/>
    <w:rsid w:val="006B67AE"/>
    <w:rPr>
      <w:sz w:val="20"/>
      <w:szCs w:val="20"/>
    </w:rPr>
  </w:style>
  <w:style w:type="character" w:customStyle="1" w:styleId="CommentTextChar">
    <w:name w:val="Comment Text Char"/>
    <w:basedOn w:val="DefaultParagraphFont"/>
    <w:link w:val="CommentText"/>
    <w:uiPriority w:val="99"/>
    <w:semiHidden/>
    <w:rsid w:val="006B67A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B67AE"/>
    <w:rPr>
      <w:b/>
      <w:bCs/>
    </w:rPr>
  </w:style>
  <w:style w:type="character" w:customStyle="1" w:styleId="CommentSubjectChar">
    <w:name w:val="Comment Subject Char"/>
    <w:basedOn w:val="CommentTextChar"/>
    <w:link w:val="CommentSubject"/>
    <w:uiPriority w:val="99"/>
    <w:semiHidden/>
    <w:rsid w:val="006B67AE"/>
    <w:rPr>
      <w:rFonts w:ascii="Calibri" w:hAnsi="Calibri"/>
      <w:b/>
      <w:bCs/>
      <w:sz w:val="20"/>
      <w:szCs w:val="20"/>
    </w:rPr>
  </w:style>
  <w:style w:type="table" w:styleId="PlainTable1">
    <w:name w:val="Plain Table 1"/>
    <w:basedOn w:val="TableNormal"/>
    <w:uiPriority w:val="41"/>
    <w:rsid w:val="00257D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examiners@edgehill.ac.uk" TargetMode="External"/><Relationship Id="rId18" Type="http://schemas.openxmlformats.org/officeDocument/2006/relationships/image" Target="media/image2.tif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xternalexaminers@edgehill.ac.uk" TargetMode="External"/><Relationship Id="rId2" Type="http://schemas.openxmlformats.org/officeDocument/2006/relationships/customXml" Target="../customXml/item2.xml"/><Relationship Id="rId16" Type="http://schemas.openxmlformats.org/officeDocument/2006/relationships/hyperlink" Target="mailto:externalexaminers@edgehil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xternalexaminers@edgehill.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go.edgehill.ac.uk/display/aqdu/External+Examiners" TargetMode="External"/><Relationship Id="rId13" Type="http://schemas.openxmlformats.org/officeDocument/2006/relationships/hyperlink" Target="https://go.edgehill.ac.uk/display/aqdu/Template+Documents" TargetMode="External"/><Relationship Id="rId18" Type="http://schemas.openxmlformats.org/officeDocument/2006/relationships/hyperlink" Target="https://www.edgehill.ac.uk/documents/data-protection-policy/" TargetMode="External"/><Relationship Id="rId26" Type="http://schemas.openxmlformats.org/officeDocument/2006/relationships/hyperlink" Target="https://go.edgehill.ac.uk/display/aqdu/Faculty+Quality+Processes+and+Responsibilities" TargetMode="External"/><Relationship Id="rId3" Type="http://schemas.openxmlformats.org/officeDocument/2006/relationships/hyperlink" Target="http://www.officeforstudents.org.uk/advice-and-guidance/regulation/conditions-of-registration/initial-and-general-ongoing-conditions-of-registration/" TargetMode="External"/><Relationship Id="rId21" Type="http://schemas.openxmlformats.org/officeDocument/2006/relationships/hyperlink" Target="https://go.edgehill.ac.uk/display/aqdu/Template+Documents" TargetMode="External"/><Relationship Id="rId7" Type="http://schemas.openxmlformats.org/officeDocument/2006/relationships/hyperlink" Target="https://www.heacademy.ac.uk/system/files/downloads/Fundamentals%20of%20External%20Examining%20AHE%20March%202019.pdf" TargetMode="External"/><Relationship Id="rId12" Type="http://schemas.openxmlformats.org/officeDocument/2006/relationships/hyperlink" Target="https://go.edgehill.ac.uk/display/aqdu/External%2BExaminers" TargetMode="External"/><Relationship Id="rId17" Type="http://schemas.openxmlformats.org/officeDocument/2006/relationships/hyperlink" Target="http://www.edgehill.ac.uk/aqdu/files/2020/09/Privacy-Notice-External-Examiners.pdf" TargetMode="External"/><Relationship Id="rId25" Type="http://schemas.openxmlformats.org/officeDocument/2006/relationships/hyperlink" Target="http://www.edgehill.ac.uk/clt/about/strategies-and-policies/" TargetMode="External"/><Relationship Id="rId2" Type="http://schemas.openxmlformats.org/officeDocument/2006/relationships/hyperlink" Target="http://www.qaa.ac.uk/en/quality-code/subject-benchmark-statements" TargetMode="External"/><Relationship Id="rId16" Type="http://schemas.openxmlformats.org/officeDocument/2006/relationships/hyperlink" Target="https://www.edgehill.ac.uk/gqasc/agqa/external-examiners/useful-information/" TargetMode="External"/><Relationship Id="rId20" Type="http://schemas.openxmlformats.org/officeDocument/2006/relationships/hyperlink" Target="https://go.edgehill.ac.uk/display/aqdu/Faculty+Quality+Processes+and+Responsibilities" TargetMode="External"/><Relationship Id="rId29" Type="http://schemas.openxmlformats.org/officeDocument/2006/relationships/hyperlink" Target="http://www.edgehill.ac.uk/corporate-information/strategies-policies/" TargetMode="External"/><Relationship Id="rId1" Type="http://schemas.openxmlformats.org/officeDocument/2006/relationships/hyperlink" Target="http://www.qaa.ac.uk/docs/qaa/quality-code/qualifications-frameworks.pdf?sfvrsn=170af781_16" TargetMode="External"/><Relationship Id="rId6" Type="http://schemas.openxmlformats.org/officeDocument/2006/relationships/hyperlink" Target="https://www.heacademy.ac.uk/system/files/downloads/Fundamentals%20of%20External%20Examining%20AHE%20March%202019.pdf" TargetMode="External"/><Relationship Id="rId11" Type="http://schemas.openxmlformats.org/officeDocument/2006/relationships/hyperlink" Target="https://assets.publishing.service.gov.uk/government/uploads/system/uploads/attachment_data/file/720858/29_06_18_Employer_s_guide_to_right_to_work_checks.pdf" TargetMode="External"/><Relationship Id="rId24" Type="http://schemas.openxmlformats.org/officeDocument/2006/relationships/hyperlink" Target="http://www.edgehill.ac.uk/clt/files/2013/01/MarkingModeratingAssessedWork.pdf" TargetMode="External"/><Relationship Id="rId32" Type="http://schemas.openxmlformats.org/officeDocument/2006/relationships/hyperlink" Target="https://go.edgehill.ac.uk/display/humanresources/Forms%2C+Policies+and+Documents.%20" TargetMode="External"/><Relationship Id="rId5" Type="http://schemas.openxmlformats.org/officeDocument/2006/relationships/hyperlink" Target="http://www.qaa.ac.uk/en/quality-code/advice-and-guidance/external-expertise" TargetMode="External"/><Relationship Id="rId15" Type="http://schemas.openxmlformats.org/officeDocument/2006/relationships/hyperlink" Target="http://www.edgehill.ac.uk/documents/collection/academic-regulations/" TargetMode="External"/><Relationship Id="rId23" Type="http://schemas.openxmlformats.org/officeDocument/2006/relationships/hyperlink" Target="https://www.edgehill.ac.uk/gqasc/student-casework-2/academicappeals/" TargetMode="External"/><Relationship Id="rId28" Type="http://schemas.openxmlformats.org/officeDocument/2006/relationships/hyperlink" Target="http://www.edgehill.ac.uk/aqdu/external-examiners/annual-report/" TargetMode="External"/><Relationship Id="rId10" Type="http://schemas.openxmlformats.org/officeDocument/2006/relationships/hyperlink" Target="https://assets.publishing.service.gov.uk/government/uploads/system/uploads/attachment_data/file/720858/29_06_18_Employer_s_guide_to_right_to_work_checks.pdf" TargetMode="External"/><Relationship Id="rId19" Type="http://schemas.openxmlformats.org/officeDocument/2006/relationships/hyperlink" Target="https://www.edgehill.ac.uk/documents/information-security-policy/" TargetMode="External"/><Relationship Id="rId31" Type="http://schemas.openxmlformats.org/officeDocument/2006/relationships/hyperlink" Target="https://www.officeforstudents.org.uk/for-students/ofs-and-students/notifications/" TargetMode="External"/><Relationship Id="rId4" Type="http://schemas.openxmlformats.org/officeDocument/2006/relationships/hyperlink" Target="http://www.qaa.ac.uk/en/Publications/Documents/Revised-UK-Quality-Code-for-Higher-Education.pdf" TargetMode="External"/><Relationship Id="rId9" Type="http://schemas.openxmlformats.org/officeDocument/2006/relationships/hyperlink" Target="http://www.edgehill.ac.uk/documents/collection/academic-regulations/" TargetMode="External"/><Relationship Id="rId14" Type="http://schemas.openxmlformats.org/officeDocument/2006/relationships/hyperlink" Target="https://go.edgehill.ac.uk/display/aqdu/External%2BExaminers" TargetMode="External"/><Relationship Id="rId22" Type="http://schemas.openxmlformats.org/officeDocument/2006/relationships/hyperlink" Target="https://www.edgehill.ac.uk/gqasc/student-casework-2/complaints/" TargetMode="External"/><Relationship Id="rId27" Type="http://schemas.openxmlformats.org/officeDocument/2006/relationships/hyperlink" Target="https://go.edgehill.ac.uk/display/aqdu/Fees%2C+Workload+and+Expenses" TargetMode="External"/><Relationship Id="rId30" Type="http://schemas.openxmlformats.org/officeDocument/2006/relationships/hyperlink" Target="%20https://go.edgehill.ac.uk/display/aqdu/Template+Docum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1372-FCC8-40DA-80AE-6151AA8EB0DD}">
  <ds:schemaRefs>
    <ds:schemaRef ds:uri="d6f84b81-f492-4944-ab1e-1881e63b8f33"/>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cad729bd-0b6a-4129-87ee-6389f866e28a"/>
    <ds:schemaRef ds:uri="http://purl.org/dc/dcmitype/"/>
  </ds:schemaRefs>
</ds:datastoreItem>
</file>

<file path=customXml/itemProps2.xml><?xml version="1.0" encoding="utf-8"?>
<ds:datastoreItem xmlns:ds="http://schemas.openxmlformats.org/officeDocument/2006/customXml" ds:itemID="{58B4A2D5-1F58-4D86-A6E1-099A4F90B4C5}">
  <ds:schemaRefs>
    <ds:schemaRef ds:uri="http://schemas.microsoft.com/sharepoint/v3/contenttype/forms"/>
  </ds:schemaRefs>
</ds:datastoreItem>
</file>

<file path=customXml/itemProps3.xml><?xml version="1.0" encoding="utf-8"?>
<ds:datastoreItem xmlns:ds="http://schemas.openxmlformats.org/officeDocument/2006/customXml" ds:itemID="{E2D88DA8-07EA-48B7-92AC-7BA487457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8CF62-8326-42A5-A950-C55ECA25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6389</Words>
  <Characters>36419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Chapter 2 External Examiners</vt:lpstr>
    </vt:vector>
  </TitlesOfParts>
  <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External Examiners</dc:title>
  <dc:subject/>
  <dc:creator>Chris Lawton</dc:creator>
  <cp:keywords/>
  <dc:description/>
  <cp:lastModifiedBy>Becky Cowburn</cp:lastModifiedBy>
  <cp:revision>2</cp:revision>
  <cp:lastPrinted>2021-11-04T11:50:00Z</cp:lastPrinted>
  <dcterms:created xsi:type="dcterms:W3CDTF">2022-03-16T09:06:00Z</dcterms:created>
  <dcterms:modified xsi:type="dcterms:W3CDTF">2022-03-16T09:06:00Z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