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65573399"/>
        <w:docPartObj>
          <w:docPartGallery w:val="Cover Pages"/>
          <w:docPartUnique/>
        </w:docPartObj>
      </w:sdtPr>
      <w:sdtEndPr/>
      <w:sdtContent>
        <w:p w14:paraId="4E63585E" w14:textId="77777777" w:rsidR="00522C9A" w:rsidRPr="00D3044F" w:rsidRDefault="00522C9A" w:rsidP="00522C9A">
          <w:pPr>
            <w:jc w:val="right"/>
          </w:pPr>
        </w:p>
        <w:p w14:paraId="5441E49D" w14:textId="77777777" w:rsidR="00522C9A" w:rsidRPr="00D3044F" w:rsidRDefault="00522C9A" w:rsidP="00522C9A">
          <w:pPr>
            <w:jc w:val="right"/>
            <w:rPr>
              <w:rStyle w:val="TitleChar"/>
            </w:rPr>
          </w:pPr>
        </w:p>
        <w:p w14:paraId="7EEC4C66" w14:textId="77777777" w:rsidR="00522C9A" w:rsidRPr="00D3044F" w:rsidRDefault="00D86A7B" w:rsidP="00522C9A">
          <w:pPr>
            <w:rPr>
              <w:sz w:val="96"/>
              <w:szCs w:val="72"/>
            </w:rPr>
          </w:pPr>
          <w:r w:rsidRPr="00D3044F">
            <w:rPr>
              <w:noProof/>
            </w:rPr>
            <mc:AlternateContent>
              <mc:Choice Requires="wpg">
                <w:drawing>
                  <wp:anchor distT="0" distB="0" distL="114300" distR="114300" simplePos="0" relativeHeight="251658240" behindDoc="1" locked="0" layoutInCell="1" allowOverlap="1" wp14:anchorId="44900BAA" wp14:editId="651C5751">
                    <wp:simplePos x="0" y="0"/>
                    <wp:positionH relativeFrom="page">
                      <wp:posOffset>446405</wp:posOffset>
                    </wp:positionH>
                    <wp:positionV relativeFrom="page">
                      <wp:posOffset>486410</wp:posOffset>
                    </wp:positionV>
                    <wp:extent cx="6864824" cy="9123528"/>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a:solidFill>
                              <a:srgbClr val="35975A"/>
                            </a:solid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CD135" w14:textId="77777777" w:rsidR="00CB2078" w:rsidRDefault="00CB2078" w:rsidP="00D86A7B">
                                  <w:pPr>
                                    <w:pStyle w:val="NoSpacing"/>
                                    <w:spacing w:before="120"/>
                                    <w:jc w:val="center"/>
                                    <w:rPr>
                                      <w:color w:val="FFFFFF" w:themeColor="background1"/>
                                    </w:rPr>
                                  </w:pPr>
                                </w:p>
                                <w:p w14:paraId="1BC29853" w14:textId="6B665FC0" w:rsidR="00CB2078" w:rsidRDefault="008C7B58" w:rsidP="00D86A7B">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CB2078">
                                        <w:rPr>
                                          <w:caps/>
                                          <w:color w:val="FFFFFF" w:themeColor="background1"/>
                                        </w:rPr>
                                        <w:t xml:space="preserve">     </w:t>
                                      </w:r>
                                    </w:sdtContent>
                                  </w:sdt>
                                  <w:r w:rsidR="00CB2078">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E3498" w14:textId="77777777" w:rsidR="00CB2078" w:rsidRDefault="00CB2078" w:rsidP="001D66C1">
                                  <w:pPr>
                                    <w:pStyle w:val="Title"/>
                                  </w:pPr>
                                </w:p>
                                <w:p w14:paraId="5895875E" w14:textId="77777777" w:rsidR="00CB2078" w:rsidRDefault="00CB2078" w:rsidP="001D66C1">
                                  <w:pPr>
                                    <w:pStyle w:val="Title"/>
                                  </w:pPr>
                                </w:p>
                                <w:p w14:paraId="10E96E14" w14:textId="6AE46F7A" w:rsidR="00CB2078" w:rsidRDefault="00CB2078" w:rsidP="001D66C1">
                                  <w:pPr>
                                    <w:pStyle w:val="Title"/>
                                  </w:pPr>
                                  <w:r w:rsidRPr="00806118">
                                    <w:t xml:space="preserve">Chapter </w:t>
                                  </w:r>
                                  <w:r>
                                    <w:t>5</w:t>
                                  </w:r>
                                </w:p>
                                <w:p w14:paraId="6630BE18" w14:textId="77777777" w:rsidR="00CB2078" w:rsidRPr="00B610F7" w:rsidRDefault="00CB2078" w:rsidP="001D66C1">
                                  <w:pPr>
                                    <w:pStyle w:val="Title"/>
                                  </w:pPr>
                                  <w:r>
                                    <w:t xml:space="preserve">Academic Partnerships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4900BAA" id="Group 193" o:spid="_x0000_s1026" alt="&quot;&quot;" style="position:absolute;margin-left:35.15pt;margin-top:38.3pt;width:540.55pt;height:718.4pt;z-index:-251658240;mso-width-percent:882;mso-height-percent:909;mso-position-horizontal-relative:page;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" filled="f"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" filled="f" stroked="f" strokeweight="2pt">
                      <v:textbox inset="36pt,57.6pt,36pt,36pt">
                        <w:txbxContent>
                          <w:p w14:paraId="190CD135" w14:textId="77777777" w:rsidR="00CB2078" w:rsidRDefault="00CB2078" w:rsidP="00D86A7B">
                            <w:pPr>
                              <w:pStyle w:val="NoSpacing"/>
                              <w:spacing w:before="120"/>
                              <w:jc w:val="center"/>
                              <w:rPr>
                                <w:color w:val="FFFFFF" w:themeColor="background1"/>
                              </w:rPr>
                            </w:pPr>
                          </w:p>
                          <w:p w14:paraId="1BC29853" w14:textId="6B665FC0" w:rsidR="00CB2078" w:rsidRDefault="008C7B58" w:rsidP="00D86A7B">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CB2078">
                                  <w:rPr>
                                    <w:caps/>
                                    <w:color w:val="FFFFFF" w:themeColor="background1"/>
                                  </w:rPr>
                                  <w:t xml:space="preserve">     </w:t>
                                </w:r>
                              </w:sdtContent>
                            </w:sdt>
                            <w:r w:rsidR="00CB2078">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p w14:paraId="3C6E3498" w14:textId="77777777" w:rsidR="00CB2078" w:rsidRDefault="00CB2078" w:rsidP="001D66C1">
                            <w:pPr>
                              <w:pStyle w:val="Title"/>
                            </w:pPr>
                          </w:p>
                          <w:p w14:paraId="5895875E" w14:textId="77777777" w:rsidR="00CB2078" w:rsidRDefault="00CB2078" w:rsidP="001D66C1">
                            <w:pPr>
                              <w:pStyle w:val="Title"/>
                            </w:pPr>
                          </w:p>
                          <w:p w14:paraId="10E96E14" w14:textId="6AE46F7A" w:rsidR="00CB2078" w:rsidRDefault="00CB2078" w:rsidP="001D66C1">
                            <w:pPr>
                              <w:pStyle w:val="Title"/>
                            </w:pPr>
                            <w:r w:rsidRPr="00806118">
                              <w:t xml:space="preserve">Chapter </w:t>
                            </w:r>
                            <w:r>
                              <w:t>5</w:t>
                            </w:r>
                          </w:p>
                          <w:p w14:paraId="6630BE18" w14:textId="77777777" w:rsidR="00CB2078" w:rsidRPr="00B610F7" w:rsidRDefault="00CB2078" w:rsidP="001D66C1">
                            <w:pPr>
                              <w:pStyle w:val="Title"/>
                            </w:pPr>
                            <w:r>
                              <w:t xml:space="preserve">Academic Partnerships </w:t>
                            </w:r>
                          </w:p>
                        </w:txbxContent>
                      </v:textbox>
                    </v:shape>
                    <w10:wrap anchorx="page" anchory="page"/>
                  </v:group>
                </w:pict>
              </mc:Fallback>
            </mc:AlternateContent>
          </w:r>
        </w:p>
        <w:p w14:paraId="4A3BDE70" w14:textId="77777777" w:rsidR="00522C9A" w:rsidRPr="00D3044F" w:rsidRDefault="00522C9A" w:rsidP="00522C9A">
          <w:pPr>
            <w:rPr>
              <w:sz w:val="96"/>
              <w:szCs w:val="72"/>
            </w:rPr>
          </w:pPr>
        </w:p>
        <w:p w14:paraId="75D1526A" w14:textId="77777777" w:rsidR="00522C9A" w:rsidRPr="00D3044F" w:rsidRDefault="00522C9A" w:rsidP="00522C9A">
          <w:pPr>
            <w:rPr>
              <w:sz w:val="96"/>
              <w:szCs w:val="72"/>
            </w:rPr>
          </w:pPr>
        </w:p>
        <w:p w14:paraId="7A53A3A4" w14:textId="77777777" w:rsidR="00D86A7B" w:rsidRPr="00C93ADB" w:rsidRDefault="00D86A7B" w:rsidP="00781E9A">
          <w:pPr>
            <w:jc w:val="center"/>
            <w:rPr>
              <w:b/>
              <w:bCs/>
              <w:sz w:val="32"/>
              <w:szCs w:val="28"/>
            </w:rPr>
          </w:pPr>
        </w:p>
        <w:p w14:paraId="75B9C396" w14:textId="77777777" w:rsidR="00D86A7B" w:rsidRPr="00C93ADB" w:rsidRDefault="00D86A7B" w:rsidP="00781E9A">
          <w:pPr>
            <w:jc w:val="center"/>
            <w:rPr>
              <w:b/>
              <w:bCs/>
              <w:sz w:val="32"/>
              <w:szCs w:val="28"/>
            </w:rPr>
          </w:pPr>
        </w:p>
        <w:p w14:paraId="729138D1" w14:textId="77777777" w:rsidR="00D86A7B" w:rsidRPr="00C93ADB" w:rsidRDefault="00D86A7B" w:rsidP="00781E9A">
          <w:pPr>
            <w:jc w:val="center"/>
            <w:rPr>
              <w:b/>
              <w:bCs/>
              <w:sz w:val="32"/>
              <w:szCs w:val="28"/>
            </w:rPr>
          </w:pPr>
        </w:p>
        <w:p w14:paraId="483D9659" w14:textId="77777777" w:rsidR="00D86A7B" w:rsidRPr="00C93ADB" w:rsidRDefault="00D86A7B" w:rsidP="00781E9A">
          <w:pPr>
            <w:jc w:val="center"/>
            <w:rPr>
              <w:b/>
              <w:bCs/>
              <w:sz w:val="32"/>
              <w:szCs w:val="28"/>
            </w:rPr>
          </w:pPr>
        </w:p>
        <w:p w14:paraId="7DBDA7E0" w14:textId="77777777" w:rsidR="00D86A7B" w:rsidRPr="00C93ADB" w:rsidRDefault="00D86A7B" w:rsidP="00781E9A">
          <w:pPr>
            <w:jc w:val="center"/>
            <w:rPr>
              <w:b/>
              <w:bCs/>
              <w:sz w:val="32"/>
              <w:szCs w:val="28"/>
            </w:rPr>
          </w:pPr>
        </w:p>
        <w:p w14:paraId="6FDE2A84" w14:textId="77777777" w:rsidR="00D86A7B" w:rsidRPr="00C93ADB" w:rsidRDefault="00D86A7B" w:rsidP="00781E9A">
          <w:pPr>
            <w:jc w:val="center"/>
            <w:rPr>
              <w:b/>
              <w:bCs/>
              <w:sz w:val="32"/>
              <w:szCs w:val="28"/>
            </w:rPr>
          </w:pPr>
        </w:p>
        <w:p w14:paraId="39120AC1" w14:textId="77777777" w:rsidR="00D86A7B" w:rsidRPr="00C93ADB" w:rsidRDefault="00D86A7B" w:rsidP="00781E9A">
          <w:pPr>
            <w:jc w:val="center"/>
            <w:rPr>
              <w:b/>
              <w:bCs/>
              <w:sz w:val="32"/>
              <w:szCs w:val="28"/>
            </w:rPr>
          </w:pPr>
        </w:p>
        <w:p w14:paraId="0433713F" w14:textId="77777777" w:rsidR="00D86A7B" w:rsidRPr="00C93ADB" w:rsidRDefault="00D86A7B" w:rsidP="00781E9A">
          <w:pPr>
            <w:jc w:val="center"/>
            <w:rPr>
              <w:b/>
              <w:bCs/>
              <w:sz w:val="32"/>
              <w:szCs w:val="28"/>
            </w:rPr>
          </w:pPr>
        </w:p>
        <w:p w14:paraId="448C3D47" w14:textId="77777777" w:rsidR="00D86A7B" w:rsidRPr="00C93ADB" w:rsidRDefault="00D86A7B" w:rsidP="00781E9A">
          <w:pPr>
            <w:jc w:val="center"/>
            <w:rPr>
              <w:b/>
              <w:bCs/>
              <w:sz w:val="32"/>
              <w:szCs w:val="28"/>
            </w:rPr>
          </w:pPr>
        </w:p>
        <w:p w14:paraId="531799E5" w14:textId="77777777" w:rsidR="00D86A7B" w:rsidRPr="00C93ADB" w:rsidRDefault="00D86A7B" w:rsidP="00781E9A">
          <w:pPr>
            <w:jc w:val="center"/>
            <w:rPr>
              <w:b/>
              <w:bCs/>
              <w:sz w:val="32"/>
              <w:szCs w:val="28"/>
            </w:rPr>
          </w:pPr>
        </w:p>
        <w:p w14:paraId="4B77BC82" w14:textId="77777777" w:rsidR="00D86A7B" w:rsidRPr="00C93ADB" w:rsidRDefault="00D86A7B" w:rsidP="00781E9A">
          <w:pPr>
            <w:jc w:val="center"/>
            <w:rPr>
              <w:b/>
              <w:bCs/>
              <w:sz w:val="32"/>
              <w:szCs w:val="28"/>
            </w:rPr>
          </w:pPr>
        </w:p>
        <w:p w14:paraId="4B87AAA8" w14:textId="77777777" w:rsidR="00D86A7B" w:rsidRPr="00C93ADB" w:rsidRDefault="00D86A7B" w:rsidP="00781E9A">
          <w:pPr>
            <w:jc w:val="center"/>
            <w:rPr>
              <w:b/>
              <w:bCs/>
              <w:sz w:val="32"/>
              <w:szCs w:val="28"/>
            </w:rPr>
          </w:pPr>
        </w:p>
        <w:p w14:paraId="2EAACA4C" w14:textId="77777777" w:rsidR="00D86A7B" w:rsidRPr="00C93ADB" w:rsidRDefault="00D86A7B" w:rsidP="00781E9A">
          <w:pPr>
            <w:jc w:val="center"/>
            <w:rPr>
              <w:b/>
              <w:bCs/>
              <w:sz w:val="32"/>
              <w:szCs w:val="28"/>
            </w:rPr>
          </w:pPr>
        </w:p>
        <w:p w14:paraId="691F8239" w14:textId="321ED311" w:rsidR="00781E9A" w:rsidRPr="00C93ADB" w:rsidRDefault="00522C9A" w:rsidP="00781E9A">
          <w:pPr>
            <w:jc w:val="center"/>
            <w:rPr>
              <w:b/>
              <w:bCs/>
              <w:sz w:val="32"/>
              <w:szCs w:val="28"/>
            </w:rPr>
            <w:sectPr w:rsidR="00781E9A" w:rsidRPr="00C93ADB" w:rsidSect="006B5598">
              <w:headerReference w:type="default" r:id="rId11"/>
              <w:pgSz w:w="11906" w:h="16838"/>
              <w:pgMar w:top="1440" w:right="1440" w:bottom="1440" w:left="1440" w:header="709" w:footer="709" w:gutter="0"/>
              <w:pgBorders w:display="notFirstPage" w:offsetFrom="page">
                <w:left w:val="single" w:sz="4" w:space="24" w:color="auto"/>
              </w:pgBorders>
              <w:pgNumType w:start="1"/>
              <w:cols w:space="708"/>
              <w:titlePg/>
              <w:docGrid w:linePitch="360"/>
            </w:sectPr>
          </w:pPr>
          <w:r w:rsidRPr="00C93ADB">
            <w:rPr>
              <w:b/>
              <w:bCs/>
              <w:sz w:val="32"/>
              <w:szCs w:val="28"/>
            </w:rPr>
            <w:t>Updated October 20</w:t>
          </w:r>
          <w:r w:rsidR="00C973D6" w:rsidRPr="00C93ADB">
            <w:rPr>
              <w:b/>
              <w:bCs/>
              <w:sz w:val="32"/>
              <w:szCs w:val="28"/>
            </w:rPr>
            <w:t>2</w:t>
          </w:r>
          <w:r w:rsidR="0050587E" w:rsidRPr="00C93ADB">
            <w:rPr>
              <w:b/>
              <w:bCs/>
              <w:sz w:val="32"/>
              <w:szCs w:val="28"/>
            </w:rPr>
            <w:t>4</w:t>
          </w:r>
        </w:p>
        <w:p w14:paraId="78D3C2E2" w14:textId="3FFAA169" w:rsidR="00840176" w:rsidRPr="00D3044F" w:rsidRDefault="008C7B58" w:rsidP="00A5704C"/>
      </w:sdtContent>
    </w:sdt>
    <w:sdt>
      <w:sdtPr>
        <w:rPr>
          <w:rFonts w:eastAsiaTheme="minorHAnsi" w:cstheme="minorBidi"/>
          <w:b w:val="0"/>
          <w:color w:val="auto"/>
          <w:sz w:val="24"/>
          <w:szCs w:val="22"/>
          <w:lang w:val="en-GB"/>
        </w:rPr>
        <w:id w:val="-1810228437"/>
        <w:docPartObj>
          <w:docPartGallery w:val="Table of Contents"/>
          <w:docPartUnique/>
        </w:docPartObj>
      </w:sdtPr>
      <w:sdtEndPr>
        <w:rPr>
          <w:bCs/>
          <w:noProof/>
        </w:rPr>
      </w:sdtEndPr>
      <w:sdtContent>
        <w:p w14:paraId="6EE853CE" w14:textId="77777777" w:rsidR="00840176" w:rsidRPr="00D3044F" w:rsidRDefault="00840176" w:rsidP="00A5704C">
          <w:pPr>
            <w:pStyle w:val="TOCHeading"/>
            <w:spacing w:line="240" w:lineRule="auto"/>
          </w:pPr>
          <w:r w:rsidRPr="00D3044F">
            <w:t>Table of Contents</w:t>
          </w:r>
        </w:p>
        <w:p w14:paraId="1925315B" w14:textId="13AA60A7" w:rsidR="00E56D9F" w:rsidRDefault="00840176">
          <w:pPr>
            <w:pStyle w:val="TOC1"/>
            <w:rPr>
              <w:rFonts w:asciiTheme="minorHAnsi" w:eastAsiaTheme="minorEastAsia" w:hAnsiTheme="minorHAnsi"/>
              <w:noProof/>
              <w:kern w:val="2"/>
              <w:szCs w:val="24"/>
              <w:lang w:eastAsia="en-GB"/>
              <w14:ligatures w14:val="standardContextual"/>
            </w:rPr>
          </w:pPr>
          <w:r w:rsidRPr="00D3044F">
            <w:fldChar w:fldCharType="begin"/>
          </w:r>
          <w:r w:rsidRPr="00D3044F">
            <w:instrText xml:space="preserve"> TOC \o "1-3" \h \z \u </w:instrText>
          </w:r>
          <w:r w:rsidRPr="00D3044F">
            <w:fldChar w:fldCharType="separate"/>
          </w:r>
          <w:hyperlink w:anchor="_Toc183094932" w:history="1">
            <w:r w:rsidR="00E56D9F" w:rsidRPr="00576C4C">
              <w:rPr>
                <w:rStyle w:val="Hyperlink"/>
                <w:noProof/>
              </w:rPr>
              <w:t>INTRODUCTION</w:t>
            </w:r>
            <w:r w:rsidR="00E56D9F">
              <w:rPr>
                <w:noProof/>
                <w:webHidden/>
              </w:rPr>
              <w:tab/>
            </w:r>
            <w:r w:rsidR="00E56D9F">
              <w:rPr>
                <w:noProof/>
                <w:webHidden/>
              </w:rPr>
              <w:fldChar w:fldCharType="begin"/>
            </w:r>
            <w:r w:rsidR="00E56D9F">
              <w:rPr>
                <w:noProof/>
                <w:webHidden/>
              </w:rPr>
              <w:instrText xml:space="preserve"> PAGEREF _Toc183094932 \h </w:instrText>
            </w:r>
            <w:r w:rsidR="00E56D9F">
              <w:rPr>
                <w:noProof/>
                <w:webHidden/>
              </w:rPr>
            </w:r>
            <w:r w:rsidR="00E56D9F">
              <w:rPr>
                <w:noProof/>
                <w:webHidden/>
              </w:rPr>
              <w:fldChar w:fldCharType="separate"/>
            </w:r>
            <w:r w:rsidR="00E56D9F">
              <w:rPr>
                <w:noProof/>
                <w:webHidden/>
              </w:rPr>
              <w:t>4</w:t>
            </w:r>
            <w:r w:rsidR="00E56D9F">
              <w:rPr>
                <w:noProof/>
                <w:webHidden/>
              </w:rPr>
              <w:fldChar w:fldCharType="end"/>
            </w:r>
          </w:hyperlink>
        </w:p>
        <w:p w14:paraId="42E3421B" w14:textId="0751CD9F" w:rsidR="00E56D9F" w:rsidRDefault="00E56D9F">
          <w:pPr>
            <w:pStyle w:val="TOC1"/>
            <w:rPr>
              <w:rFonts w:asciiTheme="minorHAnsi" w:eastAsiaTheme="minorEastAsia" w:hAnsiTheme="minorHAnsi"/>
              <w:noProof/>
              <w:kern w:val="2"/>
              <w:szCs w:val="24"/>
              <w:lang w:eastAsia="en-GB"/>
              <w14:ligatures w14:val="standardContextual"/>
            </w:rPr>
          </w:pPr>
          <w:hyperlink w:anchor="_Toc183094933" w:history="1">
            <w:r w:rsidRPr="00576C4C">
              <w:rPr>
                <w:rStyle w:val="Hyperlink"/>
                <w:noProof/>
              </w:rPr>
              <w:t>THE TAXONOMY OF ACADEMIC PARTNERSHIPS</w:t>
            </w:r>
            <w:r>
              <w:rPr>
                <w:noProof/>
                <w:webHidden/>
              </w:rPr>
              <w:tab/>
            </w:r>
            <w:r>
              <w:rPr>
                <w:noProof/>
                <w:webHidden/>
              </w:rPr>
              <w:fldChar w:fldCharType="begin"/>
            </w:r>
            <w:r>
              <w:rPr>
                <w:noProof/>
                <w:webHidden/>
              </w:rPr>
              <w:instrText xml:space="preserve"> PAGEREF _Toc183094933 \h </w:instrText>
            </w:r>
            <w:r>
              <w:rPr>
                <w:noProof/>
                <w:webHidden/>
              </w:rPr>
            </w:r>
            <w:r>
              <w:rPr>
                <w:noProof/>
                <w:webHidden/>
              </w:rPr>
              <w:fldChar w:fldCharType="separate"/>
            </w:r>
            <w:r>
              <w:rPr>
                <w:noProof/>
                <w:webHidden/>
              </w:rPr>
              <w:t>4</w:t>
            </w:r>
            <w:r>
              <w:rPr>
                <w:noProof/>
                <w:webHidden/>
              </w:rPr>
              <w:fldChar w:fldCharType="end"/>
            </w:r>
          </w:hyperlink>
        </w:p>
        <w:p w14:paraId="236BDBAE" w14:textId="5DF8D60D"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34" w:history="1">
            <w:r w:rsidRPr="00576C4C">
              <w:rPr>
                <w:rStyle w:val="Hyperlink"/>
                <w:noProof/>
              </w:rPr>
              <w:t>Table 1: Taxonomy of partnership arrangements according to risk profile</w:t>
            </w:r>
            <w:r>
              <w:rPr>
                <w:noProof/>
                <w:webHidden/>
              </w:rPr>
              <w:tab/>
            </w:r>
            <w:r>
              <w:rPr>
                <w:noProof/>
                <w:webHidden/>
              </w:rPr>
              <w:fldChar w:fldCharType="begin"/>
            </w:r>
            <w:r>
              <w:rPr>
                <w:noProof/>
                <w:webHidden/>
              </w:rPr>
              <w:instrText xml:space="preserve"> PAGEREF _Toc183094934 \h </w:instrText>
            </w:r>
            <w:r>
              <w:rPr>
                <w:noProof/>
                <w:webHidden/>
              </w:rPr>
            </w:r>
            <w:r>
              <w:rPr>
                <w:noProof/>
                <w:webHidden/>
              </w:rPr>
              <w:fldChar w:fldCharType="separate"/>
            </w:r>
            <w:r>
              <w:rPr>
                <w:noProof/>
                <w:webHidden/>
              </w:rPr>
              <w:t>5</w:t>
            </w:r>
            <w:r>
              <w:rPr>
                <w:noProof/>
                <w:webHidden/>
              </w:rPr>
              <w:fldChar w:fldCharType="end"/>
            </w:r>
          </w:hyperlink>
        </w:p>
        <w:p w14:paraId="7BD75BD4" w14:textId="745C462F" w:rsidR="00E56D9F" w:rsidRDefault="00E56D9F">
          <w:pPr>
            <w:pStyle w:val="TOC1"/>
            <w:rPr>
              <w:rFonts w:asciiTheme="minorHAnsi" w:eastAsiaTheme="minorEastAsia" w:hAnsiTheme="minorHAnsi"/>
              <w:noProof/>
              <w:kern w:val="2"/>
              <w:szCs w:val="24"/>
              <w:lang w:eastAsia="en-GB"/>
              <w14:ligatures w14:val="standardContextual"/>
            </w:rPr>
          </w:pPr>
          <w:hyperlink w:anchor="_Toc183094935" w:history="1">
            <w:r w:rsidRPr="00576C4C">
              <w:rPr>
                <w:rStyle w:val="Hyperlink"/>
                <w:noProof/>
              </w:rPr>
              <w:t>ROLES AND RESPONSIBILITIES</w:t>
            </w:r>
            <w:r>
              <w:rPr>
                <w:noProof/>
                <w:webHidden/>
              </w:rPr>
              <w:tab/>
            </w:r>
            <w:r>
              <w:rPr>
                <w:noProof/>
                <w:webHidden/>
              </w:rPr>
              <w:fldChar w:fldCharType="begin"/>
            </w:r>
            <w:r>
              <w:rPr>
                <w:noProof/>
                <w:webHidden/>
              </w:rPr>
              <w:instrText xml:space="preserve"> PAGEREF _Toc183094935 \h </w:instrText>
            </w:r>
            <w:r>
              <w:rPr>
                <w:noProof/>
                <w:webHidden/>
              </w:rPr>
            </w:r>
            <w:r>
              <w:rPr>
                <w:noProof/>
                <w:webHidden/>
              </w:rPr>
              <w:fldChar w:fldCharType="separate"/>
            </w:r>
            <w:r>
              <w:rPr>
                <w:noProof/>
                <w:webHidden/>
              </w:rPr>
              <w:t>6</w:t>
            </w:r>
            <w:r>
              <w:rPr>
                <w:noProof/>
                <w:webHidden/>
              </w:rPr>
              <w:fldChar w:fldCharType="end"/>
            </w:r>
          </w:hyperlink>
        </w:p>
        <w:p w14:paraId="0FEAC802" w14:textId="71BA2AD1"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36" w:history="1">
            <w:r w:rsidRPr="00576C4C">
              <w:rPr>
                <w:rStyle w:val="Hyperlink"/>
                <w:noProof/>
              </w:rPr>
              <w:t>Faculty Partnership Lead</w:t>
            </w:r>
            <w:r>
              <w:rPr>
                <w:noProof/>
                <w:webHidden/>
              </w:rPr>
              <w:tab/>
            </w:r>
            <w:r>
              <w:rPr>
                <w:noProof/>
                <w:webHidden/>
              </w:rPr>
              <w:fldChar w:fldCharType="begin"/>
            </w:r>
            <w:r>
              <w:rPr>
                <w:noProof/>
                <w:webHidden/>
              </w:rPr>
              <w:instrText xml:space="preserve"> PAGEREF _Toc183094936 \h </w:instrText>
            </w:r>
            <w:r>
              <w:rPr>
                <w:noProof/>
                <w:webHidden/>
              </w:rPr>
            </w:r>
            <w:r>
              <w:rPr>
                <w:noProof/>
                <w:webHidden/>
              </w:rPr>
              <w:fldChar w:fldCharType="separate"/>
            </w:r>
            <w:r>
              <w:rPr>
                <w:noProof/>
                <w:webHidden/>
              </w:rPr>
              <w:t>7</w:t>
            </w:r>
            <w:r>
              <w:rPr>
                <w:noProof/>
                <w:webHidden/>
              </w:rPr>
              <w:fldChar w:fldCharType="end"/>
            </w:r>
          </w:hyperlink>
        </w:p>
        <w:p w14:paraId="3D07AF19" w14:textId="5664A59F"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37" w:history="1">
            <w:r w:rsidRPr="00576C4C">
              <w:rPr>
                <w:rStyle w:val="Hyperlink"/>
                <w:noProof/>
              </w:rPr>
              <w:t>Academic Partnership Liaison Tutor</w:t>
            </w:r>
            <w:r>
              <w:rPr>
                <w:noProof/>
                <w:webHidden/>
              </w:rPr>
              <w:tab/>
            </w:r>
            <w:r>
              <w:rPr>
                <w:noProof/>
                <w:webHidden/>
              </w:rPr>
              <w:fldChar w:fldCharType="begin"/>
            </w:r>
            <w:r>
              <w:rPr>
                <w:noProof/>
                <w:webHidden/>
              </w:rPr>
              <w:instrText xml:space="preserve"> PAGEREF _Toc183094937 \h </w:instrText>
            </w:r>
            <w:r>
              <w:rPr>
                <w:noProof/>
                <w:webHidden/>
              </w:rPr>
            </w:r>
            <w:r>
              <w:rPr>
                <w:noProof/>
                <w:webHidden/>
              </w:rPr>
              <w:fldChar w:fldCharType="separate"/>
            </w:r>
            <w:r>
              <w:rPr>
                <w:noProof/>
                <w:webHidden/>
              </w:rPr>
              <w:t>7</w:t>
            </w:r>
            <w:r>
              <w:rPr>
                <w:noProof/>
                <w:webHidden/>
              </w:rPr>
              <w:fldChar w:fldCharType="end"/>
            </w:r>
          </w:hyperlink>
        </w:p>
        <w:p w14:paraId="6AD518AA" w14:textId="63E076C2"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38" w:history="1">
            <w:r w:rsidRPr="00576C4C">
              <w:rPr>
                <w:rStyle w:val="Hyperlink"/>
                <w:noProof/>
              </w:rPr>
              <w:t>Governance, Quality Assurance and Student Casework (GQASC)</w:t>
            </w:r>
            <w:r>
              <w:rPr>
                <w:noProof/>
                <w:webHidden/>
              </w:rPr>
              <w:tab/>
            </w:r>
            <w:r>
              <w:rPr>
                <w:noProof/>
                <w:webHidden/>
              </w:rPr>
              <w:fldChar w:fldCharType="begin"/>
            </w:r>
            <w:r>
              <w:rPr>
                <w:noProof/>
                <w:webHidden/>
              </w:rPr>
              <w:instrText xml:space="preserve"> PAGEREF _Toc183094938 \h </w:instrText>
            </w:r>
            <w:r>
              <w:rPr>
                <w:noProof/>
                <w:webHidden/>
              </w:rPr>
            </w:r>
            <w:r>
              <w:rPr>
                <w:noProof/>
                <w:webHidden/>
              </w:rPr>
              <w:fldChar w:fldCharType="separate"/>
            </w:r>
            <w:r>
              <w:rPr>
                <w:noProof/>
                <w:webHidden/>
              </w:rPr>
              <w:t>8</w:t>
            </w:r>
            <w:r>
              <w:rPr>
                <w:noProof/>
                <w:webHidden/>
              </w:rPr>
              <w:fldChar w:fldCharType="end"/>
            </w:r>
          </w:hyperlink>
        </w:p>
        <w:p w14:paraId="0C200FA5" w14:textId="70A5EA25"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39" w:history="1">
            <w:r w:rsidRPr="00576C4C">
              <w:rPr>
                <w:rStyle w:val="Hyperlink"/>
                <w:noProof/>
              </w:rPr>
              <w:t>The International Office</w:t>
            </w:r>
            <w:r>
              <w:rPr>
                <w:noProof/>
                <w:webHidden/>
              </w:rPr>
              <w:tab/>
            </w:r>
            <w:r>
              <w:rPr>
                <w:noProof/>
                <w:webHidden/>
              </w:rPr>
              <w:fldChar w:fldCharType="begin"/>
            </w:r>
            <w:r>
              <w:rPr>
                <w:noProof/>
                <w:webHidden/>
              </w:rPr>
              <w:instrText xml:space="preserve"> PAGEREF _Toc183094939 \h </w:instrText>
            </w:r>
            <w:r>
              <w:rPr>
                <w:noProof/>
                <w:webHidden/>
              </w:rPr>
            </w:r>
            <w:r>
              <w:rPr>
                <w:noProof/>
                <w:webHidden/>
              </w:rPr>
              <w:fldChar w:fldCharType="separate"/>
            </w:r>
            <w:r>
              <w:rPr>
                <w:noProof/>
                <w:webHidden/>
              </w:rPr>
              <w:t>9</w:t>
            </w:r>
            <w:r>
              <w:rPr>
                <w:noProof/>
                <w:webHidden/>
              </w:rPr>
              <w:fldChar w:fldCharType="end"/>
            </w:r>
          </w:hyperlink>
        </w:p>
        <w:p w14:paraId="4504F758" w14:textId="5E572098"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40" w:history="1">
            <w:r w:rsidRPr="00576C4C">
              <w:rPr>
                <w:rStyle w:val="Hyperlink"/>
                <w:noProof/>
              </w:rPr>
              <w:t>The Compliance Team</w:t>
            </w:r>
            <w:r>
              <w:rPr>
                <w:noProof/>
                <w:webHidden/>
              </w:rPr>
              <w:tab/>
            </w:r>
            <w:r>
              <w:rPr>
                <w:noProof/>
                <w:webHidden/>
              </w:rPr>
              <w:fldChar w:fldCharType="begin"/>
            </w:r>
            <w:r>
              <w:rPr>
                <w:noProof/>
                <w:webHidden/>
              </w:rPr>
              <w:instrText xml:space="preserve"> PAGEREF _Toc183094940 \h </w:instrText>
            </w:r>
            <w:r>
              <w:rPr>
                <w:noProof/>
                <w:webHidden/>
              </w:rPr>
            </w:r>
            <w:r>
              <w:rPr>
                <w:noProof/>
                <w:webHidden/>
              </w:rPr>
              <w:fldChar w:fldCharType="separate"/>
            </w:r>
            <w:r>
              <w:rPr>
                <w:noProof/>
                <w:webHidden/>
              </w:rPr>
              <w:t>9</w:t>
            </w:r>
            <w:r>
              <w:rPr>
                <w:noProof/>
                <w:webHidden/>
              </w:rPr>
              <w:fldChar w:fldCharType="end"/>
            </w:r>
          </w:hyperlink>
        </w:p>
        <w:p w14:paraId="6A91D2F8" w14:textId="5D905530" w:rsidR="00E56D9F" w:rsidRDefault="00E56D9F">
          <w:pPr>
            <w:pStyle w:val="TOC1"/>
            <w:rPr>
              <w:rFonts w:asciiTheme="minorHAnsi" w:eastAsiaTheme="minorEastAsia" w:hAnsiTheme="minorHAnsi"/>
              <w:noProof/>
              <w:kern w:val="2"/>
              <w:szCs w:val="24"/>
              <w:lang w:eastAsia="en-GB"/>
              <w14:ligatures w14:val="standardContextual"/>
            </w:rPr>
          </w:pPr>
          <w:hyperlink w:anchor="_Toc183094941" w:history="1">
            <w:r w:rsidRPr="00576C4C">
              <w:rPr>
                <w:rStyle w:val="Hyperlink"/>
                <w:noProof/>
              </w:rPr>
              <w:t>CATEGORY A PARTNERSHIPS</w:t>
            </w:r>
            <w:r>
              <w:rPr>
                <w:noProof/>
                <w:webHidden/>
              </w:rPr>
              <w:tab/>
            </w:r>
            <w:r>
              <w:rPr>
                <w:noProof/>
                <w:webHidden/>
              </w:rPr>
              <w:fldChar w:fldCharType="begin"/>
            </w:r>
            <w:r>
              <w:rPr>
                <w:noProof/>
                <w:webHidden/>
              </w:rPr>
              <w:instrText xml:space="preserve"> PAGEREF _Toc183094941 \h </w:instrText>
            </w:r>
            <w:r>
              <w:rPr>
                <w:noProof/>
                <w:webHidden/>
              </w:rPr>
            </w:r>
            <w:r>
              <w:rPr>
                <w:noProof/>
                <w:webHidden/>
              </w:rPr>
              <w:fldChar w:fldCharType="separate"/>
            </w:r>
            <w:r>
              <w:rPr>
                <w:noProof/>
                <w:webHidden/>
              </w:rPr>
              <w:t>10</w:t>
            </w:r>
            <w:r>
              <w:rPr>
                <w:noProof/>
                <w:webHidden/>
              </w:rPr>
              <w:fldChar w:fldCharType="end"/>
            </w:r>
          </w:hyperlink>
        </w:p>
        <w:p w14:paraId="7757526D" w14:textId="666DB93C"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42" w:history="1">
            <w:r w:rsidRPr="00576C4C">
              <w:rPr>
                <w:rStyle w:val="Hyperlink"/>
                <w:noProof/>
              </w:rPr>
              <w:t>Category A1-4 and A6 Processes</w:t>
            </w:r>
            <w:r>
              <w:rPr>
                <w:noProof/>
                <w:webHidden/>
              </w:rPr>
              <w:tab/>
            </w:r>
            <w:r>
              <w:rPr>
                <w:noProof/>
                <w:webHidden/>
              </w:rPr>
              <w:fldChar w:fldCharType="begin"/>
            </w:r>
            <w:r>
              <w:rPr>
                <w:noProof/>
                <w:webHidden/>
              </w:rPr>
              <w:instrText xml:space="preserve"> PAGEREF _Toc183094942 \h </w:instrText>
            </w:r>
            <w:r>
              <w:rPr>
                <w:noProof/>
                <w:webHidden/>
              </w:rPr>
            </w:r>
            <w:r>
              <w:rPr>
                <w:noProof/>
                <w:webHidden/>
              </w:rPr>
              <w:fldChar w:fldCharType="separate"/>
            </w:r>
            <w:r>
              <w:rPr>
                <w:noProof/>
                <w:webHidden/>
              </w:rPr>
              <w:t>10</w:t>
            </w:r>
            <w:r>
              <w:rPr>
                <w:noProof/>
                <w:webHidden/>
              </w:rPr>
              <w:fldChar w:fldCharType="end"/>
            </w:r>
          </w:hyperlink>
        </w:p>
        <w:p w14:paraId="6C0213BC" w14:textId="7AB11EDE" w:rsidR="00E56D9F" w:rsidRDefault="00E56D9F">
          <w:pPr>
            <w:pStyle w:val="TOC3"/>
            <w:rPr>
              <w:rFonts w:asciiTheme="minorHAnsi" w:eastAsiaTheme="minorEastAsia" w:hAnsiTheme="minorHAnsi"/>
              <w:noProof/>
              <w:kern w:val="2"/>
              <w:szCs w:val="24"/>
              <w:lang w:eastAsia="en-GB"/>
              <w14:ligatures w14:val="standardContextual"/>
            </w:rPr>
          </w:pPr>
          <w:hyperlink w:anchor="_Toc183094943" w:history="1">
            <w:r w:rsidRPr="00576C4C">
              <w:rPr>
                <w:rStyle w:val="Hyperlink"/>
                <w:noProof/>
              </w:rPr>
              <w:t>Placements</w:t>
            </w:r>
            <w:r>
              <w:rPr>
                <w:noProof/>
                <w:webHidden/>
              </w:rPr>
              <w:tab/>
            </w:r>
            <w:r>
              <w:rPr>
                <w:noProof/>
                <w:webHidden/>
              </w:rPr>
              <w:fldChar w:fldCharType="begin"/>
            </w:r>
            <w:r>
              <w:rPr>
                <w:noProof/>
                <w:webHidden/>
              </w:rPr>
              <w:instrText xml:space="preserve"> PAGEREF _Toc183094943 \h </w:instrText>
            </w:r>
            <w:r>
              <w:rPr>
                <w:noProof/>
                <w:webHidden/>
              </w:rPr>
            </w:r>
            <w:r>
              <w:rPr>
                <w:noProof/>
                <w:webHidden/>
              </w:rPr>
              <w:fldChar w:fldCharType="separate"/>
            </w:r>
            <w:r>
              <w:rPr>
                <w:noProof/>
                <w:webHidden/>
              </w:rPr>
              <w:t>10</w:t>
            </w:r>
            <w:r>
              <w:rPr>
                <w:noProof/>
                <w:webHidden/>
              </w:rPr>
              <w:fldChar w:fldCharType="end"/>
            </w:r>
          </w:hyperlink>
        </w:p>
        <w:p w14:paraId="26BC021E" w14:textId="65B67211" w:rsidR="00E56D9F" w:rsidRDefault="00E56D9F">
          <w:pPr>
            <w:pStyle w:val="TOC3"/>
            <w:rPr>
              <w:rFonts w:asciiTheme="minorHAnsi" w:eastAsiaTheme="minorEastAsia" w:hAnsiTheme="minorHAnsi"/>
              <w:noProof/>
              <w:kern w:val="2"/>
              <w:szCs w:val="24"/>
              <w:lang w:eastAsia="en-GB"/>
              <w14:ligatures w14:val="standardContextual"/>
            </w:rPr>
          </w:pPr>
          <w:hyperlink w:anchor="_Toc183094944" w:history="1">
            <w:r w:rsidRPr="00576C4C">
              <w:rPr>
                <w:rStyle w:val="Hyperlink"/>
                <w:noProof/>
              </w:rPr>
              <w:t>Study Abroad</w:t>
            </w:r>
            <w:r>
              <w:rPr>
                <w:noProof/>
                <w:webHidden/>
              </w:rPr>
              <w:tab/>
            </w:r>
            <w:r>
              <w:rPr>
                <w:noProof/>
                <w:webHidden/>
              </w:rPr>
              <w:fldChar w:fldCharType="begin"/>
            </w:r>
            <w:r>
              <w:rPr>
                <w:noProof/>
                <w:webHidden/>
              </w:rPr>
              <w:instrText xml:space="preserve"> PAGEREF _Toc183094944 \h </w:instrText>
            </w:r>
            <w:r>
              <w:rPr>
                <w:noProof/>
                <w:webHidden/>
              </w:rPr>
            </w:r>
            <w:r>
              <w:rPr>
                <w:noProof/>
                <w:webHidden/>
              </w:rPr>
              <w:fldChar w:fldCharType="separate"/>
            </w:r>
            <w:r>
              <w:rPr>
                <w:noProof/>
                <w:webHidden/>
              </w:rPr>
              <w:t>11</w:t>
            </w:r>
            <w:r>
              <w:rPr>
                <w:noProof/>
                <w:webHidden/>
              </w:rPr>
              <w:fldChar w:fldCharType="end"/>
            </w:r>
          </w:hyperlink>
        </w:p>
        <w:p w14:paraId="15AA0541" w14:textId="1BADB492" w:rsidR="00E56D9F" w:rsidRDefault="00E56D9F">
          <w:pPr>
            <w:pStyle w:val="TOC3"/>
            <w:rPr>
              <w:rFonts w:asciiTheme="minorHAnsi" w:eastAsiaTheme="minorEastAsia" w:hAnsiTheme="minorHAnsi"/>
              <w:noProof/>
              <w:kern w:val="2"/>
              <w:szCs w:val="24"/>
              <w:lang w:eastAsia="en-GB"/>
              <w14:ligatures w14:val="standardContextual"/>
            </w:rPr>
          </w:pPr>
          <w:hyperlink w:anchor="_Toc183094945" w:history="1">
            <w:r w:rsidRPr="00576C4C">
              <w:rPr>
                <w:rStyle w:val="Hyperlink"/>
                <w:bCs/>
                <w:noProof/>
              </w:rPr>
              <w:t>Study Abroad (other overseas territories) (A3)</w:t>
            </w:r>
            <w:r>
              <w:rPr>
                <w:noProof/>
                <w:webHidden/>
              </w:rPr>
              <w:tab/>
            </w:r>
            <w:r>
              <w:rPr>
                <w:noProof/>
                <w:webHidden/>
              </w:rPr>
              <w:fldChar w:fldCharType="begin"/>
            </w:r>
            <w:r>
              <w:rPr>
                <w:noProof/>
                <w:webHidden/>
              </w:rPr>
              <w:instrText xml:space="preserve"> PAGEREF _Toc183094945 \h </w:instrText>
            </w:r>
            <w:r>
              <w:rPr>
                <w:noProof/>
                <w:webHidden/>
              </w:rPr>
            </w:r>
            <w:r>
              <w:rPr>
                <w:noProof/>
                <w:webHidden/>
              </w:rPr>
              <w:fldChar w:fldCharType="separate"/>
            </w:r>
            <w:r>
              <w:rPr>
                <w:noProof/>
                <w:webHidden/>
              </w:rPr>
              <w:t>12</w:t>
            </w:r>
            <w:r>
              <w:rPr>
                <w:noProof/>
                <w:webHidden/>
              </w:rPr>
              <w:fldChar w:fldCharType="end"/>
            </w:r>
          </w:hyperlink>
        </w:p>
        <w:p w14:paraId="3698459D" w14:textId="42D39E5A" w:rsidR="00E56D9F" w:rsidRDefault="00E56D9F">
          <w:pPr>
            <w:pStyle w:val="TOC3"/>
            <w:rPr>
              <w:rFonts w:asciiTheme="minorHAnsi" w:eastAsiaTheme="minorEastAsia" w:hAnsiTheme="minorHAnsi"/>
              <w:noProof/>
              <w:kern w:val="2"/>
              <w:szCs w:val="24"/>
              <w:lang w:eastAsia="en-GB"/>
              <w14:ligatures w14:val="standardContextual"/>
            </w:rPr>
          </w:pPr>
          <w:hyperlink w:anchor="_Toc183094946" w:history="1">
            <w:r w:rsidRPr="00576C4C">
              <w:rPr>
                <w:rStyle w:val="Hyperlink"/>
                <w:noProof/>
              </w:rPr>
              <w:t>PGCE with Lead Partners</w:t>
            </w:r>
            <w:r>
              <w:rPr>
                <w:noProof/>
                <w:webHidden/>
              </w:rPr>
              <w:tab/>
            </w:r>
            <w:r>
              <w:rPr>
                <w:noProof/>
                <w:webHidden/>
              </w:rPr>
              <w:fldChar w:fldCharType="begin"/>
            </w:r>
            <w:r>
              <w:rPr>
                <w:noProof/>
                <w:webHidden/>
              </w:rPr>
              <w:instrText xml:space="preserve"> PAGEREF _Toc183094946 \h </w:instrText>
            </w:r>
            <w:r>
              <w:rPr>
                <w:noProof/>
                <w:webHidden/>
              </w:rPr>
            </w:r>
            <w:r>
              <w:rPr>
                <w:noProof/>
                <w:webHidden/>
              </w:rPr>
              <w:fldChar w:fldCharType="separate"/>
            </w:r>
            <w:r>
              <w:rPr>
                <w:noProof/>
                <w:webHidden/>
              </w:rPr>
              <w:t>13</w:t>
            </w:r>
            <w:r>
              <w:rPr>
                <w:noProof/>
                <w:webHidden/>
              </w:rPr>
              <w:fldChar w:fldCharType="end"/>
            </w:r>
          </w:hyperlink>
        </w:p>
        <w:p w14:paraId="0AB357F4" w14:textId="0332007B" w:rsidR="00E56D9F" w:rsidRDefault="00E56D9F">
          <w:pPr>
            <w:pStyle w:val="TOC3"/>
            <w:rPr>
              <w:rFonts w:asciiTheme="minorHAnsi" w:eastAsiaTheme="minorEastAsia" w:hAnsiTheme="minorHAnsi"/>
              <w:noProof/>
              <w:kern w:val="2"/>
              <w:szCs w:val="24"/>
              <w:lang w:eastAsia="en-GB"/>
              <w14:ligatures w14:val="standardContextual"/>
            </w:rPr>
          </w:pPr>
          <w:hyperlink w:anchor="_Toc183094947" w:history="1">
            <w:r w:rsidRPr="00576C4C">
              <w:rPr>
                <w:rStyle w:val="Hyperlink"/>
                <w:noProof/>
              </w:rPr>
              <w:t>Approval Processes</w:t>
            </w:r>
            <w:r>
              <w:rPr>
                <w:noProof/>
                <w:webHidden/>
              </w:rPr>
              <w:tab/>
            </w:r>
            <w:r>
              <w:rPr>
                <w:noProof/>
                <w:webHidden/>
              </w:rPr>
              <w:fldChar w:fldCharType="begin"/>
            </w:r>
            <w:r>
              <w:rPr>
                <w:noProof/>
                <w:webHidden/>
              </w:rPr>
              <w:instrText xml:space="preserve"> PAGEREF _Toc183094947 \h </w:instrText>
            </w:r>
            <w:r>
              <w:rPr>
                <w:noProof/>
                <w:webHidden/>
              </w:rPr>
            </w:r>
            <w:r>
              <w:rPr>
                <w:noProof/>
                <w:webHidden/>
              </w:rPr>
              <w:fldChar w:fldCharType="separate"/>
            </w:r>
            <w:r>
              <w:rPr>
                <w:noProof/>
                <w:webHidden/>
              </w:rPr>
              <w:t>13</w:t>
            </w:r>
            <w:r>
              <w:rPr>
                <w:noProof/>
                <w:webHidden/>
              </w:rPr>
              <w:fldChar w:fldCharType="end"/>
            </w:r>
          </w:hyperlink>
        </w:p>
        <w:p w14:paraId="1D41DCCC" w14:textId="2FF95944" w:rsidR="00E56D9F" w:rsidRDefault="00E56D9F">
          <w:pPr>
            <w:pStyle w:val="TOC3"/>
            <w:rPr>
              <w:rFonts w:asciiTheme="minorHAnsi" w:eastAsiaTheme="minorEastAsia" w:hAnsiTheme="minorHAnsi"/>
              <w:noProof/>
              <w:kern w:val="2"/>
              <w:szCs w:val="24"/>
              <w:lang w:eastAsia="en-GB"/>
              <w14:ligatures w14:val="standardContextual"/>
            </w:rPr>
          </w:pPr>
          <w:hyperlink w:anchor="_Toc183094948" w:history="1">
            <w:r w:rsidRPr="00576C4C">
              <w:rPr>
                <w:rStyle w:val="Hyperlink"/>
                <w:noProof/>
              </w:rPr>
              <w:t>Table 3: Partner approval periods in category A arrangements</w:t>
            </w:r>
            <w:r>
              <w:rPr>
                <w:noProof/>
                <w:webHidden/>
              </w:rPr>
              <w:tab/>
            </w:r>
            <w:r>
              <w:rPr>
                <w:noProof/>
                <w:webHidden/>
              </w:rPr>
              <w:fldChar w:fldCharType="begin"/>
            </w:r>
            <w:r>
              <w:rPr>
                <w:noProof/>
                <w:webHidden/>
              </w:rPr>
              <w:instrText xml:space="preserve"> PAGEREF _Toc183094948 \h </w:instrText>
            </w:r>
            <w:r>
              <w:rPr>
                <w:noProof/>
                <w:webHidden/>
              </w:rPr>
            </w:r>
            <w:r>
              <w:rPr>
                <w:noProof/>
                <w:webHidden/>
              </w:rPr>
              <w:fldChar w:fldCharType="separate"/>
            </w:r>
            <w:r>
              <w:rPr>
                <w:noProof/>
                <w:webHidden/>
              </w:rPr>
              <w:t>14</w:t>
            </w:r>
            <w:r>
              <w:rPr>
                <w:noProof/>
                <w:webHidden/>
              </w:rPr>
              <w:fldChar w:fldCharType="end"/>
            </w:r>
          </w:hyperlink>
        </w:p>
        <w:p w14:paraId="02C03795" w14:textId="19CE8D22" w:rsidR="00E56D9F" w:rsidRDefault="00E56D9F">
          <w:pPr>
            <w:pStyle w:val="TOC3"/>
            <w:rPr>
              <w:rFonts w:asciiTheme="minorHAnsi" w:eastAsiaTheme="minorEastAsia" w:hAnsiTheme="minorHAnsi"/>
              <w:noProof/>
              <w:kern w:val="2"/>
              <w:szCs w:val="24"/>
              <w:lang w:eastAsia="en-GB"/>
              <w14:ligatures w14:val="standardContextual"/>
            </w:rPr>
          </w:pPr>
          <w:hyperlink w:anchor="_Toc183094949" w:history="1">
            <w:r w:rsidRPr="00576C4C">
              <w:rPr>
                <w:rStyle w:val="Hyperlink"/>
                <w:noProof/>
              </w:rPr>
              <w:t>Review Processes for Category A1-4 and A6 Partnerships</w:t>
            </w:r>
            <w:r>
              <w:rPr>
                <w:noProof/>
                <w:webHidden/>
              </w:rPr>
              <w:tab/>
            </w:r>
            <w:r>
              <w:rPr>
                <w:noProof/>
                <w:webHidden/>
              </w:rPr>
              <w:fldChar w:fldCharType="begin"/>
            </w:r>
            <w:r>
              <w:rPr>
                <w:noProof/>
                <w:webHidden/>
              </w:rPr>
              <w:instrText xml:space="preserve"> PAGEREF _Toc183094949 \h </w:instrText>
            </w:r>
            <w:r>
              <w:rPr>
                <w:noProof/>
                <w:webHidden/>
              </w:rPr>
            </w:r>
            <w:r>
              <w:rPr>
                <w:noProof/>
                <w:webHidden/>
              </w:rPr>
              <w:fldChar w:fldCharType="separate"/>
            </w:r>
            <w:r>
              <w:rPr>
                <w:noProof/>
                <w:webHidden/>
              </w:rPr>
              <w:t>15</w:t>
            </w:r>
            <w:r>
              <w:rPr>
                <w:noProof/>
                <w:webHidden/>
              </w:rPr>
              <w:fldChar w:fldCharType="end"/>
            </w:r>
          </w:hyperlink>
        </w:p>
        <w:p w14:paraId="23210ED2" w14:textId="67A31FEA" w:rsidR="00E56D9F" w:rsidRDefault="00E56D9F">
          <w:pPr>
            <w:pStyle w:val="TOC3"/>
            <w:rPr>
              <w:rFonts w:asciiTheme="minorHAnsi" w:eastAsiaTheme="minorEastAsia" w:hAnsiTheme="minorHAnsi"/>
              <w:noProof/>
              <w:kern w:val="2"/>
              <w:szCs w:val="24"/>
              <w:lang w:eastAsia="en-GB"/>
              <w14:ligatures w14:val="standardContextual"/>
            </w:rPr>
          </w:pPr>
          <w:hyperlink w:anchor="_Toc183094950" w:history="1">
            <w:r w:rsidRPr="00576C4C">
              <w:rPr>
                <w:rStyle w:val="Hyperlink"/>
                <w:noProof/>
              </w:rPr>
              <w:t>Closure Processes for Category A1-4 and A6 Partnerships</w:t>
            </w:r>
            <w:r>
              <w:rPr>
                <w:noProof/>
                <w:webHidden/>
              </w:rPr>
              <w:tab/>
            </w:r>
            <w:r>
              <w:rPr>
                <w:noProof/>
                <w:webHidden/>
              </w:rPr>
              <w:fldChar w:fldCharType="begin"/>
            </w:r>
            <w:r>
              <w:rPr>
                <w:noProof/>
                <w:webHidden/>
              </w:rPr>
              <w:instrText xml:space="preserve"> PAGEREF _Toc183094950 \h </w:instrText>
            </w:r>
            <w:r>
              <w:rPr>
                <w:noProof/>
                <w:webHidden/>
              </w:rPr>
            </w:r>
            <w:r>
              <w:rPr>
                <w:noProof/>
                <w:webHidden/>
              </w:rPr>
              <w:fldChar w:fldCharType="separate"/>
            </w:r>
            <w:r>
              <w:rPr>
                <w:noProof/>
                <w:webHidden/>
              </w:rPr>
              <w:t>15</w:t>
            </w:r>
            <w:r>
              <w:rPr>
                <w:noProof/>
                <w:webHidden/>
              </w:rPr>
              <w:fldChar w:fldCharType="end"/>
            </w:r>
          </w:hyperlink>
        </w:p>
        <w:p w14:paraId="464250E7" w14:textId="08CD6B1B"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51" w:history="1">
            <w:r w:rsidRPr="00576C4C">
              <w:rPr>
                <w:rStyle w:val="Hyperlink"/>
                <w:noProof/>
              </w:rPr>
              <w:t>Category A5 Processes</w:t>
            </w:r>
            <w:r>
              <w:rPr>
                <w:noProof/>
                <w:webHidden/>
              </w:rPr>
              <w:tab/>
            </w:r>
            <w:r>
              <w:rPr>
                <w:noProof/>
                <w:webHidden/>
              </w:rPr>
              <w:fldChar w:fldCharType="begin"/>
            </w:r>
            <w:r>
              <w:rPr>
                <w:noProof/>
                <w:webHidden/>
              </w:rPr>
              <w:instrText xml:space="preserve"> PAGEREF _Toc183094951 \h </w:instrText>
            </w:r>
            <w:r>
              <w:rPr>
                <w:noProof/>
                <w:webHidden/>
              </w:rPr>
            </w:r>
            <w:r>
              <w:rPr>
                <w:noProof/>
                <w:webHidden/>
              </w:rPr>
              <w:fldChar w:fldCharType="separate"/>
            </w:r>
            <w:r>
              <w:rPr>
                <w:noProof/>
                <w:webHidden/>
              </w:rPr>
              <w:t>16</w:t>
            </w:r>
            <w:r>
              <w:rPr>
                <w:noProof/>
                <w:webHidden/>
              </w:rPr>
              <w:fldChar w:fldCharType="end"/>
            </w:r>
          </w:hyperlink>
        </w:p>
        <w:p w14:paraId="79268AC0" w14:textId="271B255F" w:rsidR="00E56D9F" w:rsidRDefault="00E56D9F">
          <w:pPr>
            <w:pStyle w:val="TOC3"/>
            <w:rPr>
              <w:rFonts w:asciiTheme="minorHAnsi" w:eastAsiaTheme="minorEastAsia" w:hAnsiTheme="minorHAnsi"/>
              <w:noProof/>
              <w:kern w:val="2"/>
              <w:szCs w:val="24"/>
              <w:lang w:eastAsia="en-GB"/>
              <w14:ligatures w14:val="standardContextual"/>
            </w:rPr>
          </w:pPr>
          <w:hyperlink w:anchor="_Toc183094952" w:history="1">
            <w:r w:rsidRPr="00576C4C">
              <w:rPr>
                <w:rStyle w:val="Hyperlink"/>
                <w:noProof/>
              </w:rPr>
              <w:t>Degree and Higher Apprenticeships</w:t>
            </w:r>
            <w:r>
              <w:rPr>
                <w:noProof/>
                <w:webHidden/>
              </w:rPr>
              <w:tab/>
            </w:r>
            <w:r>
              <w:rPr>
                <w:noProof/>
                <w:webHidden/>
              </w:rPr>
              <w:fldChar w:fldCharType="begin"/>
            </w:r>
            <w:r>
              <w:rPr>
                <w:noProof/>
                <w:webHidden/>
              </w:rPr>
              <w:instrText xml:space="preserve"> PAGEREF _Toc183094952 \h </w:instrText>
            </w:r>
            <w:r>
              <w:rPr>
                <w:noProof/>
                <w:webHidden/>
              </w:rPr>
            </w:r>
            <w:r>
              <w:rPr>
                <w:noProof/>
                <w:webHidden/>
              </w:rPr>
              <w:fldChar w:fldCharType="separate"/>
            </w:r>
            <w:r>
              <w:rPr>
                <w:noProof/>
                <w:webHidden/>
              </w:rPr>
              <w:t>16</w:t>
            </w:r>
            <w:r>
              <w:rPr>
                <w:noProof/>
                <w:webHidden/>
              </w:rPr>
              <w:fldChar w:fldCharType="end"/>
            </w:r>
          </w:hyperlink>
        </w:p>
        <w:p w14:paraId="56A5E9F9" w14:textId="3810B456" w:rsidR="00E56D9F" w:rsidRDefault="00E56D9F">
          <w:pPr>
            <w:pStyle w:val="TOC3"/>
            <w:rPr>
              <w:rFonts w:asciiTheme="minorHAnsi" w:eastAsiaTheme="minorEastAsia" w:hAnsiTheme="minorHAnsi"/>
              <w:noProof/>
              <w:kern w:val="2"/>
              <w:szCs w:val="24"/>
              <w:lang w:eastAsia="en-GB"/>
              <w14:ligatures w14:val="standardContextual"/>
            </w:rPr>
          </w:pPr>
          <w:hyperlink w:anchor="_Toc183094953" w:history="1">
            <w:r w:rsidRPr="00576C4C">
              <w:rPr>
                <w:rStyle w:val="Hyperlink"/>
                <w:noProof/>
              </w:rPr>
              <w:t>Approval of Apprenticeships</w:t>
            </w:r>
            <w:r>
              <w:rPr>
                <w:noProof/>
                <w:webHidden/>
              </w:rPr>
              <w:tab/>
            </w:r>
            <w:r>
              <w:rPr>
                <w:noProof/>
                <w:webHidden/>
              </w:rPr>
              <w:fldChar w:fldCharType="begin"/>
            </w:r>
            <w:r>
              <w:rPr>
                <w:noProof/>
                <w:webHidden/>
              </w:rPr>
              <w:instrText xml:space="preserve"> PAGEREF _Toc183094953 \h </w:instrText>
            </w:r>
            <w:r>
              <w:rPr>
                <w:noProof/>
                <w:webHidden/>
              </w:rPr>
            </w:r>
            <w:r>
              <w:rPr>
                <w:noProof/>
                <w:webHidden/>
              </w:rPr>
              <w:fldChar w:fldCharType="separate"/>
            </w:r>
            <w:r>
              <w:rPr>
                <w:noProof/>
                <w:webHidden/>
              </w:rPr>
              <w:t>16</w:t>
            </w:r>
            <w:r>
              <w:rPr>
                <w:noProof/>
                <w:webHidden/>
              </w:rPr>
              <w:fldChar w:fldCharType="end"/>
            </w:r>
          </w:hyperlink>
        </w:p>
        <w:p w14:paraId="360DE9F9" w14:textId="0C553975" w:rsidR="00E56D9F" w:rsidRDefault="00E56D9F">
          <w:pPr>
            <w:pStyle w:val="TOC3"/>
            <w:rPr>
              <w:rFonts w:asciiTheme="minorHAnsi" w:eastAsiaTheme="minorEastAsia" w:hAnsiTheme="minorHAnsi"/>
              <w:noProof/>
              <w:kern w:val="2"/>
              <w:szCs w:val="24"/>
              <w:lang w:eastAsia="en-GB"/>
              <w14:ligatures w14:val="standardContextual"/>
            </w:rPr>
          </w:pPr>
          <w:hyperlink w:anchor="_Toc183094954" w:history="1">
            <w:r w:rsidRPr="00576C4C">
              <w:rPr>
                <w:rStyle w:val="Hyperlink"/>
                <w:noProof/>
              </w:rPr>
              <w:t>Reviewing Apprenticeship Programmes and Delivery Arrangements</w:t>
            </w:r>
            <w:r>
              <w:rPr>
                <w:noProof/>
                <w:webHidden/>
              </w:rPr>
              <w:tab/>
            </w:r>
            <w:r>
              <w:rPr>
                <w:noProof/>
                <w:webHidden/>
              </w:rPr>
              <w:fldChar w:fldCharType="begin"/>
            </w:r>
            <w:r>
              <w:rPr>
                <w:noProof/>
                <w:webHidden/>
              </w:rPr>
              <w:instrText xml:space="preserve"> PAGEREF _Toc183094954 \h </w:instrText>
            </w:r>
            <w:r>
              <w:rPr>
                <w:noProof/>
                <w:webHidden/>
              </w:rPr>
            </w:r>
            <w:r>
              <w:rPr>
                <w:noProof/>
                <w:webHidden/>
              </w:rPr>
              <w:fldChar w:fldCharType="separate"/>
            </w:r>
            <w:r>
              <w:rPr>
                <w:noProof/>
                <w:webHidden/>
              </w:rPr>
              <w:t>18</w:t>
            </w:r>
            <w:r>
              <w:rPr>
                <w:noProof/>
                <w:webHidden/>
              </w:rPr>
              <w:fldChar w:fldCharType="end"/>
            </w:r>
          </w:hyperlink>
        </w:p>
        <w:p w14:paraId="4ED5BA3E" w14:textId="5AEECFB5" w:rsidR="00E56D9F" w:rsidRDefault="00E56D9F">
          <w:pPr>
            <w:pStyle w:val="TOC3"/>
            <w:rPr>
              <w:rFonts w:asciiTheme="minorHAnsi" w:eastAsiaTheme="minorEastAsia" w:hAnsiTheme="minorHAnsi"/>
              <w:noProof/>
              <w:kern w:val="2"/>
              <w:szCs w:val="24"/>
              <w:lang w:eastAsia="en-GB"/>
              <w14:ligatures w14:val="standardContextual"/>
            </w:rPr>
          </w:pPr>
          <w:hyperlink w:anchor="_Toc183094955" w:history="1">
            <w:r w:rsidRPr="00576C4C">
              <w:rPr>
                <w:rStyle w:val="Hyperlink"/>
                <w:noProof/>
              </w:rPr>
              <w:t>Terminating Apprenticeship Delivery</w:t>
            </w:r>
            <w:r>
              <w:rPr>
                <w:noProof/>
                <w:webHidden/>
              </w:rPr>
              <w:tab/>
            </w:r>
            <w:r>
              <w:rPr>
                <w:noProof/>
                <w:webHidden/>
              </w:rPr>
              <w:fldChar w:fldCharType="begin"/>
            </w:r>
            <w:r>
              <w:rPr>
                <w:noProof/>
                <w:webHidden/>
              </w:rPr>
              <w:instrText xml:space="preserve"> PAGEREF _Toc183094955 \h </w:instrText>
            </w:r>
            <w:r>
              <w:rPr>
                <w:noProof/>
                <w:webHidden/>
              </w:rPr>
            </w:r>
            <w:r>
              <w:rPr>
                <w:noProof/>
                <w:webHidden/>
              </w:rPr>
              <w:fldChar w:fldCharType="separate"/>
            </w:r>
            <w:r>
              <w:rPr>
                <w:noProof/>
                <w:webHidden/>
              </w:rPr>
              <w:t>19</w:t>
            </w:r>
            <w:r>
              <w:rPr>
                <w:noProof/>
                <w:webHidden/>
              </w:rPr>
              <w:fldChar w:fldCharType="end"/>
            </w:r>
          </w:hyperlink>
        </w:p>
        <w:p w14:paraId="7856AC9E" w14:textId="3511D4EF" w:rsidR="00E56D9F" w:rsidRDefault="00E56D9F">
          <w:pPr>
            <w:pStyle w:val="TOC1"/>
            <w:rPr>
              <w:rFonts w:asciiTheme="minorHAnsi" w:eastAsiaTheme="minorEastAsia" w:hAnsiTheme="minorHAnsi"/>
              <w:noProof/>
              <w:kern w:val="2"/>
              <w:szCs w:val="24"/>
              <w:lang w:eastAsia="en-GB"/>
              <w14:ligatures w14:val="standardContextual"/>
            </w:rPr>
          </w:pPr>
          <w:hyperlink w:anchor="_Toc183094956" w:history="1">
            <w:r w:rsidRPr="00576C4C">
              <w:rPr>
                <w:rStyle w:val="Hyperlink"/>
                <w:noProof/>
              </w:rPr>
              <w:t>CATEGORY B PARTNERSHIPS</w:t>
            </w:r>
            <w:r>
              <w:rPr>
                <w:noProof/>
                <w:webHidden/>
              </w:rPr>
              <w:tab/>
            </w:r>
            <w:r>
              <w:rPr>
                <w:noProof/>
                <w:webHidden/>
              </w:rPr>
              <w:fldChar w:fldCharType="begin"/>
            </w:r>
            <w:r>
              <w:rPr>
                <w:noProof/>
                <w:webHidden/>
              </w:rPr>
              <w:instrText xml:space="preserve"> PAGEREF _Toc183094956 \h </w:instrText>
            </w:r>
            <w:r>
              <w:rPr>
                <w:noProof/>
                <w:webHidden/>
              </w:rPr>
            </w:r>
            <w:r>
              <w:rPr>
                <w:noProof/>
                <w:webHidden/>
              </w:rPr>
              <w:fldChar w:fldCharType="separate"/>
            </w:r>
            <w:r>
              <w:rPr>
                <w:noProof/>
                <w:webHidden/>
              </w:rPr>
              <w:t>19</w:t>
            </w:r>
            <w:r>
              <w:rPr>
                <w:noProof/>
                <w:webHidden/>
              </w:rPr>
              <w:fldChar w:fldCharType="end"/>
            </w:r>
          </w:hyperlink>
        </w:p>
        <w:p w14:paraId="30293045" w14:textId="7EB2FCD1" w:rsidR="00E56D9F" w:rsidRDefault="00E56D9F">
          <w:pPr>
            <w:pStyle w:val="TOC3"/>
            <w:rPr>
              <w:rFonts w:asciiTheme="minorHAnsi" w:eastAsiaTheme="minorEastAsia" w:hAnsiTheme="minorHAnsi"/>
              <w:noProof/>
              <w:kern w:val="2"/>
              <w:szCs w:val="24"/>
              <w:lang w:eastAsia="en-GB"/>
              <w14:ligatures w14:val="standardContextual"/>
            </w:rPr>
          </w:pPr>
          <w:hyperlink w:anchor="_Toc183094957" w:history="1">
            <w:r w:rsidRPr="00576C4C">
              <w:rPr>
                <w:rStyle w:val="Hyperlink"/>
                <w:noProof/>
              </w:rPr>
              <w:t>Approval processes</w:t>
            </w:r>
            <w:r>
              <w:rPr>
                <w:noProof/>
                <w:webHidden/>
              </w:rPr>
              <w:tab/>
            </w:r>
            <w:r>
              <w:rPr>
                <w:noProof/>
                <w:webHidden/>
              </w:rPr>
              <w:fldChar w:fldCharType="begin"/>
            </w:r>
            <w:r>
              <w:rPr>
                <w:noProof/>
                <w:webHidden/>
              </w:rPr>
              <w:instrText xml:space="preserve"> PAGEREF _Toc183094957 \h </w:instrText>
            </w:r>
            <w:r>
              <w:rPr>
                <w:noProof/>
                <w:webHidden/>
              </w:rPr>
            </w:r>
            <w:r>
              <w:rPr>
                <w:noProof/>
                <w:webHidden/>
              </w:rPr>
              <w:fldChar w:fldCharType="separate"/>
            </w:r>
            <w:r>
              <w:rPr>
                <w:noProof/>
                <w:webHidden/>
              </w:rPr>
              <w:t>19</w:t>
            </w:r>
            <w:r>
              <w:rPr>
                <w:noProof/>
                <w:webHidden/>
              </w:rPr>
              <w:fldChar w:fldCharType="end"/>
            </w:r>
          </w:hyperlink>
        </w:p>
        <w:p w14:paraId="372D9F1C" w14:textId="34E5E8D2" w:rsidR="00E56D9F" w:rsidRDefault="00E56D9F">
          <w:pPr>
            <w:pStyle w:val="TOC3"/>
            <w:rPr>
              <w:rFonts w:asciiTheme="minorHAnsi" w:eastAsiaTheme="minorEastAsia" w:hAnsiTheme="minorHAnsi"/>
              <w:noProof/>
              <w:kern w:val="2"/>
              <w:szCs w:val="24"/>
              <w:lang w:eastAsia="en-GB"/>
              <w14:ligatures w14:val="standardContextual"/>
            </w:rPr>
          </w:pPr>
          <w:hyperlink w:anchor="_Toc183094958" w:history="1">
            <w:r w:rsidRPr="00576C4C">
              <w:rPr>
                <w:rStyle w:val="Hyperlink"/>
                <w:noProof/>
              </w:rPr>
              <w:t>Table 4: Partner approval periods for category B arrangements</w:t>
            </w:r>
            <w:r>
              <w:rPr>
                <w:noProof/>
                <w:webHidden/>
              </w:rPr>
              <w:tab/>
            </w:r>
            <w:r>
              <w:rPr>
                <w:noProof/>
                <w:webHidden/>
              </w:rPr>
              <w:fldChar w:fldCharType="begin"/>
            </w:r>
            <w:r>
              <w:rPr>
                <w:noProof/>
                <w:webHidden/>
              </w:rPr>
              <w:instrText xml:space="preserve"> PAGEREF _Toc183094958 \h </w:instrText>
            </w:r>
            <w:r>
              <w:rPr>
                <w:noProof/>
                <w:webHidden/>
              </w:rPr>
            </w:r>
            <w:r>
              <w:rPr>
                <w:noProof/>
                <w:webHidden/>
              </w:rPr>
              <w:fldChar w:fldCharType="separate"/>
            </w:r>
            <w:r>
              <w:rPr>
                <w:noProof/>
                <w:webHidden/>
              </w:rPr>
              <w:t>20</w:t>
            </w:r>
            <w:r>
              <w:rPr>
                <w:noProof/>
                <w:webHidden/>
              </w:rPr>
              <w:fldChar w:fldCharType="end"/>
            </w:r>
          </w:hyperlink>
        </w:p>
        <w:p w14:paraId="6C3DB90E" w14:textId="00AA4D40" w:rsidR="00E56D9F" w:rsidRDefault="00E56D9F">
          <w:pPr>
            <w:pStyle w:val="TOC3"/>
            <w:rPr>
              <w:rFonts w:asciiTheme="minorHAnsi" w:eastAsiaTheme="minorEastAsia" w:hAnsiTheme="minorHAnsi"/>
              <w:noProof/>
              <w:kern w:val="2"/>
              <w:szCs w:val="24"/>
              <w:lang w:eastAsia="en-GB"/>
              <w14:ligatures w14:val="standardContextual"/>
            </w:rPr>
          </w:pPr>
          <w:hyperlink w:anchor="_Toc183094959" w:history="1">
            <w:r w:rsidRPr="00576C4C">
              <w:rPr>
                <w:rStyle w:val="Hyperlink"/>
                <w:noProof/>
              </w:rPr>
              <w:t>Review processes</w:t>
            </w:r>
            <w:r>
              <w:rPr>
                <w:noProof/>
                <w:webHidden/>
              </w:rPr>
              <w:tab/>
            </w:r>
            <w:r>
              <w:rPr>
                <w:noProof/>
                <w:webHidden/>
              </w:rPr>
              <w:fldChar w:fldCharType="begin"/>
            </w:r>
            <w:r>
              <w:rPr>
                <w:noProof/>
                <w:webHidden/>
              </w:rPr>
              <w:instrText xml:space="preserve"> PAGEREF _Toc183094959 \h </w:instrText>
            </w:r>
            <w:r>
              <w:rPr>
                <w:noProof/>
                <w:webHidden/>
              </w:rPr>
            </w:r>
            <w:r>
              <w:rPr>
                <w:noProof/>
                <w:webHidden/>
              </w:rPr>
              <w:fldChar w:fldCharType="separate"/>
            </w:r>
            <w:r>
              <w:rPr>
                <w:noProof/>
                <w:webHidden/>
              </w:rPr>
              <w:t>20</w:t>
            </w:r>
            <w:r>
              <w:rPr>
                <w:noProof/>
                <w:webHidden/>
              </w:rPr>
              <w:fldChar w:fldCharType="end"/>
            </w:r>
          </w:hyperlink>
        </w:p>
        <w:p w14:paraId="16F13DA8" w14:textId="6CFB67B5" w:rsidR="00E56D9F" w:rsidRDefault="00E56D9F">
          <w:pPr>
            <w:pStyle w:val="TOC1"/>
            <w:rPr>
              <w:rFonts w:asciiTheme="minorHAnsi" w:eastAsiaTheme="minorEastAsia" w:hAnsiTheme="minorHAnsi"/>
              <w:noProof/>
              <w:kern w:val="2"/>
              <w:szCs w:val="24"/>
              <w:lang w:eastAsia="en-GB"/>
              <w14:ligatures w14:val="standardContextual"/>
            </w:rPr>
          </w:pPr>
          <w:hyperlink w:anchor="_Toc183094960" w:history="1">
            <w:r w:rsidRPr="00576C4C">
              <w:rPr>
                <w:rStyle w:val="Hyperlink"/>
                <w:noProof/>
              </w:rPr>
              <w:t>DEFINITIONS OF CATEGORY C+ PARTNERSHIPS</w:t>
            </w:r>
            <w:r>
              <w:rPr>
                <w:noProof/>
                <w:webHidden/>
              </w:rPr>
              <w:tab/>
            </w:r>
            <w:r>
              <w:rPr>
                <w:noProof/>
                <w:webHidden/>
              </w:rPr>
              <w:fldChar w:fldCharType="begin"/>
            </w:r>
            <w:r>
              <w:rPr>
                <w:noProof/>
                <w:webHidden/>
              </w:rPr>
              <w:instrText xml:space="preserve"> PAGEREF _Toc183094960 \h </w:instrText>
            </w:r>
            <w:r>
              <w:rPr>
                <w:noProof/>
                <w:webHidden/>
              </w:rPr>
            </w:r>
            <w:r>
              <w:rPr>
                <w:noProof/>
                <w:webHidden/>
              </w:rPr>
              <w:fldChar w:fldCharType="separate"/>
            </w:r>
            <w:r>
              <w:rPr>
                <w:noProof/>
                <w:webHidden/>
              </w:rPr>
              <w:t>21</w:t>
            </w:r>
            <w:r>
              <w:rPr>
                <w:noProof/>
                <w:webHidden/>
              </w:rPr>
              <w:fldChar w:fldCharType="end"/>
            </w:r>
          </w:hyperlink>
        </w:p>
        <w:p w14:paraId="3FD71B57" w14:textId="4581EF1B"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61" w:history="1">
            <w:r w:rsidRPr="00576C4C">
              <w:rPr>
                <w:rStyle w:val="Hyperlink"/>
                <w:noProof/>
              </w:rPr>
              <w:t>Category C partnerships</w:t>
            </w:r>
            <w:r>
              <w:rPr>
                <w:noProof/>
                <w:webHidden/>
              </w:rPr>
              <w:tab/>
            </w:r>
            <w:r>
              <w:rPr>
                <w:noProof/>
                <w:webHidden/>
              </w:rPr>
              <w:fldChar w:fldCharType="begin"/>
            </w:r>
            <w:r>
              <w:rPr>
                <w:noProof/>
                <w:webHidden/>
              </w:rPr>
              <w:instrText xml:space="preserve"> PAGEREF _Toc183094961 \h </w:instrText>
            </w:r>
            <w:r>
              <w:rPr>
                <w:noProof/>
                <w:webHidden/>
              </w:rPr>
            </w:r>
            <w:r>
              <w:rPr>
                <w:noProof/>
                <w:webHidden/>
              </w:rPr>
              <w:fldChar w:fldCharType="separate"/>
            </w:r>
            <w:r>
              <w:rPr>
                <w:noProof/>
                <w:webHidden/>
              </w:rPr>
              <w:t>21</w:t>
            </w:r>
            <w:r>
              <w:rPr>
                <w:noProof/>
                <w:webHidden/>
              </w:rPr>
              <w:fldChar w:fldCharType="end"/>
            </w:r>
          </w:hyperlink>
        </w:p>
        <w:p w14:paraId="3A40B31F" w14:textId="1B5976F6"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62" w:history="1">
            <w:r w:rsidRPr="00576C4C">
              <w:rPr>
                <w:rStyle w:val="Hyperlink"/>
                <w:noProof/>
              </w:rPr>
              <w:t>Category D Partnerships</w:t>
            </w:r>
            <w:r>
              <w:rPr>
                <w:noProof/>
                <w:webHidden/>
              </w:rPr>
              <w:tab/>
            </w:r>
            <w:r>
              <w:rPr>
                <w:noProof/>
                <w:webHidden/>
              </w:rPr>
              <w:fldChar w:fldCharType="begin"/>
            </w:r>
            <w:r>
              <w:rPr>
                <w:noProof/>
                <w:webHidden/>
              </w:rPr>
              <w:instrText xml:space="preserve"> PAGEREF _Toc183094962 \h </w:instrText>
            </w:r>
            <w:r>
              <w:rPr>
                <w:noProof/>
                <w:webHidden/>
              </w:rPr>
            </w:r>
            <w:r>
              <w:rPr>
                <w:noProof/>
                <w:webHidden/>
              </w:rPr>
              <w:fldChar w:fldCharType="separate"/>
            </w:r>
            <w:r>
              <w:rPr>
                <w:noProof/>
                <w:webHidden/>
              </w:rPr>
              <w:t>22</w:t>
            </w:r>
            <w:r>
              <w:rPr>
                <w:noProof/>
                <w:webHidden/>
              </w:rPr>
              <w:fldChar w:fldCharType="end"/>
            </w:r>
          </w:hyperlink>
        </w:p>
        <w:p w14:paraId="5F246FEC" w14:textId="11F6A02F"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63" w:history="1">
            <w:r w:rsidRPr="00576C4C">
              <w:rPr>
                <w:rStyle w:val="Hyperlink"/>
                <w:noProof/>
              </w:rPr>
              <w:t>Category E partnerships</w:t>
            </w:r>
            <w:r>
              <w:rPr>
                <w:noProof/>
                <w:webHidden/>
              </w:rPr>
              <w:tab/>
            </w:r>
            <w:r>
              <w:rPr>
                <w:noProof/>
                <w:webHidden/>
              </w:rPr>
              <w:fldChar w:fldCharType="begin"/>
            </w:r>
            <w:r>
              <w:rPr>
                <w:noProof/>
                <w:webHidden/>
              </w:rPr>
              <w:instrText xml:space="preserve"> PAGEREF _Toc183094963 \h </w:instrText>
            </w:r>
            <w:r>
              <w:rPr>
                <w:noProof/>
                <w:webHidden/>
              </w:rPr>
            </w:r>
            <w:r>
              <w:rPr>
                <w:noProof/>
                <w:webHidden/>
              </w:rPr>
              <w:fldChar w:fldCharType="separate"/>
            </w:r>
            <w:r>
              <w:rPr>
                <w:noProof/>
                <w:webHidden/>
              </w:rPr>
              <w:t>22</w:t>
            </w:r>
            <w:r>
              <w:rPr>
                <w:noProof/>
                <w:webHidden/>
              </w:rPr>
              <w:fldChar w:fldCharType="end"/>
            </w:r>
          </w:hyperlink>
        </w:p>
        <w:p w14:paraId="13E68B67" w14:textId="3BB0980F"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64" w:history="1">
            <w:r w:rsidRPr="00576C4C">
              <w:rPr>
                <w:rStyle w:val="Hyperlink"/>
                <w:noProof/>
              </w:rPr>
              <w:t>Category F partnerships</w:t>
            </w:r>
            <w:r>
              <w:rPr>
                <w:noProof/>
                <w:webHidden/>
              </w:rPr>
              <w:tab/>
            </w:r>
            <w:r>
              <w:rPr>
                <w:noProof/>
                <w:webHidden/>
              </w:rPr>
              <w:fldChar w:fldCharType="begin"/>
            </w:r>
            <w:r>
              <w:rPr>
                <w:noProof/>
                <w:webHidden/>
              </w:rPr>
              <w:instrText xml:space="preserve"> PAGEREF _Toc183094964 \h </w:instrText>
            </w:r>
            <w:r>
              <w:rPr>
                <w:noProof/>
                <w:webHidden/>
              </w:rPr>
            </w:r>
            <w:r>
              <w:rPr>
                <w:noProof/>
                <w:webHidden/>
              </w:rPr>
              <w:fldChar w:fldCharType="separate"/>
            </w:r>
            <w:r>
              <w:rPr>
                <w:noProof/>
                <w:webHidden/>
              </w:rPr>
              <w:t>25</w:t>
            </w:r>
            <w:r>
              <w:rPr>
                <w:noProof/>
                <w:webHidden/>
              </w:rPr>
              <w:fldChar w:fldCharType="end"/>
            </w:r>
          </w:hyperlink>
        </w:p>
        <w:p w14:paraId="0E7E99A8" w14:textId="330ECA29" w:rsidR="00E56D9F" w:rsidRDefault="00E56D9F">
          <w:pPr>
            <w:pStyle w:val="TOC1"/>
            <w:rPr>
              <w:rFonts w:asciiTheme="minorHAnsi" w:eastAsiaTheme="minorEastAsia" w:hAnsiTheme="minorHAnsi"/>
              <w:noProof/>
              <w:kern w:val="2"/>
              <w:szCs w:val="24"/>
              <w:lang w:eastAsia="en-GB"/>
              <w14:ligatures w14:val="standardContextual"/>
            </w:rPr>
          </w:pPr>
          <w:hyperlink w:anchor="_Toc183094965" w:history="1">
            <w:r w:rsidRPr="00576C4C">
              <w:rPr>
                <w:rStyle w:val="Hyperlink"/>
                <w:noProof/>
              </w:rPr>
              <w:t>Category C+ Processes</w:t>
            </w:r>
            <w:r>
              <w:rPr>
                <w:noProof/>
                <w:webHidden/>
              </w:rPr>
              <w:tab/>
            </w:r>
            <w:r>
              <w:rPr>
                <w:noProof/>
                <w:webHidden/>
              </w:rPr>
              <w:fldChar w:fldCharType="begin"/>
            </w:r>
            <w:r>
              <w:rPr>
                <w:noProof/>
                <w:webHidden/>
              </w:rPr>
              <w:instrText xml:space="preserve"> PAGEREF _Toc183094965 \h </w:instrText>
            </w:r>
            <w:r>
              <w:rPr>
                <w:noProof/>
                <w:webHidden/>
              </w:rPr>
            </w:r>
            <w:r>
              <w:rPr>
                <w:noProof/>
                <w:webHidden/>
              </w:rPr>
              <w:fldChar w:fldCharType="separate"/>
            </w:r>
            <w:r>
              <w:rPr>
                <w:noProof/>
                <w:webHidden/>
              </w:rPr>
              <w:t>28</w:t>
            </w:r>
            <w:r>
              <w:rPr>
                <w:noProof/>
                <w:webHidden/>
              </w:rPr>
              <w:fldChar w:fldCharType="end"/>
            </w:r>
          </w:hyperlink>
        </w:p>
        <w:p w14:paraId="29D96E17" w14:textId="4FEA29A1"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66" w:history="1">
            <w:r w:rsidRPr="00576C4C">
              <w:rPr>
                <w:rStyle w:val="Hyperlink"/>
                <w:noProof/>
              </w:rPr>
              <w:t>Approval</w:t>
            </w:r>
            <w:r>
              <w:rPr>
                <w:noProof/>
                <w:webHidden/>
              </w:rPr>
              <w:tab/>
            </w:r>
            <w:r>
              <w:rPr>
                <w:noProof/>
                <w:webHidden/>
              </w:rPr>
              <w:fldChar w:fldCharType="begin"/>
            </w:r>
            <w:r>
              <w:rPr>
                <w:noProof/>
                <w:webHidden/>
              </w:rPr>
              <w:instrText xml:space="preserve"> PAGEREF _Toc183094966 \h </w:instrText>
            </w:r>
            <w:r>
              <w:rPr>
                <w:noProof/>
                <w:webHidden/>
              </w:rPr>
            </w:r>
            <w:r>
              <w:rPr>
                <w:noProof/>
                <w:webHidden/>
              </w:rPr>
              <w:fldChar w:fldCharType="separate"/>
            </w:r>
            <w:r>
              <w:rPr>
                <w:noProof/>
                <w:webHidden/>
              </w:rPr>
              <w:t>28</w:t>
            </w:r>
            <w:r>
              <w:rPr>
                <w:noProof/>
                <w:webHidden/>
              </w:rPr>
              <w:fldChar w:fldCharType="end"/>
            </w:r>
          </w:hyperlink>
        </w:p>
        <w:p w14:paraId="15613AB4" w14:textId="15C3E077" w:rsidR="00E56D9F" w:rsidRDefault="00E56D9F">
          <w:pPr>
            <w:pStyle w:val="TOC3"/>
            <w:rPr>
              <w:rFonts w:asciiTheme="minorHAnsi" w:eastAsiaTheme="minorEastAsia" w:hAnsiTheme="minorHAnsi"/>
              <w:noProof/>
              <w:kern w:val="2"/>
              <w:szCs w:val="24"/>
              <w:lang w:eastAsia="en-GB"/>
              <w14:ligatures w14:val="standardContextual"/>
            </w:rPr>
          </w:pPr>
          <w:hyperlink w:anchor="_Toc183094967" w:history="1">
            <w:r w:rsidRPr="00576C4C">
              <w:rPr>
                <w:rStyle w:val="Hyperlink"/>
                <w:noProof/>
              </w:rPr>
              <w:t>Business Approval</w:t>
            </w:r>
            <w:r>
              <w:rPr>
                <w:noProof/>
                <w:webHidden/>
              </w:rPr>
              <w:tab/>
            </w:r>
            <w:r>
              <w:rPr>
                <w:noProof/>
                <w:webHidden/>
              </w:rPr>
              <w:fldChar w:fldCharType="begin"/>
            </w:r>
            <w:r>
              <w:rPr>
                <w:noProof/>
                <w:webHidden/>
              </w:rPr>
              <w:instrText xml:space="preserve"> PAGEREF _Toc183094967 \h </w:instrText>
            </w:r>
            <w:r>
              <w:rPr>
                <w:noProof/>
                <w:webHidden/>
              </w:rPr>
            </w:r>
            <w:r>
              <w:rPr>
                <w:noProof/>
                <w:webHidden/>
              </w:rPr>
              <w:fldChar w:fldCharType="separate"/>
            </w:r>
            <w:r>
              <w:rPr>
                <w:noProof/>
                <w:webHidden/>
              </w:rPr>
              <w:t>28</w:t>
            </w:r>
            <w:r>
              <w:rPr>
                <w:noProof/>
                <w:webHidden/>
              </w:rPr>
              <w:fldChar w:fldCharType="end"/>
            </w:r>
          </w:hyperlink>
        </w:p>
        <w:p w14:paraId="4E15D6C5" w14:textId="18600811" w:rsidR="00E56D9F" w:rsidRDefault="00E56D9F">
          <w:pPr>
            <w:pStyle w:val="TOC3"/>
            <w:rPr>
              <w:rFonts w:asciiTheme="minorHAnsi" w:eastAsiaTheme="minorEastAsia" w:hAnsiTheme="minorHAnsi"/>
              <w:noProof/>
              <w:kern w:val="2"/>
              <w:szCs w:val="24"/>
              <w:lang w:eastAsia="en-GB"/>
              <w14:ligatures w14:val="standardContextual"/>
            </w:rPr>
          </w:pPr>
          <w:hyperlink w:anchor="_Toc183094968" w:history="1">
            <w:r w:rsidRPr="00576C4C">
              <w:rPr>
                <w:rStyle w:val="Hyperlink"/>
                <w:noProof/>
              </w:rPr>
              <w:t>Initial Academic Approval</w:t>
            </w:r>
            <w:r>
              <w:rPr>
                <w:noProof/>
                <w:webHidden/>
              </w:rPr>
              <w:tab/>
            </w:r>
            <w:r>
              <w:rPr>
                <w:noProof/>
                <w:webHidden/>
              </w:rPr>
              <w:fldChar w:fldCharType="begin"/>
            </w:r>
            <w:r>
              <w:rPr>
                <w:noProof/>
                <w:webHidden/>
              </w:rPr>
              <w:instrText xml:space="preserve"> PAGEREF _Toc183094968 \h </w:instrText>
            </w:r>
            <w:r>
              <w:rPr>
                <w:noProof/>
                <w:webHidden/>
              </w:rPr>
            </w:r>
            <w:r>
              <w:rPr>
                <w:noProof/>
                <w:webHidden/>
              </w:rPr>
              <w:fldChar w:fldCharType="separate"/>
            </w:r>
            <w:r>
              <w:rPr>
                <w:noProof/>
                <w:webHidden/>
              </w:rPr>
              <w:t>29</w:t>
            </w:r>
            <w:r>
              <w:rPr>
                <w:noProof/>
                <w:webHidden/>
              </w:rPr>
              <w:fldChar w:fldCharType="end"/>
            </w:r>
          </w:hyperlink>
        </w:p>
        <w:p w14:paraId="36DD1311" w14:textId="0B95595A" w:rsidR="00E56D9F" w:rsidRDefault="00E56D9F">
          <w:pPr>
            <w:pStyle w:val="TOC3"/>
            <w:rPr>
              <w:rFonts w:asciiTheme="minorHAnsi" w:eastAsiaTheme="minorEastAsia" w:hAnsiTheme="minorHAnsi"/>
              <w:noProof/>
              <w:kern w:val="2"/>
              <w:szCs w:val="24"/>
              <w:lang w:eastAsia="en-GB"/>
              <w14:ligatures w14:val="standardContextual"/>
            </w:rPr>
          </w:pPr>
          <w:hyperlink w:anchor="_Toc183094969" w:history="1">
            <w:r w:rsidRPr="00576C4C">
              <w:rPr>
                <w:rStyle w:val="Hyperlink"/>
                <w:noProof/>
              </w:rPr>
              <w:t>Delivery Approval</w:t>
            </w:r>
            <w:r>
              <w:rPr>
                <w:noProof/>
                <w:webHidden/>
              </w:rPr>
              <w:tab/>
            </w:r>
            <w:r>
              <w:rPr>
                <w:noProof/>
                <w:webHidden/>
              </w:rPr>
              <w:fldChar w:fldCharType="begin"/>
            </w:r>
            <w:r>
              <w:rPr>
                <w:noProof/>
                <w:webHidden/>
              </w:rPr>
              <w:instrText xml:space="preserve"> PAGEREF _Toc183094969 \h </w:instrText>
            </w:r>
            <w:r>
              <w:rPr>
                <w:noProof/>
                <w:webHidden/>
              </w:rPr>
            </w:r>
            <w:r>
              <w:rPr>
                <w:noProof/>
                <w:webHidden/>
              </w:rPr>
              <w:fldChar w:fldCharType="separate"/>
            </w:r>
            <w:r>
              <w:rPr>
                <w:noProof/>
                <w:webHidden/>
              </w:rPr>
              <w:t>29</w:t>
            </w:r>
            <w:r>
              <w:rPr>
                <w:noProof/>
                <w:webHidden/>
              </w:rPr>
              <w:fldChar w:fldCharType="end"/>
            </w:r>
          </w:hyperlink>
        </w:p>
        <w:p w14:paraId="5A31424C" w14:textId="7043C82B" w:rsidR="00E56D9F" w:rsidRDefault="00E56D9F">
          <w:pPr>
            <w:pStyle w:val="TOC3"/>
            <w:rPr>
              <w:rFonts w:asciiTheme="minorHAnsi" w:eastAsiaTheme="minorEastAsia" w:hAnsiTheme="minorHAnsi"/>
              <w:noProof/>
              <w:kern w:val="2"/>
              <w:szCs w:val="24"/>
              <w:lang w:eastAsia="en-GB"/>
              <w14:ligatures w14:val="standardContextual"/>
            </w:rPr>
          </w:pPr>
          <w:hyperlink w:anchor="_Toc183094970" w:history="1">
            <w:r w:rsidRPr="00576C4C">
              <w:rPr>
                <w:rStyle w:val="Hyperlink"/>
                <w:noProof/>
              </w:rPr>
              <w:t>Figure 1. Partner and Delivery Approval Process Flowchart (Cat C &amp; F)</w:t>
            </w:r>
            <w:r>
              <w:rPr>
                <w:noProof/>
                <w:webHidden/>
              </w:rPr>
              <w:tab/>
            </w:r>
            <w:r>
              <w:rPr>
                <w:noProof/>
                <w:webHidden/>
              </w:rPr>
              <w:fldChar w:fldCharType="begin"/>
            </w:r>
            <w:r>
              <w:rPr>
                <w:noProof/>
                <w:webHidden/>
              </w:rPr>
              <w:instrText xml:space="preserve"> PAGEREF _Toc183094970 \h </w:instrText>
            </w:r>
            <w:r>
              <w:rPr>
                <w:noProof/>
                <w:webHidden/>
              </w:rPr>
            </w:r>
            <w:r>
              <w:rPr>
                <w:noProof/>
                <w:webHidden/>
              </w:rPr>
              <w:fldChar w:fldCharType="separate"/>
            </w:r>
            <w:r>
              <w:rPr>
                <w:noProof/>
                <w:webHidden/>
              </w:rPr>
              <w:t>30</w:t>
            </w:r>
            <w:r>
              <w:rPr>
                <w:noProof/>
                <w:webHidden/>
              </w:rPr>
              <w:fldChar w:fldCharType="end"/>
            </w:r>
          </w:hyperlink>
        </w:p>
        <w:p w14:paraId="2EC9569F" w14:textId="60691BC2" w:rsidR="00E56D9F" w:rsidRDefault="00E56D9F">
          <w:pPr>
            <w:pStyle w:val="TOC3"/>
            <w:rPr>
              <w:rFonts w:asciiTheme="minorHAnsi" w:eastAsiaTheme="minorEastAsia" w:hAnsiTheme="minorHAnsi"/>
              <w:noProof/>
              <w:kern w:val="2"/>
              <w:szCs w:val="24"/>
              <w:lang w:eastAsia="en-GB"/>
              <w14:ligatures w14:val="standardContextual"/>
            </w:rPr>
          </w:pPr>
          <w:hyperlink w:anchor="_Toc183094971" w:history="1">
            <w:r w:rsidRPr="00576C4C">
              <w:rPr>
                <w:rStyle w:val="Hyperlink"/>
                <w:noProof/>
              </w:rPr>
              <w:t>Re-approvals</w:t>
            </w:r>
            <w:r>
              <w:rPr>
                <w:noProof/>
                <w:webHidden/>
              </w:rPr>
              <w:tab/>
            </w:r>
            <w:r>
              <w:rPr>
                <w:noProof/>
                <w:webHidden/>
              </w:rPr>
              <w:fldChar w:fldCharType="begin"/>
            </w:r>
            <w:r>
              <w:rPr>
                <w:noProof/>
                <w:webHidden/>
              </w:rPr>
              <w:instrText xml:space="preserve"> PAGEREF _Toc183094971 \h </w:instrText>
            </w:r>
            <w:r>
              <w:rPr>
                <w:noProof/>
                <w:webHidden/>
              </w:rPr>
            </w:r>
            <w:r>
              <w:rPr>
                <w:noProof/>
                <w:webHidden/>
              </w:rPr>
              <w:fldChar w:fldCharType="separate"/>
            </w:r>
            <w:r>
              <w:rPr>
                <w:noProof/>
                <w:webHidden/>
              </w:rPr>
              <w:t>31</w:t>
            </w:r>
            <w:r>
              <w:rPr>
                <w:noProof/>
                <w:webHidden/>
              </w:rPr>
              <w:fldChar w:fldCharType="end"/>
            </w:r>
          </w:hyperlink>
        </w:p>
        <w:p w14:paraId="7D0CD2A5" w14:textId="03234CF9" w:rsidR="00E56D9F" w:rsidRDefault="00E56D9F">
          <w:pPr>
            <w:pStyle w:val="TOC3"/>
            <w:rPr>
              <w:rFonts w:asciiTheme="minorHAnsi" w:eastAsiaTheme="minorEastAsia" w:hAnsiTheme="minorHAnsi"/>
              <w:noProof/>
              <w:kern w:val="2"/>
              <w:szCs w:val="24"/>
              <w:lang w:eastAsia="en-GB"/>
              <w14:ligatures w14:val="standardContextual"/>
            </w:rPr>
          </w:pPr>
          <w:hyperlink w:anchor="_Toc183094972" w:history="1">
            <w:r w:rsidRPr="00576C4C">
              <w:rPr>
                <w:rStyle w:val="Hyperlink"/>
                <w:noProof/>
              </w:rPr>
              <w:t>Table 5: Partner approval periods for category C + arrangements</w:t>
            </w:r>
            <w:r>
              <w:rPr>
                <w:noProof/>
                <w:webHidden/>
              </w:rPr>
              <w:tab/>
            </w:r>
            <w:r>
              <w:rPr>
                <w:noProof/>
                <w:webHidden/>
              </w:rPr>
              <w:fldChar w:fldCharType="begin"/>
            </w:r>
            <w:r>
              <w:rPr>
                <w:noProof/>
                <w:webHidden/>
              </w:rPr>
              <w:instrText xml:space="preserve"> PAGEREF _Toc183094972 \h </w:instrText>
            </w:r>
            <w:r>
              <w:rPr>
                <w:noProof/>
                <w:webHidden/>
              </w:rPr>
            </w:r>
            <w:r>
              <w:rPr>
                <w:noProof/>
                <w:webHidden/>
              </w:rPr>
              <w:fldChar w:fldCharType="separate"/>
            </w:r>
            <w:r>
              <w:rPr>
                <w:noProof/>
                <w:webHidden/>
              </w:rPr>
              <w:t>32</w:t>
            </w:r>
            <w:r>
              <w:rPr>
                <w:noProof/>
                <w:webHidden/>
              </w:rPr>
              <w:fldChar w:fldCharType="end"/>
            </w:r>
          </w:hyperlink>
        </w:p>
        <w:p w14:paraId="6FFA0FAE" w14:textId="54FC96FB"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73" w:history="1">
            <w:r w:rsidRPr="00576C4C">
              <w:rPr>
                <w:rStyle w:val="Hyperlink"/>
                <w:noProof/>
              </w:rPr>
              <w:t>Contractual Arrangements</w:t>
            </w:r>
            <w:r>
              <w:rPr>
                <w:noProof/>
                <w:webHidden/>
              </w:rPr>
              <w:tab/>
            </w:r>
            <w:r>
              <w:rPr>
                <w:noProof/>
                <w:webHidden/>
              </w:rPr>
              <w:fldChar w:fldCharType="begin"/>
            </w:r>
            <w:r>
              <w:rPr>
                <w:noProof/>
                <w:webHidden/>
              </w:rPr>
              <w:instrText xml:space="preserve"> PAGEREF _Toc183094973 \h </w:instrText>
            </w:r>
            <w:r>
              <w:rPr>
                <w:noProof/>
                <w:webHidden/>
              </w:rPr>
            </w:r>
            <w:r>
              <w:rPr>
                <w:noProof/>
                <w:webHidden/>
              </w:rPr>
              <w:fldChar w:fldCharType="separate"/>
            </w:r>
            <w:r>
              <w:rPr>
                <w:noProof/>
                <w:webHidden/>
              </w:rPr>
              <w:t>32</w:t>
            </w:r>
            <w:r>
              <w:rPr>
                <w:noProof/>
                <w:webHidden/>
              </w:rPr>
              <w:fldChar w:fldCharType="end"/>
            </w:r>
          </w:hyperlink>
        </w:p>
        <w:p w14:paraId="67387D45" w14:textId="5A984D8C"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74" w:history="1">
            <w:r w:rsidRPr="00576C4C">
              <w:rPr>
                <w:rStyle w:val="Hyperlink"/>
                <w:noProof/>
              </w:rPr>
              <w:t>Delivery operations</w:t>
            </w:r>
            <w:r>
              <w:rPr>
                <w:noProof/>
                <w:webHidden/>
              </w:rPr>
              <w:tab/>
            </w:r>
            <w:r>
              <w:rPr>
                <w:noProof/>
                <w:webHidden/>
              </w:rPr>
              <w:fldChar w:fldCharType="begin"/>
            </w:r>
            <w:r>
              <w:rPr>
                <w:noProof/>
                <w:webHidden/>
              </w:rPr>
              <w:instrText xml:space="preserve"> PAGEREF _Toc183094974 \h </w:instrText>
            </w:r>
            <w:r>
              <w:rPr>
                <w:noProof/>
                <w:webHidden/>
              </w:rPr>
            </w:r>
            <w:r>
              <w:rPr>
                <w:noProof/>
                <w:webHidden/>
              </w:rPr>
              <w:fldChar w:fldCharType="separate"/>
            </w:r>
            <w:r>
              <w:rPr>
                <w:noProof/>
                <w:webHidden/>
              </w:rPr>
              <w:t>33</w:t>
            </w:r>
            <w:r>
              <w:rPr>
                <w:noProof/>
                <w:webHidden/>
              </w:rPr>
              <w:fldChar w:fldCharType="end"/>
            </w:r>
          </w:hyperlink>
        </w:p>
        <w:p w14:paraId="7D2AB207" w14:textId="2D3D0CA8"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75" w:history="1">
            <w:r w:rsidRPr="00576C4C">
              <w:rPr>
                <w:rStyle w:val="Hyperlink"/>
                <w:noProof/>
              </w:rPr>
              <w:t>Risk Management Framework</w:t>
            </w:r>
            <w:r>
              <w:rPr>
                <w:noProof/>
                <w:webHidden/>
              </w:rPr>
              <w:tab/>
            </w:r>
            <w:r>
              <w:rPr>
                <w:noProof/>
                <w:webHidden/>
              </w:rPr>
              <w:fldChar w:fldCharType="begin"/>
            </w:r>
            <w:r>
              <w:rPr>
                <w:noProof/>
                <w:webHidden/>
              </w:rPr>
              <w:instrText xml:space="preserve"> PAGEREF _Toc183094975 \h </w:instrText>
            </w:r>
            <w:r>
              <w:rPr>
                <w:noProof/>
                <w:webHidden/>
              </w:rPr>
            </w:r>
            <w:r>
              <w:rPr>
                <w:noProof/>
                <w:webHidden/>
              </w:rPr>
              <w:fldChar w:fldCharType="separate"/>
            </w:r>
            <w:r>
              <w:rPr>
                <w:noProof/>
                <w:webHidden/>
              </w:rPr>
              <w:t>34</w:t>
            </w:r>
            <w:r>
              <w:rPr>
                <w:noProof/>
                <w:webHidden/>
              </w:rPr>
              <w:fldChar w:fldCharType="end"/>
            </w:r>
          </w:hyperlink>
        </w:p>
        <w:p w14:paraId="69FCC14F" w14:textId="225A9863" w:rsidR="00E56D9F" w:rsidRDefault="00E56D9F">
          <w:pPr>
            <w:pStyle w:val="TOC3"/>
            <w:rPr>
              <w:rFonts w:asciiTheme="minorHAnsi" w:eastAsiaTheme="minorEastAsia" w:hAnsiTheme="minorHAnsi"/>
              <w:noProof/>
              <w:kern w:val="2"/>
              <w:szCs w:val="24"/>
              <w:lang w:eastAsia="en-GB"/>
              <w14:ligatures w14:val="standardContextual"/>
            </w:rPr>
          </w:pPr>
          <w:hyperlink w:anchor="_Toc183094976" w:history="1">
            <w:r w:rsidRPr="00576C4C">
              <w:rPr>
                <w:rStyle w:val="Hyperlink"/>
                <w:noProof/>
              </w:rPr>
              <w:t xml:space="preserve">Figure 2: </w:t>
            </w:r>
            <w:r w:rsidRPr="00576C4C">
              <w:rPr>
                <w:rStyle w:val="Hyperlink"/>
                <w:bCs/>
                <w:noProof/>
              </w:rPr>
              <w:t>Risk review points for academic partners</w:t>
            </w:r>
            <w:r>
              <w:rPr>
                <w:noProof/>
                <w:webHidden/>
              </w:rPr>
              <w:tab/>
            </w:r>
            <w:r>
              <w:rPr>
                <w:noProof/>
                <w:webHidden/>
              </w:rPr>
              <w:fldChar w:fldCharType="begin"/>
            </w:r>
            <w:r>
              <w:rPr>
                <w:noProof/>
                <w:webHidden/>
              </w:rPr>
              <w:instrText xml:space="preserve"> PAGEREF _Toc183094976 \h </w:instrText>
            </w:r>
            <w:r>
              <w:rPr>
                <w:noProof/>
                <w:webHidden/>
              </w:rPr>
            </w:r>
            <w:r>
              <w:rPr>
                <w:noProof/>
                <w:webHidden/>
              </w:rPr>
              <w:fldChar w:fldCharType="separate"/>
            </w:r>
            <w:r>
              <w:rPr>
                <w:noProof/>
                <w:webHidden/>
              </w:rPr>
              <w:t>35</w:t>
            </w:r>
            <w:r>
              <w:rPr>
                <w:noProof/>
                <w:webHidden/>
              </w:rPr>
              <w:fldChar w:fldCharType="end"/>
            </w:r>
          </w:hyperlink>
        </w:p>
        <w:p w14:paraId="2090DCD3" w14:textId="2DF89EFD"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77" w:history="1">
            <w:r w:rsidRPr="00576C4C">
              <w:rPr>
                <w:rStyle w:val="Hyperlink"/>
                <w:noProof/>
              </w:rPr>
              <w:t>Annual Review</w:t>
            </w:r>
            <w:r>
              <w:rPr>
                <w:noProof/>
                <w:webHidden/>
              </w:rPr>
              <w:tab/>
            </w:r>
            <w:r>
              <w:rPr>
                <w:noProof/>
                <w:webHidden/>
              </w:rPr>
              <w:fldChar w:fldCharType="begin"/>
            </w:r>
            <w:r>
              <w:rPr>
                <w:noProof/>
                <w:webHidden/>
              </w:rPr>
              <w:instrText xml:space="preserve"> PAGEREF _Toc183094977 \h </w:instrText>
            </w:r>
            <w:r>
              <w:rPr>
                <w:noProof/>
                <w:webHidden/>
              </w:rPr>
            </w:r>
            <w:r>
              <w:rPr>
                <w:noProof/>
                <w:webHidden/>
              </w:rPr>
              <w:fldChar w:fldCharType="separate"/>
            </w:r>
            <w:r>
              <w:rPr>
                <w:noProof/>
                <w:webHidden/>
              </w:rPr>
              <w:t>35</w:t>
            </w:r>
            <w:r>
              <w:rPr>
                <w:noProof/>
                <w:webHidden/>
              </w:rPr>
              <w:fldChar w:fldCharType="end"/>
            </w:r>
          </w:hyperlink>
        </w:p>
        <w:p w14:paraId="70745E6B" w14:textId="1BEAA873" w:rsidR="00E56D9F" w:rsidRDefault="00E56D9F">
          <w:pPr>
            <w:pStyle w:val="TOC3"/>
            <w:rPr>
              <w:rFonts w:asciiTheme="minorHAnsi" w:eastAsiaTheme="minorEastAsia" w:hAnsiTheme="minorHAnsi"/>
              <w:noProof/>
              <w:kern w:val="2"/>
              <w:szCs w:val="24"/>
              <w:lang w:eastAsia="en-GB"/>
              <w14:ligatures w14:val="standardContextual"/>
            </w:rPr>
          </w:pPr>
          <w:hyperlink w:anchor="_Toc183094978" w:history="1">
            <w:r w:rsidRPr="00576C4C">
              <w:rPr>
                <w:rStyle w:val="Hyperlink"/>
                <w:noProof/>
              </w:rPr>
              <w:t>Figure 3: Annual Review Flowchart</w:t>
            </w:r>
            <w:r>
              <w:rPr>
                <w:noProof/>
                <w:webHidden/>
              </w:rPr>
              <w:tab/>
            </w:r>
            <w:r>
              <w:rPr>
                <w:noProof/>
                <w:webHidden/>
              </w:rPr>
              <w:fldChar w:fldCharType="begin"/>
            </w:r>
            <w:r>
              <w:rPr>
                <w:noProof/>
                <w:webHidden/>
              </w:rPr>
              <w:instrText xml:space="preserve"> PAGEREF _Toc183094978 \h </w:instrText>
            </w:r>
            <w:r>
              <w:rPr>
                <w:noProof/>
                <w:webHidden/>
              </w:rPr>
            </w:r>
            <w:r>
              <w:rPr>
                <w:noProof/>
                <w:webHidden/>
              </w:rPr>
              <w:fldChar w:fldCharType="separate"/>
            </w:r>
            <w:r>
              <w:rPr>
                <w:noProof/>
                <w:webHidden/>
              </w:rPr>
              <w:t>36</w:t>
            </w:r>
            <w:r>
              <w:rPr>
                <w:noProof/>
                <w:webHidden/>
              </w:rPr>
              <w:fldChar w:fldCharType="end"/>
            </w:r>
          </w:hyperlink>
        </w:p>
        <w:p w14:paraId="3B5731EC" w14:textId="1A270202" w:rsidR="00E56D9F" w:rsidRDefault="00E56D9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3094979" w:history="1">
            <w:r w:rsidRPr="00576C4C">
              <w:rPr>
                <w:rStyle w:val="Hyperlink"/>
                <w:noProof/>
              </w:rPr>
              <w:t>Closure</w:t>
            </w:r>
            <w:r>
              <w:rPr>
                <w:noProof/>
                <w:webHidden/>
              </w:rPr>
              <w:tab/>
            </w:r>
            <w:r>
              <w:rPr>
                <w:noProof/>
                <w:webHidden/>
              </w:rPr>
              <w:fldChar w:fldCharType="begin"/>
            </w:r>
            <w:r>
              <w:rPr>
                <w:noProof/>
                <w:webHidden/>
              </w:rPr>
              <w:instrText xml:space="preserve"> PAGEREF _Toc183094979 \h </w:instrText>
            </w:r>
            <w:r>
              <w:rPr>
                <w:noProof/>
                <w:webHidden/>
              </w:rPr>
            </w:r>
            <w:r>
              <w:rPr>
                <w:noProof/>
                <w:webHidden/>
              </w:rPr>
              <w:fldChar w:fldCharType="separate"/>
            </w:r>
            <w:r>
              <w:rPr>
                <w:noProof/>
                <w:webHidden/>
              </w:rPr>
              <w:t>38</w:t>
            </w:r>
            <w:r>
              <w:rPr>
                <w:noProof/>
                <w:webHidden/>
              </w:rPr>
              <w:fldChar w:fldCharType="end"/>
            </w:r>
          </w:hyperlink>
        </w:p>
        <w:p w14:paraId="1B22F8BD" w14:textId="02F0B522" w:rsidR="00E56D9F" w:rsidRDefault="00E56D9F">
          <w:pPr>
            <w:pStyle w:val="TOC3"/>
            <w:rPr>
              <w:rFonts w:asciiTheme="minorHAnsi" w:eastAsiaTheme="minorEastAsia" w:hAnsiTheme="minorHAnsi"/>
              <w:noProof/>
              <w:kern w:val="2"/>
              <w:szCs w:val="24"/>
              <w:lang w:eastAsia="en-GB"/>
              <w14:ligatures w14:val="standardContextual"/>
            </w:rPr>
          </w:pPr>
          <w:hyperlink w:anchor="_Toc183094980" w:history="1">
            <w:r w:rsidRPr="00576C4C">
              <w:rPr>
                <w:rStyle w:val="Hyperlink"/>
                <w:noProof/>
              </w:rPr>
              <w:t>Figure 4: Closure Process for Academic Partners with Category C and F Arrangements</w:t>
            </w:r>
            <w:r>
              <w:rPr>
                <w:noProof/>
                <w:webHidden/>
              </w:rPr>
              <w:tab/>
            </w:r>
            <w:r>
              <w:rPr>
                <w:noProof/>
                <w:webHidden/>
              </w:rPr>
              <w:fldChar w:fldCharType="begin"/>
            </w:r>
            <w:r>
              <w:rPr>
                <w:noProof/>
                <w:webHidden/>
              </w:rPr>
              <w:instrText xml:space="preserve"> PAGEREF _Toc183094980 \h </w:instrText>
            </w:r>
            <w:r>
              <w:rPr>
                <w:noProof/>
                <w:webHidden/>
              </w:rPr>
            </w:r>
            <w:r>
              <w:rPr>
                <w:noProof/>
                <w:webHidden/>
              </w:rPr>
              <w:fldChar w:fldCharType="separate"/>
            </w:r>
            <w:r>
              <w:rPr>
                <w:noProof/>
                <w:webHidden/>
              </w:rPr>
              <w:t>38</w:t>
            </w:r>
            <w:r>
              <w:rPr>
                <w:noProof/>
                <w:webHidden/>
              </w:rPr>
              <w:fldChar w:fldCharType="end"/>
            </w:r>
          </w:hyperlink>
        </w:p>
        <w:p w14:paraId="27AD2182" w14:textId="1B42AC64" w:rsidR="00E56D9F" w:rsidRDefault="00E56D9F">
          <w:pPr>
            <w:pStyle w:val="TOC1"/>
            <w:rPr>
              <w:rFonts w:asciiTheme="minorHAnsi" w:eastAsiaTheme="minorEastAsia" w:hAnsiTheme="minorHAnsi"/>
              <w:noProof/>
              <w:kern w:val="2"/>
              <w:szCs w:val="24"/>
              <w:lang w:eastAsia="en-GB"/>
              <w14:ligatures w14:val="standardContextual"/>
            </w:rPr>
          </w:pPr>
          <w:hyperlink w:anchor="_Toc183094981" w:history="1">
            <w:r w:rsidRPr="00576C4C">
              <w:rPr>
                <w:rStyle w:val="Hyperlink"/>
                <w:noProof/>
              </w:rPr>
              <w:t>Document Management and Retention</w:t>
            </w:r>
            <w:r>
              <w:rPr>
                <w:noProof/>
                <w:webHidden/>
              </w:rPr>
              <w:tab/>
            </w:r>
            <w:r>
              <w:rPr>
                <w:noProof/>
                <w:webHidden/>
              </w:rPr>
              <w:fldChar w:fldCharType="begin"/>
            </w:r>
            <w:r>
              <w:rPr>
                <w:noProof/>
                <w:webHidden/>
              </w:rPr>
              <w:instrText xml:space="preserve"> PAGEREF _Toc183094981 \h </w:instrText>
            </w:r>
            <w:r>
              <w:rPr>
                <w:noProof/>
                <w:webHidden/>
              </w:rPr>
            </w:r>
            <w:r>
              <w:rPr>
                <w:noProof/>
                <w:webHidden/>
              </w:rPr>
              <w:fldChar w:fldCharType="separate"/>
            </w:r>
            <w:r>
              <w:rPr>
                <w:noProof/>
                <w:webHidden/>
              </w:rPr>
              <w:t>39</w:t>
            </w:r>
            <w:r>
              <w:rPr>
                <w:noProof/>
                <w:webHidden/>
              </w:rPr>
              <w:fldChar w:fldCharType="end"/>
            </w:r>
          </w:hyperlink>
        </w:p>
        <w:p w14:paraId="268461B7" w14:textId="37EB5091" w:rsidR="00840176" w:rsidRPr="00D3044F" w:rsidRDefault="00840176" w:rsidP="00A5704C">
          <w:r w:rsidRPr="00D3044F">
            <w:rPr>
              <w:b/>
              <w:bCs/>
              <w:noProof/>
            </w:rPr>
            <w:fldChar w:fldCharType="end"/>
          </w:r>
        </w:p>
      </w:sdtContent>
    </w:sdt>
    <w:p w14:paraId="3FA56580" w14:textId="77777777" w:rsidR="007E573B" w:rsidRPr="00D3044F" w:rsidRDefault="007E573B">
      <w:pPr>
        <w:spacing w:line="276" w:lineRule="auto"/>
        <w:rPr>
          <w:rFonts w:ascii="Arial" w:hAnsi="Arial"/>
        </w:rPr>
      </w:pPr>
      <w:r w:rsidRPr="00D3044F">
        <w:br w:type="page"/>
      </w:r>
    </w:p>
    <w:p w14:paraId="4733BCEF" w14:textId="533177A0" w:rsidR="003544AA" w:rsidRPr="00D3044F" w:rsidRDefault="003544AA" w:rsidP="003544AA">
      <w:pPr>
        <w:pStyle w:val="Heading1"/>
      </w:pPr>
      <w:bookmarkStart w:id="0" w:name="_Toc183094932"/>
      <w:r w:rsidRPr="00D3044F">
        <w:lastRenderedPageBreak/>
        <w:t>INTRODUCTION</w:t>
      </w:r>
      <w:bookmarkEnd w:id="0"/>
    </w:p>
    <w:p w14:paraId="35BB771B" w14:textId="48D514E5" w:rsidR="00001D1D" w:rsidRDefault="001D66C1" w:rsidP="00DA480E">
      <w:pPr>
        <w:spacing w:after="0"/>
        <w:contextualSpacing/>
        <w:jc w:val="both"/>
      </w:pPr>
      <w:r w:rsidRPr="00D3044F">
        <w:t xml:space="preserve">Edge Hill University develops academic partnerships with a wide range of third-party organisations, from UK-based employers, colleges and awarding bodies to overseas higher education providers, for the delivery of modules or programmes leading to the award of </w:t>
      </w:r>
      <w:r w:rsidR="00001D1D" w:rsidRPr="00D3044F">
        <w:t>university</w:t>
      </w:r>
      <w:r w:rsidRPr="00D3044F">
        <w:t xml:space="preserve"> credit or qualifications, or the provision of learning opportunities including student work placements, international exchanges and arrangements for entry with advanced standing (articulation). </w:t>
      </w:r>
    </w:p>
    <w:p w14:paraId="1B07B00E" w14:textId="77777777" w:rsidR="00001D1D" w:rsidRDefault="00001D1D" w:rsidP="00DA480E">
      <w:pPr>
        <w:spacing w:after="0"/>
        <w:contextualSpacing/>
        <w:jc w:val="both"/>
      </w:pPr>
    </w:p>
    <w:p w14:paraId="17FFDC09" w14:textId="24026AF2" w:rsidR="001D66C1" w:rsidRDefault="001D66C1" w:rsidP="00DA480E">
      <w:pPr>
        <w:spacing w:after="0"/>
        <w:contextualSpacing/>
        <w:jc w:val="both"/>
        <w:rPr>
          <w:b/>
        </w:rPr>
      </w:pPr>
      <w:r w:rsidRPr="00D3044F">
        <w:t xml:space="preserve">The University’s procedures for managing the academic standards and quality of its academic partnerships </w:t>
      </w:r>
      <w:r w:rsidR="00001D1D" w:rsidRPr="003544AA">
        <w:t xml:space="preserve">are fully aligned with the Quality and Standards </w:t>
      </w:r>
      <w:hyperlink r:id="rId12" w:history="1">
        <w:r w:rsidR="00001D1D" w:rsidRPr="009F70E7">
          <w:rPr>
            <w:rStyle w:val="Hyperlink"/>
          </w:rPr>
          <w:t>Conditions B1 to B5</w:t>
        </w:r>
      </w:hyperlink>
      <w:r w:rsidR="00001D1D" w:rsidRPr="003544AA">
        <w:t xml:space="preserve"> of the Office for Students’ </w:t>
      </w:r>
      <w:r w:rsidR="00001D1D">
        <w:t>(</w:t>
      </w:r>
      <w:proofErr w:type="spellStart"/>
      <w:r w:rsidR="00001D1D">
        <w:t>OfS</w:t>
      </w:r>
      <w:proofErr w:type="spellEnd"/>
      <w:r w:rsidR="00001D1D">
        <w:t xml:space="preserve">) </w:t>
      </w:r>
      <w:hyperlink r:id="rId13" w:history="1">
        <w:r w:rsidR="00001D1D" w:rsidRPr="009F70E7">
          <w:rPr>
            <w:rStyle w:val="Hyperlink"/>
          </w:rPr>
          <w:t>Regulatory Framework for Higher Education in England</w:t>
        </w:r>
      </w:hyperlink>
      <w:r w:rsidR="00001D1D">
        <w:rPr>
          <w:rStyle w:val="Hyperlink"/>
        </w:rPr>
        <w:t>,</w:t>
      </w:r>
      <w:r w:rsidR="00001D1D">
        <w:t xml:space="preserve"> which includes the mandatory </w:t>
      </w:r>
      <w:hyperlink r:id="rId14" w:history="1">
        <w:r w:rsidR="00001D1D" w:rsidRPr="008253E5">
          <w:rPr>
            <w:rStyle w:val="Hyperlink"/>
          </w:rPr>
          <w:t>Sector Recognised Standards</w:t>
        </w:r>
      </w:hyperlink>
      <w:r w:rsidR="00001D1D">
        <w:t xml:space="preserve"> </w:t>
      </w:r>
      <w:r w:rsidR="00DA480E">
        <w:t xml:space="preserve">and is informed by the Advice and </w:t>
      </w:r>
      <w:r w:rsidR="00001D1D">
        <w:t xml:space="preserve">Guidance on </w:t>
      </w:r>
      <w:hyperlink r:id="rId15" w:history="1">
        <w:r w:rsidR="00001D1D" w:rsidRPr="00001D1D">
          <w:rPr>
            <w:rStyle w:val="Hyperlink"/>
          </w:rPr>
          <w:t>Partnerships</w:t>
        </w:r>
      </w:hyperlink>
      <w:r w:rsidR="00001D1D">
        <w:t xml:space="preserve"> </w:t>
      </w:r>
      <w:r w:rsidR="004B3696">
        <w:t>(2018</w:t>
      </w:r>
      <w:r w:rsidR="004B3696" w:rsidRPr="004B3696">
        <w:rPr>
          <w:vertAlign w:val="superscript"/>
        </w:rPr>
        <w:footnoteReference w:id="2"/>
      </w:r>
      <w:r w:rsidR="004B3696">
        <w:t xml:space="preserve">) </w:t>
      </w:r>
      <w:r w:rsidR="004B3696" w:rsidRPr="004B3696">
        <w:t xml:space="preserve">and the Key Practices pertaining to Principle 8 of the updated </w:t>
      </w:r>
      <w:hyperlink r:id="rId16" w:history="1">
        <w:r w:rsidR="004B3696" w:rsidRPr="004B3696">
          <w:rPr>
            <w:rStyle w:val="Hyperlink"/>
          </w:rPr>
          <w:t>UK Quality Code (2024)</w:t>
        </w:r>
      </w:hyperlink>
      <w:r w:rsidR="00001D1D" w:rsidRPr="003544AA">
        <w:t xml:space="preserve">. </w:t>
      </w:r>
      <w:r w:rsidR="00DA480E">
        <w:rPr>
          <w:iCs/>
        </w:rPr>
        <w:t xml:space="preserve"> </w:t>
      </w:r>
      <w:r w:rsidR="0069166A">
        <w:rPr>
          <w:iCs/>
        </w:rPr>
        <w:t>Procedures for the management of franchised provision</w:t>
      </w:r>
      <w:r w:rsidR="0069166A">
        <w:rPr>
          <w:rStyle w:val="FootnoteReference"/>
          <w:iCs/>
        </w:rPr>
        <w:footnoteReference w:id="3"/>
      </w:r>
      <w:r w:rsidR="0069166A">
        <w:rPr>
          <w:iCs/>
        </w:rPr>
        <w:t xml:space="preserve">, are informed by Universities UK’s </w:t>
      </w:r>
      <w:hyperlink r:id="rId17" w:history="1">
        <w:r w:rsidR="0069166A" w:rsidRPr="0069166A">
          <w:rPr>
            <w:rStyle w:val="Hyperlink"/>
            <w:iCs/>
          </w:rPr>
          <w:t>Franchise Governance Framework</w:t>
        </w:r>
      </w:hyperlink>
      <w:r w:rsidR="0069166A">
        <w:rPr>
          <w:iCs/>
        </w:rPr>
        <w:t xml:space="preserve"> (2024).</w:t>
      </w:r>
    </w:p>
    <w:p w14:paraId="19D8588A" w14:textId="77777777" w:rsidR="00DA480E" w:rsidRDefault="00DA480E" w:rsidP="00700533">
      <w:pPr>
        <w:contextualSpacing/>
        <w:jc w:val="both"/>
      </w:pPr>
    </w:p>
    <w:p w14:paraId="4DA90170" w14:textId="6B052486" w:rsidR="001D66C1" w:rsidRDefault="001D66C1" w:rsidP="00700533">
      <w:pPr>
        <w:contextualSpacing/>
        <w:jc w:val="both"/>
      </w:pPr>
      <w:r w:rsidRPr="00D3044F">
        <w:t>Faculties develop academic partnerships in line with University</w:t>
      </w:r>
      <w:r w:rsidR="00001D1D">
        <w:t xml:space="preserve">’s </w:t>
      </w:r>
      <w:hyperlink r:id="rId18" w:history="1">
        <w:r w:rsidR="00001D1D" w:rsidRPr="00001D1D">
          <w:rPr>
            <w:rStyle w:val="Hyperlink"/>
          </w:rPr>
          <w:t>Curriculum Strategy</w:t>
        </w:r>
      </w:hyperlink>
      <w:r w:rsidR="00001D1D">
        <w:t xml:space="preserve"> and the </w:t>
      </w:r>
      <w:hyperlink r:id="rId19" w:history="1">
        <w:r w:rsidR="00001D1D" w:rsidRPr="00001D1D">
          <w:rPr>
            <w:rStyle w:val="Hyperlink"/>
          </w:rPr>
          <w:t>International Strategy</w:t>
        </w:r>
      </w:hyperlink>
      <w:r w:rsidR="00001D1D">
        <w:t xml:space="preserve"> </w:t>
      </w:r>
      <w:r w:rsidRPr="00D3044F">
        <w:t>and ensure that planning proposals receive the required Faculty scrutiny, supported by due diligence and a business case as appropriate to the type (category) of partnership being considered. Th</w:t>
      </w:r>
      <w:r w:rsidR="004C5DE8">
        <w:t xml:space="preserve">is </w:t>
      </w:r>
      <w:r w:rsidR="007D39BA">
        <w:t>c</w:t>
      </w:r>
      <w:r w:rsidR="004C5DE8">
        <w:t xml:space="preserve">hapter </w:t>
      </w:r>
      <w:r w:rsidRPr="00D3044F">
        <w:t>describe</w:t>
      </w:r>
      <w:r w:rsidR="003316E6">
        <w:t>s</w:t>
      </w:r>
      <w:r w:rsidRPr="00D3044F">
        <w:t xml:space="preserve"> the principles associated with the approval, review and closure of different types of academic partnership. </w:t>
      </w:r>
      <w:r w:rsidR="004949CB">
        <w:t>Mo</w:t>
      </w:r>
      <w:r w:rsidR="00A8744D">
        <w:t>re detailed information on the o</w:t>
      </w:r>
      <w:r w:rsidRPr="00D3044F">
        <w:t xml:space="preserve">perational processes and </w:t>
      </w:r>
      <w:r w:rsidR="00DA480E">
        <w:t>paperwork requirements</w:t>
      </w:r>
      <w:r w:rsidRPr="00D3044F">
        <w:t xml:space="preserve"> can be found in </w:t>
      </w:r>
      <w:bookmarkStart w:id="1" w:name="_Hlk52886860"/>
      <w:r w:rsidRPr="00D3044F">
        <w:t xml:space="preserve">the </w:t>
      </w:r>
      <w:bookmarkStart w:id="2" w:name="_Hlk148433591"/>
      <w:r w:rsidR="00001D1D">
        <w:fldChar w:fldCharType="begin"/>
      </w:r>
      <w:r w:rsidR="00001D1D">
        <w:instrText>HYPERLINK "https://wiki.edgehill.ac.uk/display/agqa/Key+Guidance+Documents"</w:instrText>
      </w:r>
      <w:r w:rsidR="00001D1D">
        <w:fldChar w:fldCharType="separate"/>
      </w:r>
      <w:r w:rsidR="008C0C00" w:rsidRPr="00001D1D">
        <w:rPr>
          <w:rStyle w:val="Hyperlink"/>
        </w:rPr>
        <w:t>Guide to Academic Partnership</w:t>
      </w:r>
      <w:r w:rsidR="0053260E" w:rsidRPr="00001D1D">
        <w:rPr>
          <w:rStyle w:val="Hyperlink"/>
        </w:rPr>
        <w:t xml:space="preserve"> Approvals</w:t>
      </w:r>
      <w:r w:rsidR="00001D1D">
        <w:fldChar w:fldCharType="end"/>
      </w:r>
      <w:bookmarkEnd w:id="1"/>
      <w:bookmarkEnd w:id="2"/>
      <w:r w:rsidR="00A8744D">
        <w:t>.</w:t>
      </w:r>
    </w:p>
    <w:p w14:paraId="4AAC4C24" w14:textId="542A6189" w:rsidR="00423C9C" w:rsidRDefault="00423C9C" w:rsidP="00700533">
      <w:pPr>
        <w:contextualSpacing/>
        <w:jc w:val="both"/>
      </w:pPr>
    </w:p>
    <w:p w14:paraId="78EC9491" w14:textId="14938A4C" w:rsidR="00423C9C" w:rsidRPr="00D3044F" w:rsidRDefault="0018797E" w:rsidP="00700533">
      <w:pPr>
        <w:contextualSpacing/>
        <w:jc w:val="both"/>
      </w:pPr>
      <w:r w:rsidRPr="0018797E">
        <w:t>Whilst the guidance within this chapter is most applicable to taught degrees, research collaborations where a partner organisation has any responsibility for the teaching, learning, assessment or supervision of an EHU research award, shall be categorised according to the partnership taxonomy</w:t>
      </w:r>
      <w:r w:rsidR="0050587E">
        <w:t xml:space="preserve"> (Table 1)</w:t>
      </w:r>
      <w:r w:rsidRPr="0018797E">
        <w:t xml:space="preserve">. Processes for the approval, monitoring and management of such partnerships resides with the Graduate School and is governed by the </w:t>
      </w:r>
      <w:hyperlink r:id="rId20" w:history="1">
        <w:r w:rsidR="0050587E" w:rsidRPr="0050587E">
          <w:rPr>
            <w:rStyle w:val="Hyperlink"/>
          </w:rPr>
          <w:t>R</w:t>
        </w:r>
        <w:r w:rsidRPr="0050587E">
          <w:rPr>
            <w:rStyle w:val="Hyperlink"/>
          </w:rPr>
          <w:t xml:space="preserve">esearch </w:t>
        </w:r>
        <w:r w:rsidR="0050587E" w:rsidRPr="0050587E">
          <w:rPr>
            <w:rStyle w:val="Hyperlink"/>
          </w:rPr>
          <w:t>D</w:t>
        </w:r>
        <w:r w:rsidRPr="0050587E">
          <w:rPr>
            <w:rStyle w:val="Hyperlink"/>
          </w:rPr>
          <w:t xml:space="preserve">egree </w:t>
        </w:r>
        <w:r w:rsidR="0050587E" w:rsidRPr="0050587E">
          <w:rPr>
            <w:rStyle w:val="Hyperlink"/>
          </w:rPr>
          <w:t>R</w:t>
        </w:r>
        <w:r w:rsidRPr="0050587E">
          <w:rPr>
            <w:rStyle w:val="Hyperlink"/>
          </w:rPr>
          <w:t>egulations</w:t>
        </w:r>
      </w:hyperlink>
      <w:r w:rsidRPr="0018797E">
        <w:t>.</w:t>
      </w:r>
    </w:p>
    <w:p w14:paraId="67A8FA0E" w14:textId="08ED3DA6" w:rsidR="001D66C1" w:rsidRPr="00D3044F" w:rsidRDefault="00A8744D" w:rsidP="001D66C1">
      <w:pPr>
        <w:pStyle w:val="Heading1"/>
      </w:pPr>
      <w:bookmarkStart w:id="3" w:name="2.__Edge_Hill_University_Taxonomy_of_Aca"/>
      <w:bookmarkStart w:id="4" w:name="_bookmark1"/>
      <w:bookmarkStart w:id="5" w:name="_Toc183094933"/>
      <w:bookmarkEnd w:id="3"/>
      <w:bookmarkEnd w:id="4"/>
      <w:r>
        <w:t>THE</w:t>
      </w:r>
      <w:r w:rsidR="001D66C1" w:rsidRPr="00D3044F">
        <w:t xml:space="preserve"> T</w:t>
      </w:r>
      <w:r>
        <w:t>AXONOMY</w:t>
      </w:r>
      <w:r w:rsidR="001D66C1" w:rsidRPr="00D3044F">
        <w:t xml:space="preserve"> </w:t>
      </w:r>
      <w:r>
        <w:t>OF ACADEMIC PARTNERSHIPS</w:t>
      </w:r>
      <w:bookmarkEnd w:id="5"/>
    </w:p>
    <w:p w14:paraId="588DD928" w14:textId="19B08B1B" w:rsidR="001D66C1" w:rsidRDefault="001D66C1" w:rsidP="004F7390">
      <w:pPr>
        <w:contextualSpacing/>
        <w:jc w:val="both"/>
      </w:pPr>
      <w:r w:rsidRPr="00D3044F">
        <w:t xml:space="preserve">Academic partnership entails the delegation of certain activities normally conducted by the University to another organisation, most notably teaching, assessment and student support, although in all cases Edge Hill as the awarding body is ultimately responsible for academic standards and the quality of student learning opportunities. The following categories of academic partnership have been established for which different approval, monitoring and review processes have been developed to mitigate the associated levels of </w:t>
      </w:r>
      <w:r w:rsidR="00C527D8">
        <w:t xml:space="preserve">academic and business </w:t>
      </w:r>
      <w:r w:rsidRPr="00D3044F">
        <w:t>risk:</w:t>
      </w:r>
    </w:p>
    <w:p w14:paraId="24D5499A" w14:textId="5C9D32C3" w:rsidR="00C80983" w:rsidRPr="004F7390" w:rsidRDefault="00C80983" w:rsidP="00732AC4">
      <w:pPr>
        <w:pStyle w:val="Heading2"/>
        <w:rPr>
          <w:sz w:val="20"/>
          <w:szCs w:val="20"/>
        </w:rPr>
      </w:pPr>
      <w:bookmarkStart w:id="6" w:name="_Toc183094934"/>
      <w:r w:rsidRPr="004F7390">
        <w:rPr>
          <w:sz w:val="20"/>
          <w:szCs w:val="20"/>
        </w:rPr>
        <w:lastRenderedPageBreak/>
        <w:t>Table 1: Taxonomy of partnership arrangements according to risk profile</w:t>
      </w:r>
      <w:bookmarkEnd w:id="6"/>
    </w:p>
    <w:tbl>
      <w:tblPr>
        <w:tblStyle w:val="TableGrid"/>
        <w:tblW w:w="0" w:type="auto"/>
        <w:tblLook w:val="04A0" w:firstRow="1" w:lastRow="0" w:firstColumn="1" w:lastColumn="0" w:noHBand="0" w:noVBand="1"/>
      </w:tblPr>
      <w:tblGrid>
        <w:gridCol w:w="983"/>
        <w:gridCol w:w="1722"/>
        <w:gridCol w:w="1543"/>
        <w:gridCol w:w="3686"/>
        <w:gridCol w:w="1082"/>
      </w:tblGrid>
      <w:tr w:rsidR="008001E1" w:rsidRPr="00D3044F" w14:paraId="5729E127" w14:textId="77777777" w:rsidTr="00813449">
        <w:trPr>
          <w:trHeight w:val="360"/>
          <w:tblHeader/>
        </w:trPr>
        <w:tc>
          <w:tcPr>
            <w:tcW w:w="2705" w:type="dxa"/>
            <w:gridSpan w:val="2"/>
            <w:tcBorders>
              <w:bottom w:val="single" w:sz="4" w:space="0" w:color="auto"/>
            </w:tcBorders>
          </w:tcPr>
          <w:p w14:paraId="0691A159" w14:textId="02DC03CB" w:rsidR="008001E1" w:rsidRPr="00FB05DF" w:rsidRDefault="008001E1" w:rsidP="001D66C1">
            <w:pPr>
              <w:rPr>
                <w:b/>
                <w:szCs w:val="24"/>
              </w:rPr>
            </w:pPr>
            <w:r w:rsidRPr="00FB05DF">
              <w:rPr>
                <w:b/>
                <w:szCs w:val="24"/>
              </w:rPr>
              <w:t>Category</w:t>
            </w:r>
          </w:p>
        </w:tc>
        <w:tc>
          <w:tcPr>
            <w:tcW w:w="1543" w:type="dxa"/>
            <w:tcBorders>
              <w:right w:val="nil"/>
            </w:tcBorders>
          </w:tcPr>
          <w:p w14:paraId="639DD26F" w14:textId="003B8608" w:rsidR="008001E1" w:rsidRPr="00FB05DF" w:rsidRDefault="008001E1" w:rsidP="0018797E">
            <w:pPr>
              <w:ind w:right="-1208"/>
              <w:rPr>
                <w:b/>
                <w:szCs w:val="24"/>
              </w:rPr>
            </w:pPr>
            <w:r w:rsidRPr="00FB05DF">
              <w:rPr>
                <w:b/>
                <w:szCs w:val="24"/>
              </w:rPr>
              <w:t>Sub-Category</w:t>
            </w:r>
          </w:p>
        </w:tc>
        <w:tc>
          <w:tcPr>
            <w:tcW w:w="3686" w:type="dxa"/>
            <w:tcBorders>
              <w:left w:val="nil"/>
            </w:tcBorders>
          </w:tcPr>
          <w:p w14:paraId="1370B472" w14:textId="77777777" w:rsidR="008001E1" w:rsidRPr="00FB05DF" w:rsidRDefault="008001E1" w:rsidP="001D66C1">
            <w:pPr>
              <w:rPr>
                <w:b/>
                <w:szCs w:val="24"/>
              </w:rPr>
            </w:pPr>
          </w:p>
        </w:tc>
        <w:tc>
          <w:tcPr>
            <w:tcW w:w="1082" w:type="dxa"/>
          </w:tcPr>
          <w:p w14:paraId="389ED2FA" w14:textId="7D6E81A6" w:rsidR="008001E1" w:rsidRPr="00FB05DF" w:rsidRDefault="008001E1" w:rsidP="001D66C1">
            <w:pPr>
              <w:rPr>
                <w:b/>
                <w:szCs w:val="24"/>
              </w:rPr>
            </w:pPr>
            <w:r w:rsidRPr="00FB05DF">
              <w:rPr>
                <w:b/>
                <w:szCs w:val="24"/>
              </w:rPr>
              <w:t>Risk Level</w:t>
            </w:r>
          </w:p>
          <w:p w14:paraId="401094D1" w14:textId="3FAC1E9E" w:rsidR="008001E1" w:rsidRPr="00FB05DF" w:rsidRDefault="008001E1" w:rsidP="001D66C1">
            <w:pPr>
              <w:rPr>
                <w:b/>
                <w:szCs w:val="24"/>
              </w:rPr>
            </w:pPr>
            <w:r w:rsidRPr="0018797E">
              <w:rPr>
                <w:b/>
                <w:sz w:val="12"/>
                <w:szCs w:val="12"/>
              </w:rPr>
              <w:t>(Low, Medium, High; Variable)</w:t>
            </w:r>
          </w:p>
        </w:tc>
      </w:tr>
      <w:tr w:rsidR="00277FAE" w:rsidRPr="00D3044F" w14:paraId="369F5E90" w14:textId="77777777" w:rsidTr="00813449">
        <w:trPr>
          <w:tblHeader/>
        </w:trPr>
        <w:tc>
          <w:tcPr>
            <w:tcW w:w="983" w:type="dxa"/>
            <w:vMerge w:val="restart"/>
          </w:tcPr>
          <w:p w14:paraId="00856B11" w14:textId="77777777" w:rsidR="00277FAE" w:rsidRPr="00FB05DF" w:rsidRDefault="00277FAE" w:rsidP="00F841B2">
            <w:pPr>
              <w:rPr>
                <w:b/>
                <w:szCs w:val="24"/>
              </w:rPr>
            </w:pPr>
            <w:r w:rsidRPr="00FB05DF">
              <w:rPr>
                <w:b/>
                <w:szCs w:val="24"/>
              </w:rPr>
              <w:t>A</w:t>
            </w:r>
          </w:p>
        </w:tc>
        <w:tc>
          <w:tcPr>
            <w:tcW w:w="1722" w:type="dxa"/>
            <w:vMerge w:val="restart"/>
          </w:tcPr>
          <w:p w14:paraId="735ED915" w14:textId="5F66A99A" w:rsidR="00277FAE" w:rsidRPr="00FB05DF" w:rsidRDefault="00277FAE" w:rsidP="00F841B2">
            <w:pPr>
              <w:rPr>
                <w:b/>
                <w:szCs w:val="24"/>
              </w:rPr>
            </w:pPr>
            <w:r w:rsidRPr="00FB05DF">
              <w:rPr>
                <w:b/>
                <w:szCs w:val="24"/>
              </w:rPr>
              <w:t>Placements and Study Abroad</w:t>
            </w:r>
            <w:r>
              <w:rPr>
                <w:rStyle w:val="FootnoteReference"/>
                <w:b/>
                <w:szCs w:val="24"/>
              </w:rPr>
              <w:footnoteReference w:id="4"/>
            </w:r>
          </w:p>
        </w:tc>
        <w:tc>
          <w:tcPr>
            <w:tcW w:w="1543" w:type="dxa"/>
          </w:tcPr>
          <w:p w14:paraId="18BAF30B" w14:textId="77777777" w:rsidR="00277FAE" w:rsidRPr="00FB05DF" w:rsidRDefault="00277FAE" w:rsidP="00F841B2">
            <w:pPr>
              <w:rPr>
                <w:szCs w:val="24"/>
              </w:rPr>
            </w:pPr>
            <w:r w:rsidRPr="00FB05DF">
              <w:rPr>
                <w:szCs w:val="24"/>
              </w:rPr>
              <w:t>A1</w:t>
            </w:r>
          </w:p>
        </w:tc>
        <w:tc>
          <w:tcPr>
            <w:tcW w:w="3686" w:type="dxa"/>
          </w:tcPr>
          <w:p w14:paraId="570A9C93" w14:textId="77777777" w:rsidR="00277FAE" w:rsidRPr="00FB05DF" w:rsidRDefault="00277FAE" w:rsidP="00CC0F82">
            <w:pPr>
              <w:rPr>
                <w:szCs w:val="24"/>
              </w:rPr>
            </w:pPr>
            <w:r w:rsidRPr="00FB05DF">
              <w:rPr>
                <w:szCs w:val="24"/>
              </w:rPr>
              <w:t>School-based training and other placements (ex. clinical) (UK)</w:t>
            </w:r>
          </w:p>
        </w:tc>
        <w:tc>
          <w:tcPr>
            <w:tcW w:w="1082" w:type="dxa"/>
          </w:tcPr>
          <w:p w14:paraId="4D259A5A" w14:textId="77777777" w:rsidR="00277FAE" w:rsidRPr="00FB05DF" w:rsidRDefault="00277FAE" w:rsidP="00CC0F82">
            <w:pPr>
              <w:jc w:val="center"/>
              <w:rPr>
                <w:szCs w:val="24"/>
              </w:rPr>
            </w:pPr>
            <w:r w:rsidRPr="00FB05DF">
              <w:rPr>
                <w:szCs w:val="24"/>
              </w:rPr>
              <w:t>L</w:t>
            </w:r>
          </w:p>
        </w:tc>
      </w:tr>
      <w:tr w:rsidR="00277FAE" w:rsidRPr="00D3044F" w14:paraId="15A5C1EA" w14:textId="77777777" w:rsidTr="00813449">
        <w:trPr>
          <w:tblHeader/>
        </w:trPr>
        <w:tc>
          <w:tcPr>
            <w:tcW w:w="983" w:type="dxa"/>
            <w:vMerge/>
          </w:tcPr>
          <w:p w14:paraId="794ECEF6" w14:textId="77777777" w:rsidR="00277FAE" w:rsidRPr="00FB05DF" w:rsidRDefault="00277FAE" w:rsidP="00F841B2">
            <w:pPr>
              <w:rPr>
                <w:b/>
                <w:szCs w:val="24"/>
              </w:rPr>
            </w:pPr>
          </w:p>
        </w:tc>
        <w:tc>
          <w:tcPr>
            <w:tcW w:w="1722" w:type="dxa"/>
            <w:vMerge/>
          </w:tcPr>
          <w:p w14:paraId="76BBE325" w14:textId="2AEDA139" w:rsidR="00277FAE" w:rsidRPr="00FB05DF" w:rsidRDefault="00277FAE" w:rsidP="00F841B2">
            <w:pPr>
              <w:rPr>
                <w:b/>
                <w:szCs w:val="24"/>
              </w:rPr>
            </w:pPr>
          </w:p>
        </w:tc>
        <w:tc>
          <w:tcPr>
            <w:tcW w:w="1543" w:type="dxa"/>
          </w:tcPr>
          <w:p w14:paraId="2105EB58" w14:textId="77777777" w:rsidR="00277FAE" w:rsidRPr="00FB05DF" w:rsidRDefault="00277FAE" w:rsidP="00F841B2">
            <w:pPr>
              <w:rPr>
                <w:szCs w:val="24"/>
              </w:rPr>
            </w:pPr>
            <w:r w:rsidRPr="00FB05DF">
              <w:rPr>
                <w:szCs w:val="24"/>
              </w:rPr>
              <w:t>A3</w:t>
            </w:r>
          </w:p>
        </w:tc>
        <w:tc>
          <w:tcPr>
            <w:tcW w:w="3686" w:type="dxa"/>
          </w:tcPr>
          <w:p w14:paraId="7B224DD5" w14:textId="77777777" w:rsidR="00277FAE" w:rsidRPr="00FB05DF" w:rsidRDefault="00277FAE" w:rsidP="00CC0F82">
            <w:pPr>
              <w:rPr>
                <w:szCs w:val="24"/>
              </w:rPr>
            </w:pPr>
            <w:r w:rsidRPr="00FB05DF">
              <w:rPr>
                <w:szCs w:val="24"/>
              </w:rPr>
              <w:t>Study Abroad and work placements (Overseas)</w:t>
            </w:r>
          </w:p>
        </w:tc>
        <w:tc>
          <w:tcPr>
            <w:tcW w:w="1082" w:type="dxa"/>
          </w:tcPr>
          <w:p w14:paraId="6E10CD6D" w14:textId="77777777" w:rsidR="00277FAE" w:rsidRPr="00FB05DF" w:rsidRDefault="00277FAE" w:rsidP="00CC0F82">
            <w:pPr>
              <w:jc w:val="center"/>
              <w:rPr>
                <w:szCs w:val="24"/>
              </w:rPr>
            </w:pPr>
            <w:r w:rsidRPr="00FB05DF">
              <w:rPr>
                <w:szCs w:val="24"/>
              </w:rPr>
              <w:t>M</w:t>
            </w:r>
          </w:p>
        </w:tc>
      </w:tr>
      <w:tr w:rsidR="00277FAE" w:rsidRPr="00D3044F" w14:paraId="52475C7F" w14:textId="77777777" w:rsidTr="00813449">
        <w:trPr>
          <w:tblHeader/>
        </w:trPr>
        <w:tc>
          <w:tcPr>
            <w:tcW w:w="983" w:type="dxa"/>
            <w:vMerge/>
          </w:tcPr>
          <w:p w14:paraId="299A9908" w14:textId="77777777" w:rsidR="00277FAE" w:rsidRPr="00FB05DF" w:rsidRDefault="00277FAE" w:rsidP="00F841B2">
            <w:pPr>
              <w:rPr>
                <w:b/>
                <w:szCs w:val="24"/>
              </w:rPr>
            </w:pPr>
          </w:p>
        </w:tc>
        <w:tc>
          <w:tcPr>
            <w:tcW w:w="1722" w:type="dxa"/>
            <w:vMerge/>
          </w:tcPr>
          <w:p w14:paraId="7357FF81" w14:textId="3B7C461D" w:rsidR="00277FAE" w:rsidRPr="00FB05DF" w:rsidRDefault="00277FAE" w:rsidP="00F841B2">
            <w:pPr>
              <w:rPr>
                <w:b/>
                <w:szCs w:val="24"/>
              </w:rPr>
            </w:pPr>
          </w:p>
        </w:tc>
        <w:tc>
          <w:tcPr>
            <w:tcW w:w="1543" w:type="dxa"/>
          </w:tcPr>
          <w:p w14:paraId="11F1F49F" w14:textId="77777777" w:rsidR="00277FAE" w:rsidRPr="00FB05DF" w:rsidRDefault="00277FAE" w:rsidP="00F841B2">
            <w:pPr>
              <w:rPr>
                <w:szCs w:val="24"/>
              </w:rPr>
            </w:pPr>
            <w:r w:rsidRPr="00FB05DF">
              <w:rPr>
                <w:szCs w:val="24"/>
              </w:rPr>
              <w:t>A4</w:t>
            </w:r>
          </w:p>
        </w:tc>
        <w:tc>
          <w:tcPr>
            <w:tcW w:w="3686" w:type="dxa"/>
          </w:tcPr>
          <w:p w14:paraId="0A423BE0" w14:textId="77777777" w:rsidR="00277FAE" w:rsidRPr="00FB05DF" w:rsidRDefault="00277FAE" w:rsidP="00CC0F82">
            <w:pPr>
              <w:rPr>
                <w:szCs w:val="24"/>
              </w:rPr>
            </w:pPr>
            <w:r w:rsidRPr="00FB05DF">
              <w:rPr>
                <w:szCs w:val="24"/>
              </w:rPr>
              <w:t>Clinical placements (UK)</w:t>
            </w:r>
          </w:p>
        </w:tc>
        <w:tc>
          <w:tcPr>
            <w:tcW w:w="1082" w:type="dxa"/>
          </w:tcPr>
          <w:p w14:paraId="29FFB820" w14:textId="77777777" w:rsidR="00277FAE" w:rsidRPr="00FB05DF" w:rsidRDefault="00277FAE" w:rsidP="00CC0F82">
            <w:pPr>
              <w:jc w:val="center"/>
              <w:rPr>
                <w:szCs w:val="24"/>
              </w:rPr>
            </w:pPr>
            <w:r w:rsidRPr="00FB05DF">
              <w:rPr>
                <w:szCs w:val="24"/>
              </w:rPr>
              <w:t>V</w:t>
            </w:r>
          </w:p>
        </w:tc>
      </w:tr>
      <w:tr w:rsidR="00277FAE" w:rsidRPr="00D3044F" w14:paraId="2AE3EC28" w14:textId="77777777" w:rsidTr="00813449">
        <w:trPr>
          <w:tblHeader/>
        </w:trPr>
        <w:tc>
          <w:tcPr>
            <w:tcW w:w="983" w:type="dxa"/>
            <w:vMerge/>
          </w:tcPr>
          <w:p w14:paraId="196E6743" w14:textId="77777777" w:rsidR="00277FAE" w:rsidRPr="00616435" w:rsidRDefault="00277FAE" w:rsidP="00F841B2">
            <w:pPr>
              <w:rPr>
                <w:b/>
                <w:szCs w:val="24"/>
              </w:rPr>
            </w:pPr>
          </w:p>
        </w:tc>
        <w:tc>
          <w:tcPr>
            <w:tcW w:w="1722" w:type="dxa"/>
            <w:vMerge/>
          </w:tcPr>
          <w:p w14:paraId="3A7C85DB" w14:textId="54674928" w:rsidR="00277FAE" w:rsidRPr="00616435" w:rsidRDefault="00277FAE" w:rsidP="00F841B2">
            <w:pPr>
              <w:rPr>
                <w:b/>
                <w:szCs w:val="24"/>
              </w:rPr>
            </w:pPr>
          </w:p>
        </w:tc>
        <w:tc>
          <w:tcPr>
            <w:tcW w:w="1543" w:type="dxa"/>
          </w:tcPr>
          <w:p w14:paraId="5627E5B1" w14:textId="400656C8" w:rsidR="00277FAE" w:rsidRPr="00616435" w:rsidRDefault="00277FAE" w:rsidP="00F841B2">
            <w:pPr>
              <w:rPr>
                <w:szCs w:val="24"/>
              </w:rPr>
            </w:pPr>
            <w:r w:rsidRPr="00616435">
              <w:rPr>
                <w:szCs w:val="24"/>
              </w:rPr>
              <w:t>A5</w:t>
            </w:r>
          </w:p>
        </w:tc>
        <w:tc>
          <w:tcPr>
            <w:tcW w:w="3686" w:type="dxa"/>
          </w:tcPr>
          <w:p w14:paraId="53A3ADE9" w14:textId="6EA29CAC" w:rsidR="00277FAE" w:rsidRPr="005258BA" w:rsidRDefault="00277FAE" w:rsidP="00CC0F82">
            <w:pPr>
              <w:rPr>
                <w:bCs/>
                <w:szCs w:val="24"/>
              </w:rPr>
            </w:pPr>
            <w:r w:rsidRPr="005258BA">
              <w:rPr>
                <w:bCs/>
                <w:szCs w:val="24"/>
              </w:rPr>
              <w:t>Higher / Degree Apprenticeships</w:t>
            </w:r>
          </w:p>
        </w:tc>
        <w:tc>
          <w:tcPr>
            <w:tcW w:w="1082" w:type="dxa"/>
          </w:tcPr>
          <w:p w14:paraId="4953B217" w14:textId="6F616D11" w:rsidR="00277FAE" w:rsidRPr="005258BA" w:rsidRDefault="00277FAE" w:rsidP="00CC0F82">
            <w:pPr>
              <w:jc w:val="center"/>
              <w:rPr>
                <w:szCs w:val="24"/>
              </w:rPr>
            </w:pPr>
            <w:r w:rsidRPr="005258BA">
              <w:rPr>
                <w:szCs w:val="24"/>
              </w:rPr>
              <w:t>L</w:t>
            </w:r>
          </w:p>
        </w:tc>
      </w:tr>
      <w:tr w:rsidR="00277FAE" w:rsidRPr="00D3044F" w14:paraId="3B3D84D0" w14:textId="77777777" w:rsidTr="00813449">
        <w:trPr>
          <w:trHeight w:val="70"/>
          <w:tblHeader/>
        </w:trPr>
        <w:tc>
          <w:tcPr>
            <w:tcW w:w="983" w:type="dxa"/>
            <w:vMerge/>
            <w:tcBorders>
              <w:bottom w:val="nil"/>
            </w:tcBorders>
          </w:tcPr>
          <w:p w14:paraId="2952467F" w14:textId="77777777" w:rsidR="00277FAE" w:rsidRPr="00982D42" w:rsidRDefault="00277FAE" w:rsidP="00F841B2">
            <w:pPr>
              <w:rPr>
                <w:b/>
                <w:szCs w:val="24"/>
              </w:rPr>
            </w:pPr>
          </w:p>
        </w:tc>
        <w:tc>
          <w:tcPr>
            <w:tcW w:w="1722" w:type="dxa"/>
            <w:vMerge/>
            <w:tcBorders>
              <w:bottom w:val="nil"/>
            </w:tcBorders>
          </w:tcPr>
          <w:p w14:paraId="13B68AB6" w14:textId="07D8F597" w:rsidR="00277FAE" w:rsidRPr="00982D42" w:rsidRDefault="00277FAE" w:rsidP="00F841B2">
            <w:pPr>
              <w:rPr>
                <w:b/>
                <w:szCs w:val="24"/>
              </w:rPr>
            </w:pPr>
          </w:p>
        </w:tc>
        <w:tc>
          <w:tcPr>
            <w:tcW w:w="1543" w:type="dxa"/>
          </w:tcPr>
          <w:p w14:paraId="5CF42D0D" w14:textId="7E4E44D6" w:rsidR="00277FAE" w:rsidRPr="00982D42" w:rsidRDefault="00277FAE" w:rsidP="00F841B2">
            <w:pPr>
              <w:rPr>
                <w:szCs w:val="24"/>
              </w:rPr>
            </w:pPr>
            <w:r>
              <w:rPr>
                <w:szCs w:val="24"/>
              </w:rPr>
              <w:t>A6</w:t>
            </w:r>
          </w:p>
        </w:tc>
        <w:tc>
          <w:tcPr>
            <w:tcW w:w="3686" w:type="dxa"/>
          </w:tcPr>
          <w:p w14:paraId="1E7129C3" w14:textId="2F8CB0B0" w:rsidR="00277FAE" w:rsidRPr="00027243" w:rsidRDefault="00277FAE" w:rsidP="00CC0F82">
            <w:pPr>
              <w:rPr>
                <w:szCs w:val="24"/>
              </w:rPr>
            </w:pPr>
            <w:r w:rsidRPr="00EF1EED">
              <w:rPr>
                <w:color w:val="000000" w:themeColor="text1"/>
              </w:rPr>
              <w:t>PGCE with Lead Partners</w:t>
            </w:r>
          </w:p>
        </w:tc>
        <w:tc>
          <w:tcPr>
            <w:tcW w:w="1082" w:type="dxa"/>
          </w:tcPr>
          <w:p w14:paraId="765BCFBD" w14:textId="048E97DB" w:rsidR="00277FAE" w:rsidRPr="00982D42" w:rsidRDefault="00277FAE" w:rsidP="00CC0F82">
            <w:pPr>
              <w:jc w:val="center"/>
              <w:rPr>
                <w:szCs w:val="24"/>
              </w:rPr>
            </w:pPr>
            <w:r>
              <w:rPr>
                <w:szCs w:val="24"/>
              </w:rPr>
              <w:t>L</w:t>
            </w:r>
          </w:p>
        </w:tc>
      </w:tr>
      <w:tr w:rsidR="00277FAE" w:rsidRPr="00D3044F" w14:paraId="41E7B4E8" w14:textId="77777777" w:rsidTr="00813449">
        <w:trPr>
          <w:trHeight w:val="70"/>
          <w:tblHeader/>
        </w:trPr>
        <w:tc>
          <w:tcPr>
            <w:tcW w:w="983" w:type="dxa"/>
            <w:tcBorders>
              <w:bottom w:val="nil"/>
            </w:tcBorders>
          </w:tcPr>
          <w:p w14:paraId="16B448CF" w14:textId="77777777" w:rsidR="00277FAE" w:rsidRPr="00982D42" w:rsidRDefault="00277FAE" w:rsidP="00F841B2">
            <w:pPr>
              <w:rPr>
                <w:b/>
                <w:szCs w:val="24"/>
              </w:rPr>
            </w:pPr>
            <w:r w:rsidRPr="00982D42">
              <w:rPr>
                <w:b/>
                <w:szCs w:val="24"/>
              </w:rPr>
              <w:t>B</w:t>
            </w:r>
          </w:p>
        </w:tc>
        <w:tc>
          <w:tcPr>
            <w:tcW w:w="1722" w:type="dxa"/>
            <w:vMerge w:val="restart"/>
          </w:tcPr>
          <w:p w14:paraId="098E6BE7" w14:textId="77777777" w:rsidR="00277FAE" w:rsidRPr="00C547A5" w:rsidRDefault="00277FAE" w:rsidP="00F841B2">
            <w:pPr>
              <w:rPr>
                <w:b/>
                <w:szCs w:val="24"/>
              </w:rPr>
            </w:pPr>
            <w:r w:rsidRPr="00982D42">
              <w:rPr>
                <w:b/>
                <w:szCs w:val="24"/>
              </w:rPr>
              <w:t xml:space="preserve">Outreach Learning </w:t>
            </w:r>
            <w:r w:rsidRPr="0054717B">
              <w:rPr>
                <w:b/>
                <w:szCs w:val="24"/>
              </w:rPr>
              <w:t>Venues</w:t>
            </w:r>
          </w:p>
          <w:p w14:paraId="1D59EA6B" w14:textId="160D90E3" w:rsidR="00277FAE" w:rsidRPr="00982D42" w:rsidRDefault="00277FAE" w:rsidP="00F841B2">
            <w:pPr>
              <w:rPr>
                <w:b/>
                <w:szCs w:val="24"/>
              </w:rPr>
            </w:pPr>
          </w:p>
        </w:tc>
        <w:tc>
          <w:tcPr>
            <w:tcW w:w="1543" w:type="dxa"/>
          </w:tcPr>
          <w:p w14:paraId="1D82CDB6" w14:textId="77777777" w:rsidR="00277FAE" w:rsidRPr="00982D42" w:rsidRDefault="00277FAE" w:rsidP="00F841B2">
            <w:pPr>
              <w:rPr>
                <w:szCs w:val="24"/>
              </w:rPr>
            </w:pPr>
            <w:r w:rsidRPr="00982D42">
              <w:rPr>
                <w:szCs w:val="24"/>
              </w:rPr>
              <w:t>B1</w:t>
            </w:r>
          </w:p>
        </w:tc>
        <w:tc>
          <w:tcPr>
            <w:tcW w:w="3686" w:type="dxa"/>
          </w:tcPr>
          <w:p w14:paraId="3E1A737E" w14:textId="77777777" w:rsidR="00277FAE" w:rsidRPr="00982D42" w:rsidRDefault="00277FAE" w:rsidP="00CC0F82">
            <w:pPr>
              <w:rPr>
                <w:szCs w:val="24"/>
              </w:rPr>
            </w:pPr>
            <w:r w:rsidRPr="00982D42">
              <w:rPr>
                <w:szCs w:val="24"/>
              </w:rPr>
              <w:t>Outreach Learning Venues (UK)</w:t>
            </w:r>
          </w:p>
        </w:tc>
        <w:tc>
          <w:tcPr>
            <w:tcW w:w="1082" w:type="dxa"/>
          </w:tcPr>
          <w:p w14:paraId="17CD8157" w14:textId="77777777" w:rsidR="00277FAE" w:rsidRPr="00982D42" w:rsidRDefault="00277FAE" w:rsidP="00CC0F82">
            <w:pPr>
              <w:jc w:val="center"/>
              <w:rPr>
                <w:szCs w:val="24"/>
              </w:rPr>
            </w:pPr>
            <w:r w:rsidRPr="00982D42">
              <w:rPr>
                <w:szCs w:val="24"/>
              </w:rPr>
              <w:t>L</w:t>
            </w:r>
          </w:p>
        </w:tc>
      </w:tr>
      <w:tr w:rsidR="00277FAE" w:rsidRPr="00D3044F" w14:paraId="33DC2BCC" w14:textId="77777777" w:rsidTr="00813449">
        <w:trPr>
          <w:tblHeader/>
        </w:trPr>
        <w:tc>
          <w:tcPr>
            <w:tcW w:w="983" w:type="dxa"/>
            <w:tcBorders>
              <w:top w:val="nil"/>
              <w:bottom w:val="nil"/>
            </w:tcBorders>
          </w:tcPr>
          <w:p w14:paraId="7113FB00" w14:textId="77777777" w:rsidR="00277FAE" w:rsidRPr="00982D42" w:rsidRDefault="00277FAE" w:rsidP="00F841B2">
            <w:pPr>
              <w:rPr>
                <w:b/>
                <w:szCs w:val="24"/>
              </w:rPr>
            </w:pPr>
          </w:p>
        </w:tc>
        <w:tc>
          <w:tcPr>
            <w:tcW w:w="1722" w:type="dxa"/>
            <w:vMerge/>
          </w:tcPr>
          <w:p w14:paraId="26911D39" w14:textId="55465805" w:rsidR="00277FAE" w:rsidRPr="00982D42" w:rsidRDefault="00277FAE" w:rsidP="00F841B2">
            <w:pPr>
              <w:rPr>
                <w:b/>
                <w:szCs w:val="24"/>
              </w:rPr>
            </w:pPr>
          </w:p>
        </w:tc>
        <w:tc>
          <w:tcPr>
            <w:tcW w:w="1543" w:type="dxa"/>
          </w:tcPr>
          <w:p w14:paraId="281ACEAD" w14:textId="77777777" w:rsidR="00277FAE" w:rsidRPr="00982D42" w:rsidRDefault="00277FAE" w:rsidP="00F841B2">
            <w:pPr>
              <w:rPr>
                <w:szCs w:val="24"/>
              </w:rPr>
            </w:pPr>
            <w:r w:rsidRPr="00982D42">
              <w:rPr>
                <w:szCs w:val="24"/>
              </w:rPr>
              <w:t>B2</w:t>
            </w:r>
          </w:p>
        </w:tc>
        <w:tc>
          <w:tcPr>
            <w:tcW w:w="3686" w:type="dxa"/>
          </w:tcPr>
          <w:p w14:paraId="27779AD1" w14:textId="77777777" w:rsidR="00277FAE" w:rsidRPr="00982D42" w:rsidRDefault="00277FAE" w:rsidP="00CC0F82">
            <w:pPr>
              <w:rPr>
                <w:szCs w:val="24"/>
              </w:rPr>
            </w:pPr>
            <w:r w:rsidRPr="00982D42">
              <w:rPr>
                <w:szCs w:val="24"/>
              </w:rPr>
              <w:t>School-Centred Initial Teacher Training (SCITT) venues</w:t>
            </w:r>
          </w:p>
        </w:tc>
        <w:tc>
          <w:tcPr>
            <w:tcW w:w="1082" w:type="dxa"/>
          </w:tcPr>
          <w:p w14:paraId="327B00D8" w14:textId="77777777" w:rsidR="00277FAE" w:rsidRPr="00982D42" w:rsidRDefault="00277FAE" w:rsidP="00CC0F82">
            <w:pPr>
              <w:jc w:val="center"/>
              <w:rPr>
                <w:szCs w:val="24"/>
              </w:rPr>
            </w:pPr>
            <w:r w:rsidRPr="00982D42">
              <w:rPr>
                <w:szCs w:val="24"/>
              </w:rPr>
              <w:t>L</w:t>
            </w:r>
          </w:p>
        </w:tc>
      </w:tr>
      <w:tr w:rsidR="00277FAE" w:rsidRPr="00D3044F" w14:paraId="14965E2B" w14:textId="77777777" w:rsidTr="00813449">
        <w:trPr>
          <w:tblHeader/>
        </w:trPr>
        <w:tc>
          <w:tcPr>
            <w:tcW w:w="983" w:type="dxa"/>
            <w:tcBorders>
              <w:top w:val="nil"/>
              <w:bottom w:val="single" w:sz="4" w:space="0" w:color="auto"/>
            </w:tcBorders>
          </w:tcPr>
          <w:p w14:paraId="2088F5F9" w14:textId="77777777" w:rsidR="00277FAE" w:rsidRPr="00FB05DF" w:rsidRDefault="00277FAE" w:rsidP="00F841B2">
            <w:pPr>
              <w:rPr>
                <w:b/>
                <w:szCs w:val="24"/>
              </w:rPr>
            </w:pPr>
          </w:p>
        </w:tc>
        <w:tc>
          <w:tcPr>
            <w:tcW w:w="1722" w:type="dxa"/>
            <w:vMerge/>
            <w:tcBorders>
              <w:bottom w:val="single" w:sz="4" w:space="0" w:color="auto"/>
            </w:tcBorders>
          </w:tcPr>
          <w:p w14:paraId="41510229" w14:textId="77777777" w:rsidR="00277FAE" w:rsidRPr="00FB05DF" w:rsidRDefault="00277FAE" w:rsidP="00F841B2">
            <w:pPr>
              <w:rPr>
                <w:b/>
                <w:szCs w:val="24"/>
              </w:rPr>
            </w:pPr>
          </w:p>
        </w:tc>
        <w:tc>
          <w:tcPr>
            <w:tcW w:w="1543" w:type="dxa"/>
          </w:tcPr>
          <w:p w14:paraId="5BCCBB48" w14:textId="77777777" w:rsidR="00277FAE" w:rsidRPr="00FB05DF" w:rsidRDefault="00277FAE" w:rsidP="00F841B2">
            <w:pPr>
              <w:rPr>
                <w:szCs w:val="24"/>
              </w:rPr>
            </w:pPr>
            <w:r w:rsidRPr="00FB05DF">
              <w:rPr>
                <w:szCs w:val="24"/>
              </w:rPr>
              <w:t>B3</w:t>
            </w:r>
          </w:p>
        </w:tc>
        <w:tc>
          <w:tcPr>
            <w:tcW w:w="3686" w:type="dxa"/>
          </w:tcPr>
          <w:p w14:paraId="58399192" w14:textId="77777777" w:rsidR="00277FAE" w:rsidRPr="00FB05DF" w:rsidRDefault="00277FAE" w:rsidP="00CC0F82">
            <w:pPr>
              <w:rPr>
                <w:szCs w:val="24"/>
              </w:rPr>
            </w:pPr>
            <w:r w:rsidRPr="00FB05DF">
              <w:rPr>
                <w:szCs w:val="24"/>
              </w:rPr>
              <w:t>Outreach Learning Venues (Overseas)</w:t>
            </w:r>
          </w:p>
        </w:tc>
        <w:tc>
          <w:tcPr>
            <w:tcW w:w="1082" w:type="dxa"/>
          </w:tcPr>
          <w:p w14:paraId="339274C4" w14:textId="77777777" w:rsidR="00277FAE" w:rsidRPr="00FB05DF" w:rsidRDefault="00277FAE" w:rsidP="00CC0F82">
            <w:pPr>
              <w:jc w:val="center"/>
              <w:rPr>
                <w:szCs w:val="24"/>
              </w:rPr>
            </w:pPr>
            <w:r w:rsidRPr="00FB05DF">
              <w:rPr>
                <w:szCs w:val="24"/>
              </w:rPr>
              <w:t>L</w:t>
            </w:r>
          </w:p>
        </w:tc>
      </w:tr>
      <w:tr w:rsidR="00C547A5" w:rsidRPr="00D3044F" w14:paraId="2B0950A4" w14:textId="77777777" w:rsidTr="00813449">
        <w:trPr>
          <w:trHeight w:val="381"/>
          <w:tblHeader/>
        </w:trPr>
        <w:tc>
          <w:tcPr>
            <w:tcW w:w="983" w:type="dxa"/>
            <w:tcBorders>
              <w:bottom w:val="nil"/>
            </w:tcBorders>
          </w:tcPr>
          <w:p w14:paraId="67A75EBA" w14:textId="77777777" w:rsidR="00C547A5" w:rsidRPr="00FB05DF" w:rsidRDefault="00C547A5" w:rsidP="00F841B2">
            <w:pPr>
              <w:rPr>
                <w:b/>
                <w:szCs w:val="24"/>
              </w:rPr>
            </w:pPr>
            <w:r w:rsidRPr="00FB05DF">
              <w:rPr>
                <w:b/>
                <w:szCs w:val="24"/>
              </w:rPr>
              <w:t>C</w:t>
            </w:r>
          </w:p>
        </w:tc>
        <w:tc>
          <w:tcPr>
            <w:tcW w:w="1722" w:type="dxa"/>
            <w:vMerge w:val="restart"/>
          </w:tcPr>
          <w:p w14:paraId="1AE9EDE0" w14:textId="7559D720" w:rsidR="00C547A5" w:rsidRPr="00FB05DF" w:rsidRDefault="00C547A5" w:rsidP="00F841B2">
            <w:pPr>
              <w:rPr>
                <w:b/>
                <w:szCs w:val="24"/>
              </w:rPr>
            </w:pPr>
            <w:r w:rsidRPr="00FB05DF">
              <w:rPr>
                <w:b/>
                <w:szCs w:val="24"/>
              </w:rPr>
              <w:t>Outreach Supported Learning Centres</w:t>
            </w:r>
          </w:p>
        </w:tc>
        <w:tc>
          <w:tcPr>
            <w:tcW w:w="1543" w:type="dxa"/>
          </w:tcPr>
          <w:p w14:paraId="1B5757DC" w14:textId="77777777" w:rsidR="00C547A5" w:rsidRPr="00FB05DF" w:rsidRDefault="00C547A5" w:rsidP="00F841B2">
            <w:pPr>
              <w:rPr>
                <w:szCs w:val="24"/>
              </w:rPr>
            </w:pPr>
            <w:r w:rsidRPr="00FB05DF">
              <w:rPr>
                <w:szCs w:val="24"/>
              </w:rPr>
              <w:t>C1</w:t>
            </w:r>
          </w:p>
        </w:tc>
        <w:tc>
          <w:tcPr>
            <w:tcW w:w="3686" w:type="dxa"/>
          </w:tcPr>
          <w:p w14:paraId="00D25038" w14:textId="77777777" w:rsidR="00C547A5" w:rsidRPr="00FB05DF" w:rsidRDefault="00C547A5" w:rsidP="00CC0F82">
            <w:pPr>
              <w:rPr>
                <w:szCs w:val="24"/>
              </w:rPr>
            </w:pPr>
            <w:r w:rsidRPr="00FB05DF">
              <w:rPr>
                <w:szCs w:val="24"/>
              </w:rPr>
              <w:t>Outreach Supported Learning Centres: Education providers (UK)</w:t>
            </w:r>
          </w:p>
        </w:tc>
        <w:tc>
          <w:tcPr>
            <w:tcW w:w="1082" w:type="dxa"/>
          </w:tcPr>
          <w:p w14:paraId="1F5C17CA" w14:textId="77777777" w:rsidR="00C547A5" w:rsidRPr="00FB05DF" w:rsidRDefault="00C547A5" w:rsidP="00CC0F82">
            <w:pPr>
              <w:jc w:val="center"/>
              <w:rPr>
                <w:szCs w:val="24"/>
              </w:rPr>
            </w:pPr>
            <w:r w:rsidRPr="00FB05DF">
              <w:rPr>
                <w:szCs w:val="24"/>
              </w:rPr>
              <w:t>M</w:t>
            </w:r>
          </w:p>
        </w:tc>
      </w:tr>
      <w:tr w:rsidR="00C547A5" w:rsidRPr="00D3044F" w14:paraId="4923052C" w14:textId="77777777" w:rsidTr="00813449">
        <w:trPr>
          <w:tblHeader/>
        </w:trPr>
        <w:tc>
          <w:tcPr>
            <w:tcW w:w="983" w:type="dxa"/>
            <w:tcBorders>
              <w:top w:val="nil"/>
              <w:bottom w:val="nil"/>
            </w:tcBorders>
          </w:tcPr>
          <w:p w14:paraId="1F6761A9" w14:textId="77777777" w:rsidR="00C547A5" w:rsidRPr="00FB05DF" w:rsidRDefault="00C547A5" w:rsidP="00F841B2">
            <w:pPr>
              <w:rPr>
                <w:b/>
                <w:szCs w:val="24"/>
              </w:rPr>
            </w:pPr>
          </w:p>
        </w:tc>
        <w:tc>
          <w:tcPr>
            <w:tcW w:w="1722" w:type="dxa"/>
            <w:vMerge/>
          </w:tcPr>
          <w:p w14:paraId="5C1A4375" w14:textId="4799E102" w:rsidR="00C547A5" w:rsidRPr="00FB05DF" w:rsidRDefault="00C547A5" w:rsidP="00F841B2">
            <w:pPr>
              <w:rPr>
                <w:b/>
                <w:szCs w:val="24"/>
              </w:rPr>
            </w:pPr>
          </w:p>
        </w:tc>
        <w:tc>
          <w:tcPr>
            <w:tcW w:w="1543" w:type="dxa"/>
          </w:tcPr>
          <w:p w14:paraId="769AC464" w14:textId="77777777" w:rsidR="00C547A5" w:rsidRPr="00FB05DF" w:rsidRDefault="00C547A5" w:rsidP="00F841B2">
            <w:pPr>
              <w:rPr>
                <w:szCs w:val="24"/>
              </w:rPr>
            </w:pPr>
            <w:r w:rsidRPr="00FB05DF">
              <w:rPr>
                <w:szCs w:val="24"/>
              </w:rPr>
              <w:t>C2</w:t>
            </w:r>
          </w:p>
        </w:tc>
        <w:tc>
          <w:tcPr>
            <w:tcW w:w="3686" w:type="dxa"/>
          </w:tcPr>
          <w:p w14:paraId="2A6D339B" w14:textId="77777777" w:rsidR="00C547A5" w:rsidRPr="00FB05DF" w:rsidRDefault="00C547A5" w:rsidP="00CC0F82">
            <w:pPr>
              <w:rPr>
                <w:szCs w:val="24"/>
              </w:rPr>
            </w:pPr>
            <w:r w:rsidRPr="00FB05DF">
              <w:rPr>
                <w:szCs w:val="24"/>
              </w:rPr>
              <w:t>Outreach Supported Learning Centres: Non-education providers (UK)</w:t>
            </w:r>
          </w:p>
        </w:tc>
        <w:tc>
          <w:tcPr>
            <w:tcW w:w="1082" w:type="dxa"/>
          </w:tcPr>
          <w:p w14:paraId="3A617DC7" w14:textId="77777777" w:rsidR="00C547A5" w:rsidRPr="00FB05DF" w:rsidRDefault="00C547A5" w:rsidP="00CC0F82">
            <w:pPr>
              <w:jc w:val="center"/>
              <w:rPr>
                <w:szCs w:val="24"/>
              </w:rPr>
            </w:pPr>
            <w:r w:rsidRPr="00FB05DF">
              <w:rPr>
                <w:szCs w:val="24"/>
              </w:rPr>
              <w:t>M</w:t>
            </w:r>
          </w:p>
        </w:tc>
      </w:tr>
      <w:tr w:rsidR="00C547A5" w:rsidRPr="00D3044F" w14:paraId="7BD79768" w14:textId="77777777" w:rsidTr="00813449">
        <w:trPr>
          <w:tblHeader/>
        </w:trPr>
        <w:tc>
          <w:tcPr>
            <w:tcW w:w="983" w:type="dxa"/>
            <w:tcBorders>
              <w:top w:val="nil"/>
            </w:tcBorders>
          </w:tcPr>
          <w:p w14:paraId="5F8A4691" w14:textId="77777777" w:rsidR="00C547A5" w:rsidRPr="00FB05DF" w:rsidRDefault="00C547A5" w:rsidP="00F841B2">
            <w:pPr>
              <w:rPr>
                <w:b/>
                <w:szCs w:val="24"/>
              </w:rPr>
            </w:pPr>
          </w:p>
        </w:tc>
        <w:tc>
          <w:tcPr>
            <w:tcW w:w="1722" w:type="dxa"/>
            <w:vMerge/>
            <w:tcBorders>
              <w:bottom w:val="single" w:sz="4" w:space="0" w:color="auto"/>
            </w:tcBorders>
          </w:tcPr>
          <w:p w14:paraId="56C223DB" w14:textId="77777777" w:rsidR="00C547A5" w:rsidRPr="00FB05DF" w:rsidRDefault="00C547A5" w:rsidP="00F841B2">
            <w:pPr>
              <w:rPr>
                <w:b/>
                <w:szCs w:val="24"/>
              </w:rPr>
            </w:pPr>
          </w:p>
        </w:tc>
        <w:tc>
          <w:tcPr>
            <w:tcW w:w="1543" w:type="dxa"/>
            <w:tcBorders>
              <w:bottom w:val="single" w:sz="4" w:space="0" w:color="auto"/>
            </w:tcBorders>
          </w:tcPr>
          <w:p w14:paraId="70E67A13" w14:textId="77777777" w:rsidR="00C547A5" w:rsidRPr="00FB05DF" w:rsidRDefault="00C547A5" w:rsidP="00F841B2">
            <w:pPr>
              <w:rPr>
                <w:szCs w:val="24"/>
              </w:rPr>
            </w:pPr>
            <w:r w:rsidRPr="00FB05DF">
              <w:rPr>
                <w:szCs w:val="24"/>
              </w:rPr>
              <w:t>C3</w:t>
            </w:r>
          </w:p>
        </w:tc>
        <w:tc>
          <w:tcPr>
            <w:tcW w:w="3686" w:type="dxa"/>
            <w:tcBorders>
              <w:bottom w:val="single" w:sz="4" w:space="0" w:color="auto"/>
            </w:tcBorders>
          </w:tcPr>
          <w:p w14:paraId="54E60BDC" w14:textId="77777777" w:rsidR="00C547A5" w:rsidRPr="00FB05DF" w:rsidRDefault="00C547A5" w:rsidP="00CC0F82">
            <w:pPr>
              <w:rPr>
                <w:szCs w:val="24"/>
              </w:rPr>
            </w:pPr>
            <w:r w:rsidRPr="00FB05DF">
              <w:rPr>
                <w:szCs w:val="24"/>
              </w:rPr>
              <w:t>Outreach Supported Learning Centres (Overseas)</w:t>
            </w:r>
          </w:p>
        </w:tc>
        <w:tc>
          <w:tcPr>
            <w:tcW w:w="1082" w:type="dxa"/>
          </w:tcPr>
          <w:p w14:paraId="1861D290" w14:textId="679FBFE8" w:rsidR="00C547A5" w:rsidRPr="00FB05DF" w:rsidRDefault="00594826" w:rsidP="00CC0F82">
            <w:pPr>
              <w:jc w:val="center"/>
              <w:rPr>
                <w:szCs w:val="24"/>
              </w:rPr>
            </w:pPr>
            <w:r>
              <w:rPr>
                <w:szCs w:val="24"/>
              </w:rPr>
              <w:t>H</w:t>
            </w:r>
          </w:p>
        </w:tc>
      </w:tr>
      <w:tr w:rsidR="00660FF1" w:rsidRPr="00D3044F" w14:paraId="6D8C2F32" w14:textId="77777777" w:rsidTr="00813449">
        <w:trPr>
          <w:tblHeader/>
        </w:trPr>
        <w:tc>
          <w:tcPr>
            <w:tcW w:w="983" w:type="dxa"/>
            <w:tcBorders>
              <w:bottom w:val="single" w:sz="4" w:space="0" w:color="auto"/>
            </w:tcBorders>
          </w:tcPr>
          <w:p w14:paraId="18D85A5C" w14:textId="77777777" w:rsidR="00080C8D" w:rsidRPr="00FB05DF" w:rsidRDefault="00080C8D" w:rsidP="001D66C1">
            <w:pPr>
              <w:rPr>
                <w:b/>
                <w:szCs w:val="24"/>
              </w:rPr>
            </w:pPr>
            <w:r w:rsidRPr="00FB05DF">
              <w:rPr>
                <w:b/>
                <w:szCs w:val="24"/>
              </w:rPr>
              <w:t>D</w:t>
            </w:r>
          </w:p>
        </w:tc>
        <w:tc>
          <w:tcPr>
            <w:tcW w:w="1722" w:type="dxa"/>
            <w:tcBorders>
              <w:bottom w:val="single" w:sz="4" w:space="0" w:color="auto"/>
              <w:right w:val="nil"/>
            </w:tcBorders>
          </w:tcPr>
          <w:p w14:paraId="3F0F2C5A" w14:textId="77777777" w:rsidR="00080C8D" w:rsidRPr="00FB05DF" w:rsidRDefault="00080C8D" w:rsidP="001D66C1">
            <w:pPr>
              <w:rPr>
                <w:b/>
                <w:szCs w:val="24"/>
              </w:rPr>
            </w:pPr>
            <w:r w:rsidRPr="00FB05DF">
              <w:rPr>
                <w:b/>
                <w:szCs w:val="24"/>
              </w:rPr>
              <w:t>Credit-rating</w:t>
            </w:r>
          </w:p>
        </w:tc>
        <w:tc>
          <w:tcPr>
            <w:tcW w:w="1543" w:type="dxa"/>
            <w:tcBorders>
              <w:left w:val="nil"/>
              <w:right w:val="nil"/>
            </w:tcBorders>
          </w:tcPr>
          <w:p w14:paraId="442543A0" w14:textId="77777777" w:rsidR="00080C8D" w:rsidRPr="00FB05DF" w:rsidRDefault="00080C8D" w:rsidP="00CC0F82">
            <w:pPr>
              <w:rPr>
                <w:szCs w:val="24"/>
              </w:rPr>
            </w:pPr>
          </w:p>
        </w:tc>
        <w:tc>
          <w:tcPr>
            <w:tcW w:w="3686" w:type="dxa"/>
            <w:tcBorders>
              <w:left w:val="nil"/>
            </w:tcBorders>
          </w:tcPr>
          <w:p w14:paraId="6AB198E3" w14:textId="77777777" w:rsidR="00080C8D" w:rsidRPr="00FB05DF" w:rsidRDefault="00080C8D" w:rsidP="00CC0F82">
            <w:pPr>
              <w:rPr>
                <w:szCs w:val="24"/>
              </w:rPr>
            </w:pPr>
          </w:p>
        </w:tc>
        <w:tc>
          <w:tcPr>
            <w:tcW w:w="1082" w:type="dxa"/>
          </w:tcPr>
          <w:p w14:paraId="64A01D2D" w14:textId="59714D5C" w:rsidR="00080C8D" w:rsidRPr="00FB05DF" w:rsidRDefault="00080C8D" w:rsidP="00CC0F82">
            <w:pPr>
              <w:jc w:val="center"/>
              <w:rPr>
                <w:szCs w:val="24"/>
              </w:rPr>
            </w:pPr>
            <w:r w:rsidRPr="00FB05DF">
              <w:rPr>
                <w:szCs w:val="24"/>
              </w:rPr>
              <w:t>M</w:t>
            </w:r>
          </w:p>
        </w:tc>
      </w:tr>
      <w:tr w:rsidR="00660FF1" w:rsidRPr="00D3044F" w14:paraId="26355A22" w14:textId="77777777" w:rsidTr="00813449">
        <w:trPr>
          <w:tblHeader/>
        </w:trPr>
        <w:tc>
          <w:tcPr>
            <w:tcW w:w="983" w:type="dxa"/>
            <w:tcBorders>
              <w:bottom w:val="nil"/>
            </w:tcBorders>
          </w:tcPr>
          <w:p w14:paraId="35FB87ED" w14:textId="77777777" w:rsidR="00F841B2" w:rsidRPr="00FB05DF" w:rsidRDefault="00F841B2" w:rsidP="00F841B2">
            <w:pPr>
              <w:rPr>
                <w:b/>
                <w:szCs w:val="24"/>
              </w:rPr>
            </w:pPr>
            <w:r w:rsidRPr="00FB05DF">
              <w:rPr>
                <w:b/>
                <w:szCs w:val="24"/>
              </w:rPr>
              <w:t>E</w:t>
            </w:r>
          </w:p>
        </w:tc>
        <w:tc>
          <w:tcPr>
            <w:tcW w:w="1722" w:type="dxa"/>
            <w:tcBorders>
              <w:bottom w:val="nil"/>
            </w:tcBorders>
          </w:tcPr>
          <w:p w14:paraId="0D9A6532" w14:textId="77777777" w:rsidR="00F841B2" w:rsidRPr="00FB05DF" w:rsidRDefault="00F841B2" w:rsidP="00F841B2">
            <w:pPr>
              <w:rPr>
                <w:b/>
                <w:szCs w:val="24"/>
              </w:rPr>
            </w:pPr>
            <w:r w:rsidRPr="00FB05DF">
              <w:rPr>
                <w:b/>
                <w:szCs w:val="24"/>
              </w:rPr>
              <w:t>Articulations</w:t>
            </w:r>
          </w:p>
        </w:tc>
        <w:tc>
          <w:tcPr>
            <w:tcW w:w="1543" w:type="dxa"/>
          </w:tcPr>
          <w:p w14:paraId="7728D753" w14:textId="77777777" w:rsidR="00F841B2" w:rsidRPr="00FB05DF" w:rsidRDefault="00F841B2" w:rsidP="00F841B2">
            <w:pPr>
              <w:rPr>
                <w:szCs w:val="24"/>
              </w:rPr>
            </w:pPr>
            <w:r w:rsidRPr="00FB05DF">
              <w:rPr>
                <w:szCs w:val="24"/>
              </w:rPr>
              <w:t>E1</w:t>
            </w:r>
          </w:p>
        </w:tc>
        <w:tc>
          <w:tcPr>
            <w:tcW w:w="3686" w:type="dxa"/>
          </w:tcPr>
          <w:p w14:paraId="74D972C6" w14:textId="72C84D92" w:rsidR="00F841B2" w:rsidRPr="00FB05DF" w:rsidRDefault="00F841B2" w:rsidP="00CC0F82">
            <w:pPr>
              <w:rPr>
                <w:szCs w:val="24"/>
              </w:rPr>
            </w:pPr>
            <w:r w:rsidRPr="00FB05DF">
              <w:rPr>
                <w:szCs w:val="24"/>
              </w:rPr>
              <w:t>Qualification recognition</w:t>
            </w:r>
          </w:p>
        </w:tc>
        <w:tc>
          <w:tcPr>
            <w:tcW w:w="1082" w:type="dxa"/>
          </w:tcPr>
          <w:p w14:paraId="55151E39" w14:textId="77777777" w:rsidR="00F841B2" w:rsidRPr="00FB05DF" w:rsidRDefault="00CC0F82" w:rsidP="00CC0F82">
            <w:pPr>
              <w:jc w:val="center"/>
              <w:rPr>
                <w:szCs w:val="24"/>
              </w:rPr>
            </w:pPr>
            <w:r w:rsidRPr="00FB05DF">
              <w:rPr>
                <w:szCs w:val="24"/>
              </w:rPr>
              <w:t>M</w:t>
            </w:r>
          </w:p>
        </w:tc>
      </w:tr>
      <w:tr w:rsidR="00660FF1" w:rsidRPr="00D3044F" w14:paraId="7F31300A" w14:textId="77777777" w:rsidTr="00813449">
        <w:trPr>
          <w:tblHeader/>
        </w:trPr>
        <w:tc>
          <w:tcPr>
            <w:tcW w:w="983" w:type="dxa"/>
            <w:tcBorders>
              <w:top w:val="nil"/>
              <w:bottom w:val="single" w:sz="4" w:space="0" w:color="auto"/>
            </w:tcBorders>
          </w:tcPr>
          <w:p w14:paraId="67CF93A1" w14:textId="77777777" w:rsidR="00F841B2" w:rsidRPr="00FB05DF" w:rsidRDefault="00F841B2" w:rsidP="00F841B2">
            <w:pPr>
              <w:rPr>
                <w:b/>
                <w:szCs w:val="24"/>
              </w:rPr>
            </w:pPr>
          </w:p>
        </w:tc>
        <w:tc>
          <w:tcPr>
            <w:tcW w:w="1722" w:type="dxa"/>
            <w:tcBorders>
              <w:top w:val="nil"/>
              <w:bottom w:val="single" w:sz="4" w:space="0" w:color="auto"/>
            </w:tcBorders>
          </w:tcPr>
          <w:p w14:paraId="215F7A0E" w14:textId="77777777" w:rsidR="00F841B2" w:rsidRPr="00FB05DF" w:rsidRDefault="00F841B2" w:rsidP="00F841B2">
            <w:pPr>
              <w:rPr>
                <w:b/>
                <w:szCs w:val="24"/>
              </w:rPr>
            </w:pPr>
          </w:p>
        </w:tc>
        <w:tc>
          <w:tcPr>
            <w:tcW w:w="1543" w:type="dxa"/>
          </w:tcPr>
          <w:p w14:paraId="66DA3A82" w14:textId="77777777" w:rsidR="00F841B2" w:rsidRPr="00FB05DF" w:rsidRDefault="00F841B2" w:rsidP="00F841B2">
            <w:pPr>
              <w:rPr>
                <w:szCs w:val="24"/>
              </w:rPr>
            </w:pPr>
            <w:r w:rsidRPr="00FB05DF">
              <w:rPr>
                <w:szCs w:val="24"/>
              </w:rPr>
              <w:t>E2</w:t>
            </w:r>
          </w:p>
        </w:tc>
        <w:tc>
          <w:tcPr>
            <w:tcW w:w="3686" w:type="dxa"/>
          </w:tcPr>
          <w:p w14:paraId="5D037BBF" w14:textId="21823140" w:rsidR="00F841B2" w:rsidRPr="00FB05DF" w:rsidRDefault="00F841B2" w:rsidP="00CC0F82">
            <w:pPr>
              <w:rPr>
                <w:szCs w:val="24"/>
              </w:rPr>
            </w:pPr>
            <w:r w:rsidRPr="00FB05DF">
              <w:rPr>
                <w:szCs w:val="24"/>
              </w:rPr>
              <w:t>Qualification recognition with a progression agreement</w:t>
            </w:r>
          </w:p>
        </w:tc>
        <w:tc>
          <w:tcPr>
            <w:tcW w:w="1082" w:type="dxa"/>
          </w:tcPr>
          <w:p w14:paraId="69AF2527" w14:textId="77777777" w:rsidR="00F841B2" w:rsidRPr="00FB05DF" w:rsidRDefault="00CC0F82" w:rsidP="00CC0F82">
            <w:pPr>
              <w:jc w:val="center"/>
              <w:rPr>
                <w:szCs w:val="24"/>
              </w:rPr>
            </w:pPr>
            <w:r w:rsidRPr="00FB05DF">
              <w:rPr>
                <w:szCs w:val="24"/>
              </w:rPr>
              <w:t>M</w:t>
            </w:r>
          </w:p>
        </w:tc>
      </w:tr>
      <w:tr w:rsidR="00C547A5" w:rsidRPr="00D3044F" w14:paraId="7435AE50" w14:textId="77777777" w:rsidTr="00813449">
        <w:trPr>
          <w:tblHeader/>
        </w:trPr>
        <w:tc>
          <w:tcPr>
            <w:tcW w:w="983" w:type="dxa"/>
            <w:tcBorders>
              <w:bottom w:val="nil"/>
            </w:tcBorders>
          </w:tcPr>
          <w:p w14:paraId="1D0CFEE6" w14:textId="77777777" w:rsidR="00C547A5" w:rsidRPr="00FB05DF" w:rsidRDefault="00C547A5" w:rsidP="00F841B2">
            <w:pPr>
              <w:rPr>
                <w:b/>
                <w:szCs w:val="24"/>
              </w:rPr>
            </w:pPr>
            <w:r w:rsidRPr="00FB05DF">
              <w:rPr>
                <w:b/>
                <w:szCs w:val="24"/>
              </w:rPr>
              <w:t>F</w:t>
            </w:r>
          </w:p>
        </w:tc>
        <w:tc>
          <w:tcPr>
            <w:tcW w:w="1722" w:type="dxa"/>
            <w:vMerge w:val="restart"/>
          </w:tcPr>
          <w:p w14:paraId="169B7C6C" w14:textId="67F5AC22" w:rsidR="00C547A5" w:rsidRPr="00FB05DF" w:rsidRDefault="00C547A5" w:rsidP="00F841B2">
            <w:pPr>
              <w:rPr>
                <w:b/>
                <w:szCs w:val="24"/>
              </w:rPr>
            </w:pPr>
            <w:r w:rsidRPr="00FB05DF">
              <w:rPr>
                <w:b/>
                <w:szCs w:val="24"/>
              </w:rPr>
              <w:t>Delivery with a third party</w:t>
            </w:r>
            <w:r w:rsidR="000569E7">
              <w:rPr>
                <w:b/>
                <w:szCs w:val="24"/>
              </w:rPr>
              <w:t xml:space="preserve"> (including overseas delivery)</w:t>
            </w:r>
          </w:p>
        </w:tc>
        <w:tc>
          <w:tcPr>
            <w:tcW w:w="1543" w:type="dxa"/>
          </w:tcPr>
          <w:p w14:paraId="6600FDEB" w14:textId="77777777" w:rsidR="00C547A5" w:rsidRPr="00FB05DF" w:rsidRDefault="00C547A5" w:rsidP="00F841B2">
            <w:pPr>
              <w:rPr>
                <w:szCs w:val="24"/>
              </w:rPr>
            </w:pPr>
            <w:r w:rsidRPr="00FB05DF">
              <w:rPr>
                <w:szCs w:val="24"/>
              </w:rPr>
              <w:t>F1</w:t>
            </w:r>
          </w:p>
        </w:tc>
        <w:tc>
          <w:tcPr>
            <w:tcW w:w="3686" w:type="dxa"/>
          </w:tcPr>
          <w:p w14:paraId="4F1A1389" w14:textId="77777777" w:rsidR="00C547A5" w:rsidRPr="00FB05DF" w:rsidRDefault="00C547A5" w:rsidP="00CC0F82">
            <w:pPr>
              <w:rPr>
                <w:szCs w:val="24"/>
              </w:rPr>
            </w:pPr>
            <w:r w:rsidRPr="00FB05DF">
              <w:rPr>
                <w:szCs w:val="24"/>
              </w:rPr>
              <w:t>Franchise (single modules)</w:t>
            </w:r>
          </w:p>
        </w:tc>
        <w:tc>
          <w:tcPr>
            <w:tcW w:w="1082" w:type="dxa"/>
          </w:tcPr>
          <w:p w14:paraId="366C4F94" w14:textId="71CAE6AD" w:rsidR="00C547A5" w:rsidRPr="00FB05DF" w:rsidRDefault="00594826" w:rsidP="00CC0F82">
            <w:pPr>
              <w:jc w:val="center"/>
              <w:rPr>
                <w:szCs w:val="24"/>
              </w:rPr>
            </w:pPr>
            <w:r>
              <w:rPr>
                <w:szCs w:val="24"/>
              </w:rPr>
              <w:t>H</w:t>
            </w:r>
          </w:p>
        </w:tc>
      </w:tr>
      <w:tr w:rsidR="00C547A5" w:rsidRPr="00D3044F" w14:paraId="572DC6CA" w14:textId="77777777" w:rsidTr="00813449">
        <w:trPr>
          <w:tblHeader/>
        </w:trPr>
        <w:tc>
          <w:tcPr>
            <w:tcW w:w="983" w:type="dxa"/>
            <w:tcBorders>
              <w:top w:val="nil"/>
              <w:bottom w:val="nil"/>
            </w:tcBorders>
          </w:tcPr>
          <w:p w14:paraId="4A6D3331" w14:textId="77777777" w:rsidR="00C547A5" w:rsidRPr="00FB05DF" w:rsidRDefault="00C547A5" w:rsidP="00F841B2">
            <w:pPr>
              <w:rPr>
                <w:b/>
                <w:szCs w:val="24"/>
              </w:rPr>
            </w:pPr>
          </w:p>
        </w:tc>
        <w:tc>
          <w:tcPr>
            <w:tcW w:w="1722" w:type="dxa"/>
            <w:vMerge/>
          </w:tcPr>
          <w:p w14:paraId="5A51A9A7" w14:textId="4A659E8B" w:rsidR="00C547A5" w:rsidRPr="00FB05DF" w:rsidRDefault="00C547A5" w:rsidP="00F841B2">
            <w:pPr>
              <w:rPr>
                <w:b/>
                <w:szCs w:val="24"/>
              </w:rPr>
            </w:pPr>
          </w:p>
        </w:tc>
        <w:tc>
          <w:tcPr>
            <w:tcW w:w="1543" w:type="dxa"/>
          </w:tcPr>
          <w:p w14:paraId="09E6571E" w14:textId="77777777" w:rsidR="00C547A5" w:rsidRPr="00FB05DF" w:rsidRDefault="00C547A5" w:rsidP="00F841B2">
            <w:pPr>
              <w:rPr>
                <w:szCs w:val="24"/>
              </w:rPr>
            </w:pPr>
            <w:r w:rsidRPr="00FB05DF">
              <w:rPr>
                <w:szCs w:val="24"/>
              </w:rPr>
              <w:t>F2</w:t>
            </w:r>
          </w:p>
        </w:tc>
        <w:tc>
          <w:tcPr>
            <w:tcW w:w="3686" w:type="dxa"/>
          </w:tcPr>
          <w:p w14:paraId="64A8DF81" w14:textId="77777777" w:rsidR="00C547A5" w:rsidRPr="00FB05DF" w:rsidRDefault="00C547A5" w:rsidP="00CC0F82">
            <w:pPr>
              <w:rPr>
                <w:szCs w:val="24"/>
              </w:rPr>
            </w:pPr>
            <w:r w:rsidRPr="00FB05DF">
              <w:rPr>
                <w:szCs w:val="24"/>
              </w:rPr>
              <w:t>Co-delivery</w:t>
            </w:r>
          </w:p>
        </w:tc>
        <w:tc>
          <w:tcPr>
            <w:tcW w:w="1082" w:type="dxa"/>
          </w:tcPr>
          <w:p w14:paraId="3D934E40" w14:textId="791F45D9" w:rsidR="00C547A5" w:rsidRPr="00FB05DF" w:rsidRDefault="00594826" w:rsidP="00CC0F82">
            <w:pPr>
              <w:jc w:val="center"/>
              <w:rPr>
                <w:szCs w:val="24"/>
              </w:rPr>
            </w:pPr>
            <w:r>
              <w:rPr>
                <w:szCs w:val="24"/>
              </w:rPr>
              <w:t>H</w:t>
            </w:r>
          </w:p>
        </w:tc>
      </w:tr>
      <w:tr w:rsidR="00C547A5" w:rsidRPr="00D3044F" w14:paraId="37B108BF" w14:textId="77777777" w:rsidTr="00813449">
        <w:trPr>
          <w:tblHeader/>
        </w:trPr>
        <w:tc>
          <w:tcPr>
            <w:tcW w:w="983" w:type="dxa"/>
            <w:tcBorders>
              <w:top w:val="nil"/>
              <w:bottom w:val="nil"/>
            </w:tcBorders>
          </w:tcPr>
          <w:p w14:paraId="12300F8C" w14:textId="77777777" w:rsidR="00C547A5" w:rsidRPr="00FB05DF" w:rsidRDefault="00C547A5" w:rsidP="00F841B2">
            <w:pPr>
              <w:rPr>
                <w:b/>
                <w:szCs w:val="24"/>
              </w:rPr>
            </w:pPr>
          </w:p>
        </w:tc>
        <w:tc>
          <w:tcPr>
            <w:tcW w:w="1722" w:type="dxa"/>
            <w:vMerge/>
          </w:tcPr>
          <w:p w14:paraId="58D1315E" w14:textId="77777777" w:rsidR="00C547A5" w:rsidRPr="00FB05DF" w:rsidRDefault="00C547A5" w:rsidP="00F841B2">
            <w:pPr>
              <w:rPr>
                <w:b/>
                <w:szCs w:val="24"/>
              </w:rPr>
            </w:pPr>
          </w:p>
        </w:tc>
        <w:tc>
          <w:tcPr>
            <w:tcW w:w="1543" w:type="dxa"/>
          </w:tcPr>
          <w:p w14:paraId="6C5FD63C" w14:textId="77777777" w:rsidR="00C547A5" w:rsidRPr="00FB05DF" w:rsidRDefault="00C547A5" w:rsidP="00F841B2">
            <w:pPr>
              <w:rPr>
                <w:szCs w:val="24"/>
              </w:rPr>
            </w:pPr>
            <w:r w:rsidRPr="00FB05DF">
              <w:rPr>
                <w:szCs w:val="24"/>
              </w:rPr>
              <w:t>F3</w:t>
            </w:r>
          </w:p>
        </w:tc>
        <w:tc>
          <w:tcPr>
            <w:tcW w:w="3686" w:type="dxa"/>
          </w:tcPr>
          <w:p w14:paraId="33AABC00" w14:textId="77777777" w:rsidR="00C547A5" w:rsidRPr="00FB05DF" w:rsidRDefault="00C547A5" w:rsidP="00CC0F82">
            <w:pPr>
              <w:rPr>
                <w:szCs w:val="24"/>
              </w:rPr>
            </w:pPr>
            <w:r w:rsidRPr="00FB05DF">
              <w:rPr>
                <w:szCs w:val="24"/>
              </w:rPr>
              <w:t>Franchise (whole programmes)</w:t>
            </w:r>
          </w:p>
        </w:tc>
        <w:tc>
          <w:tcPr>
            <w:tcW w:w="1082" w:type="dxa"/>
          </w:tcPr>
          <w:p w14:paraId="37FB1DBF" w14:textId="77777777" w:rsidR="00C547A5" w:rsidRPr="00FB05DF" w:rsidRDefault="00C547A5" w:rsidP="00CC0F82">
            <w:pPr>
              <w:jc w:val="center"/>
              <w:rPr>
                <w:szCs w:val="24"/>
              </w:rPr>
            </w:pPr>
            <w:r w:rsidRPr="00FB05DF">
              <w:rPr>
                <w:szCs w:val="24"/>
              </w:rPr>
              <w:t>H</w:t>
            </w:r>
          </w:p>
        </w:tc>
      </w:tr>
      <w:tr w:rsidR="00C547A5" w:rsidRPr="00D3044F" w14:paraId="221AAD59" w14:textId="77777777" w:rsidTr="00813449">
        <w:trPr>
          <w:tblHeader/>
        </w:trPr>
        <w:tc>
          <w:tcPr>
            <w:tcW w:w="983" w:type="dxa"/>
            <w:tcBorders>
              <w:top w:val="nil"/>
              <w:bottom w:val="nil"/>
            </w:tcBorders>
          </w:tcPr>
          <w:p w14:paraId="1DA9517E" w14:textId="77777777" w:rsidR="00C547A5" w:rsidRPr="00FB05DF" w:rsidRDefault="00C547A5" w:rsidP="00F841B2">
            <w:pPr>
              <w:rPr>
                <w:b/>
                <w:szCs w:val="24"/>
              </w:rPr>
            </w:pPr>
          </w:p>
        </w:tc>
        <w:tc>
          <w:tcPr>
            <w:tcW w:w="1722" w:type="dxa"/>
            <w:vMerge/>
          </w:tcPr>
          <w:p w14:paraId="03A81AE8" w14:textId="77777777" w:rsidR="00C547A5" w:rsidRPr="00FB05DF" w:rsidRDefault="00C547A5" w:rsidP="00F841B2">
            <w:pPr>
              <w:rPr>
                <w:b/>
                <w:szCs w:val="24"/>
              </w:rPr>
            </w:pPr>
          </w:p>
        </w:tc>
        <w:tc>
          <w:tcPr>
            <w:tcW w:w="1543" w:type="dxa"/>
          </w:tcPr>
          <w:p w14:paraId="631CD85F" w14:textId="77777777" w:rsidR="00C547A5" w:rsidRPr="00FB05DF" w:rsidRDefault="00C547A5" w:rsidP="00F841B2">
            <w:pPr>
              <w:rPr>
                <w:szCs w:val="24"/>
              </w:rPr>
            </w:pPr>
            <w:r w:rsidRPr="00FB05DF">
              <w:rPr>
                <w:szCs w:val="24"/>
              </w:rPr>
              <w:t>F4</w:t>
            </w:r>
          </w:p>
        </w:tc>
        <w:tc>
          <w:tcPr>
            <w:tcW w:w="3686" w:type="dxa"/>
          </w:tcPr>
          <w:p w14:paraId="64A5A726" w14:textId="77777777" w:rsidR="00C547A5" w:rsidRPr="00FB05DF" w:rsidRDefault="00C547A5" w:rsidP="00CC0F82">
            <w:pPr>
              <w:rPr>
                <w:szCs w:val="24"/>
              </w:rPr>
            </w:pPr>
            <w:r w:rsidRPr="00FB05DF">
              <w:rPr>
                <w:szCs w:val="24"/>
              </w:rPr>
              <w:t>Validation</w:t>
            </w:r>
          </w:p>
        </w:tc>
        <w:tc>
          <w:tcPr>
            <w:tcW w:w="1082" w:type="dxa"/>
          </w:tcPr>
          <w:p w14:paraId="420A598F" w14:textId="77777777" w:rsidR="00C547A5" w:rsidRPr="00FB05DF" w:rsidRDefault="00C547A5" w:rsidP="00CC0F82">
            <w:pPr>
              <w:jc w:val="center"/>
              <w:rPr>
                <w:szCs w:val="24"/>
              </w:rPr>
            </w:pPr>
            <w:r w:rsidRPr="00FB05DF">
              <w:rPr>
                <w:szCs w:val="24"/>
              </w:rPr>
              <w:t>H</w:t>
            </w:r>
          </w:p>
        </w:tc>
      </w:tr>
      <w:tr w:rsidR="00C547A5" w:rsidRPr="00D3044F" w14:paraId="5444FA83" w14:textId="77777777" w:rsidTr="00813449">
        <w:trPr>
          <w:tblHeader/>
        </w:trPr>
        <w:tc>
          <w:tcPr>
            <w:tcW w:w="983" w:type="dxa"/>
            <w:tcBorders>
              <w:top w:val="nil"/>
              <w:bottom w:val="single" w:sz="4" w:space="0" w:color="auto"/>
            </w:tcBorders>
          </w:tcPr>
          <w:p w14:paraId="74790679" w14:textId="77777777" w:rsidR="00C547A5" w:rsidRPr="00FB05DF" w:rsidRDefault="00C547A5" w:rsidP="00F841B2">
            <w:pPr>
              <w:rPr>
                <w:b/>
                <w:szCs w:val="24"/>
              </w:rPr>
            </w:pPr>
          </w:p>
        </w:tc>
        <w:tc>
          <w:tcPr>
            <w:tcW w:w="1722" w:type="dxa"/>
            <w:vMerge/>
            <w:tcBorders>
              <w:bottom w:val="single" w:sz="4" w:space="0" w:color="auto"/>
            </w:tcBorders>
          </w:tcPr>
          <w:p w14:paraId="61FA334F" w14:textId="77777777" w:rsidR="00C547A5" w:rsidRPr="00FB05DF" w:rsidRDefault="00C547A5" w:rsidP="00F841B2">
            <w:pPr>
              <w:rPr>
                <w:b/>
                <w:szCs w:val="24"/>
              </w:rPr>
            </w:pPr>
          </w:p>
        </w:tc>
        <w:tc>
          <w:tcPr>
            <w:tcW w:w="1543" w:type="dxa"/>
            <w:tcBorders>
              <w:bottom w:val="single" w:sz="4" w:space="0" w:color="auto"/>
            </w:tcBorders>
          </w:tcPr>
          <w:p w14:paraId="568F5881" w14:textId="77777777" w:rsidR="00C547A5" w:rsidRPr="00FB05DF" w:rsidRDefault="00C547A5" w:rsidP="00F841B2">
            <w:pPr>
              <w:rPr>
                <w:szCs w:val="24"/>
              </w:rPr>
            </w:pPr>
            <w:r w:rsidRPr="00FB05DF">
              <w:rPr>
                <w:szCs w:val="24"/>
              </w:rPr>
              <w:t>F5</w:t>
            </w:r>
          </w:p>
        </w:tc>
        <w:tc>
          <w:tcPr>
            <w:tcW w:w="3686" w:type="dxa"/>
            <w:tcBorders>
              <w:bottom w:val="single" w:sz="4" w:space="0" w:color="auto"/>
            </w:tcBorders>
          </w:tcPr>
          <w:p w14:paraId="544341E6" w14:textId="77777777" w:rsidR="00C547A5" w:rsidRPr="00FB05DF" w:rsidRDefault="00C547A5" w:rsidP="00CC0F82">
            <w:pPr>
              <w:rPr>
                <w:szCs w:val="24"/>
              </w:rPr>
            </w:pPr>
            <w:r w:rsidRPr="00FB05DF">
              <w:rPr>
                <w:szCs w:val="24"/>
              </w:rPr>
              <w:t xml:space="preserve">Joint awards </w:t>
            </w:r>
          </w:p>
        </w:tc>
        <w:tc>
          <w:tcPr>
            <w:tcW w:w="1082" w:type="dxa"/>
          </w:tcPr>
          <w:p w14:paraId="33440A1E" w14:textId="77777777" w:rsidR="00C547A5" w:rsidRPr="00FB05DF" w:rsidRDefault="00C547A5" w:rsidP="00CC0F82">
            <w:pPr>
              <w:jc w:val="center"/>
              <w:rPr>
                <w:szCs w:val="24"/>
              </w:rPr>
            </w:pPr>
            <w:r w:rsidRPr="00FB05DF">
              <w:rPr>
                <w:szCs w:val="24"/>
              </w:rPr>
              <w:t>H</w:t>
            </w:r>
          </w:p>
        </w:tc>
      </w:tr>
    </w:tbl>
    <w:p w14:paraId="33EAE37D" w14:textId="77777777" w:rsidR="00281724" w:rsidRDefault="00281724">
      <w:pPr>
        <w:spacing w:line="276" w:lineRule="auto"/>
      </w:pPr>
    </w:p>
    <w:p w14:paraId="2826B9F9" w14:textId="05276360" w:rsidR="002E60F8" w:rsidRDefault="00281724">
      <w:pPr>
        <w:spacing w:line="276" w:lineRule="auto"/>
        <w:rPr>
          <w:rFonts w:eastAsiaTheme="majorEastAsia" w:cstheme="majorBidi"/>
          <w:b/>
          <w:color w:val="000000" w:themeColor="text1"/>
          <w:sz w:val="32"/>
          <w:szCs w:val="32"/>
        </w:rPr>
      </w:pPr>
      <w:r w:rsidRPr="00D3044F">
        <w:t>Modules or programmes delivered under a</w:t>
      </w:r>
      <w:r>
        <w:t xml:space="preserve"> </w:t>
      </w:r>
      <w:r w:rsidRPr="00D3044F">
        <w:rPr>
          <w:b/>
        </w:rPr>
        <w:t xml:space="preserve">franchise </w:t>
      </w:r>
      <w:r w:rsidRPr="00D3044F">
        <w:t xml:space="preserve">arrangement </w:t>
      </w:r>
      <w:r>
        <w:t xml:space="preserve">(categories F1 or F3) </w:t>
      </w:r>
      <w:r w:rsidRPr="00D3044F">
        <w:t xml:space="preserve">are developed by the University for delivery wholly by a partner organisation. Modules or programmes within a </w:t>
      </w:r>
      <w:r w:rsidRPr="00D3044F">
        <w:rPr>
          <w:b/>
        </w:rPr>
        <w:t xml:space="preserve">co-delivery </w:t>
      </w:r>
      <w:r w:rsidRPr="00D3044F">
        <w:t xml:space="preserve">arrangement </w:t>
      </w:r>
      <w:r>
        <w:t xml:space="preserve">(F2) </w:t>
      </w:r>
      <w:r w:rsidRPr="00D3044F">
        <w:t xml:space="preserve">are developed by the University for joint delivery by the University and a partner organisation. Modules or programmes within a </w:t>
      </w:r>
      <w:r w:rsidRPr="00D3044F">
        <w:rPr>
          <w:b/>
        </w:rPr>
        <w:t xml:space="preserve">validation </w:t>
      </w:r>
      <w:r w:rsidRPr="00D3044F">
        <w:t xml:space="preserve">arrangement </w:t>
      </w:r>
      <w:r>
        <w:t xml:space="preserve">(F4) </w:t>
      </w:r>
      <w:r w:rsidRPr="00D3044F">
        <w:t>are developed and delivered wholly by a partner organisation but validated by the University, leading to the award of EHU credit and/ or qualifications</w:t>
      </w:r>
      <w:r w:rsidR="002E60F8">
        <w:br w:type="page"/>
      </w:r>
    </w:p>
    <w:p w14:paraId="5286B28A" w14:textId="371E8024" w:rsidR="00074F13" w:rsidRPr="00D3044F" w:rsidRDefault="00A8744D" w:rsidP="00074F13">
      <w:pPr>
        <w:pStyle w:val="Heading1"/>
      </w:pPr>
      <w:bookmarkStart w:id="7" w:name="_Toc183094935"/>
      <w:r>
        <w:lastRenderedPageBreak/>
        <w:t>ROLES AND RESPONSIBILITIES</w:t>
      </w:r>
      <w:bookmarkEnd w:id="7"/>
    </w:p>
    <w:p w14:paraId="77C67209" w14:textId="77777777" w:rsidR="00BC75E0" w:rsidRDefault="00074F13" w:rsidP="00BC75E0">
      <w:pPr>
        <w:contextualSpacing/>
        <w:jc w:val="both"/>
      </w:pPr>
      <w:r w:rsidRPr="00D3044F">
        <w:t xml:space="preserve">This section provides an overview of the roles and responsibilities related to the development and support of Academic Partnerships. </w:t>
      </w:r>
      <w:r w:rsidRPr="00281724">
        <w:rPr>
          <w:b/>
          <w:bCs/>
        </w:rPr>
        <w:t>Primary responsibility for partnerships resides with the relevant Faculties</w:t>
      </w:r>
      <w:r w:rsidRPr="00D3044F">
        <w:t>, with expert input from other areas of the University as detailed below.</w:t>
      </w:r>
    </w:p>
    <w:p w14:paraId="2C56A131" w14:textId="77777777" w:rsidR="00BC75E0" w:rsidRDefault="00BC75E0" w:rsidP="00BC75E0">
      <w:pPr>
        <w:contextualSpacing/>
        <w:jc w:val="both"/>
        <w:rPr>
          <w:szCs w:val="20"/>
        </w:rPr>
      </w:pPr>
    </w:p>
    <w:p w14:paraId="7C92E3BF" w14:textId="1311C8F2" w:rsidR="00074F13" w:rsidRPr="00BC75E0" w:rsidRDefault="00074F13" w:rsidP="00BC75E0">
      <w:pPr>
        <w:contextualSpacing/>
        <w:jc w:val="both"/>
        <w:rPr>
          <w:b/>
          <w:bCs/>
        </w:rPr>
      </w:pPr>
      <w:r w:rsidRPr="00BC75E0">
        <w:rPr>
          <w:b/>
          <w:bCs/>
          <w:sz w:val="20"/>
          <w:szCs w:val="20"/>
        </w:rPr>
        <w:t>Table 2: Roles and responsibilities by partnership category</w:t>
      </w:r>
    </w:p>
    <w:tbl>
      <w:tblPr>
        <w:tblStyle w:val="TableGrid"/>
        <w:tblW w:w="0" w:type="auto"/>
        <w:tblLook w:val="04A0" w:firstRow="1" w:lastRow="0" w:firstColumn="1" w:lastColumn="0" w:noHBand="0" w:noVBand="1"/>
      </w:tblPr>
      <w:tblGrid>
        <w:gridCol w:w="988"/>
        <w:gridCol w:w="1559"/>
        <w:gridCol w:w="850"/>
        <w:gridCol w:w="3402"/>
        <w:gridCol w:w="2217"/>
      </w:tblGrid>
      <w:tr w:rsidR="00074F13" w:rsidRPr="00D3044F" w14:paraId="0AB47E2F" w14:textId="77777777" w:rsidTr="00281724">
        <w:trPr>
          <w:trHeight w:val="558"/>
          <w:tblHeader/>
        </w:trPr>
        <w:tc>
          <w:tcPr>
            <w:tcW w:w="2547" w:type="dxa"/>
            <w:gridSpan w:val="2"/>
          </w:tcPr>
          <w:p w14:paraId="2A3804C2" w14:textId="77777777" w:rsidR="00074F13" w:rsidRPr="00D3044F" w:rsidRDefault="00074F13" w:rsidP="00A005A2">
            <w:pPr>
              <w:rPr>
                <w:b/>
              </w:rPr>
            </w:pPr>
            <w:r w:rsidRPr="00D3044F">
              <w:rPr>
                <w:b/>
              </w:rPr>
              <w:t>Category</w:t>
            </w:r>
          </w:p>
        </w:tc>
        <w:tc>
          <w:tcPr>
            <w:tcW w:w="4252" w:type="dxa"/>
            <w:gridSpan w:val="2"/>
          </w:tcPr>
          <w:p w14:paraId="421B4F62" w14:textId="77777777" w:rsidR="00074F13" w:rsidRPr="00D3044F" w:rsidRDefault="00074F13" w:rsidP="00A005A2">
            <w:pPr>
              <w:rPr>
                <w:b/>
              </w:rPr>
            </w:pPr>
            <w:r w:rsidRPr="00D3044F">
              <w:rPr>
                <w:b/>
              </w:rPr>
              <w:t>Sub-category</w:t>
            </w:r>
          </w:p>
        </w:tc>
        <w:tc>
          <w:tcPr>
            <w:tcW w:w="2217" w:type="dxa"/>
          </w:tcPr>
          <w:p w14:paraId="2CC13254" w14:textId="77777777" w:rsidR="00074F13" w:rsidRPr="00D3044F" w:rsidRDefault="00074F13" w:rsidP="00A005A2">
            <w:pPr>
              <w:rPr>
                <w:b/>
              </w:rPr>
            </w:pPr>
            <w:r w:rsidRPr="00D3044F">
              <w:rPr>
                <w:b/>
              </w:rPr>
              <w:t>Responsible Area(s)</w:t>
            </w:r>
          </w:p>
        </w:tc>
      </w:tr>
      <w:tr w:rsidR="00B16BC8" w:rsidRPr="00D3044F" w14:paraId="63ACD10E" w14:textId="77777777" w:rsidTr="00281724">
        <w:trPr>
          <w:tblHeader/>
        </w:trPr>
        <w:tc>
          <w:tcPr>
            <w:tcW w:w="988" w:type="dxa"/>
            <w:vMerge w:val="restart"/>
          </w:tcPr>
          <w:p w14:paraId="4959975B" w14:textId="77777777" w:rsidR="00B16BC8" w:rsidRPr="00253F0B" w:rsidRDefault="00B16BC8" w:rsidP="00A005A2">
            <w:pPr>
              <w:rPr>
                <w:b/>
                <w:sz w:val="22"/>
              </w:rPr>
            </w:pPr>
            <w:r w:rsidRPr="00253F0B">
              <w:rPr>
                <w:b/>
                <w:sz w:val="22"/>
              </w:rPr>
              <w:t>A</w:t>
            </w:r>
          </w:p>
        </w:tc>
        <w:tc>
          <w:tcPr>
            <w:tcW w:w="1559" w:type="dxa"/>
            <w:vMerge w:val="restart"/>
          </w:tcPr>
          <w:p w14:paraId="0D106670" w14:textId="77777777" w:rsidR="00B16BC8" w:rsidRPr="00253F0B" w:rsidRDefault="00B16BC8" w:rsidP="00A005A2">
            <w:pPr>
              <w:rPr>
                <w:b/>
                <w:sz w:val="22"/>
              </w:rPr>
            </w:pPr>
            <w:r w:rsidRPr="00253F0B">
              <w:rPr>
                <w:b/>
                <w:sz w:val="22"/>
              </w:rPr>
              <w:t>Placements and Study Abroad</w:t>
            </w:r>
          </w:p>
        </w:tc>
        <w:tc>
          <w:tcPr>
            <w:tcW w:w="850" w:type="dxa"/>
          </w:tcPr>
          <w:p w14:paraId="49368B23" w14:textId="77777777" w:rsidR="00B16BC8" w:rsidRPr="00253F0B" w:rsidRDefault="00B16BC8" w:rsidP="00A005A2">
            <w:pPr>
              <w:rPr>
                <w:sz w:val="22"/>
              </w:rPr>
            </w:pPr>
            <w:r w:rsidRPr="00253F0B">
              <w:rPr>
                <w:sz w:val="22"/>
              </w:rPr>
              <w:t>A1</w:t>
            </w:r>
          </w:p>
        </w:tc>
        <w:tc>
          <w:tcPr>
            <w:tcW w:w="3402" w:type="dxa"/>
          </w:tcPr>
          <w:p w14:paraId="4C849D3F" w14:textId="77777777" w:rsidR="00B16BC8" w:rsidRPr="00253F0B" w:rsidRDefault="00B16BC8" w:rsidP="00A005A2">
            <w:pPr>
              <w:rPr>
                <w:sz w:val="22"/>
              </w:rPr>
            </w:pPr>
            <w:r w:rsidRPr="00253F0B">
              <w:rPr>
                <w:sz w:val="22"/>
              </w:rPr>
              <w:t>School-based training and other placements (ex. clinical) (UK)</w:t>
            </w:r>
          </w:p>
        </w:tc>
        <w:tc>
          <w:tcPr>
            <w:tcW w:w="2217" w:type="dxa"/>
          </w:tcPr>
          <w:p w14:paraId="16916A6F" w14:textId="77777777" w:rsidR="00B16BC8" w:rsidRPr="00253F0B" w:rsidRDefault="00B16BC8" w:rsidP="00A005A2">
            <w:pPr>
              <w:jc w:val="center"/>
              <w:rPr>
                <w:sz w:val="22"/>
              </w:rPr>
            </w:pPr>
            <w:r w:rsidRPr="00253F0B">
              <w:rPr>
                <w:sz w:val="22"/>
              </w:rPr>
              <w:t>Faculties</w:t>
            </w:r>
          </w:p>
        </w:tc>
      </w:tr>
      <w:tr w:rsidR="00B16BC8" w:rsidRPr="00D3044F" w14:paraId="64C66243" w14:textId="77777777" w:rsidTr="00281724">
        <w:trPr>
          <w:tblHeader/>
        </w:trPr>
        <w:tc>
          <w:tcPr>
            <w:tcW w:w="988" w:type="dxa"/>
            <w:vMerge/>
          </w:tcPr>
          <w:p w14:paraId="3FA080B7" w14:textId="77777777" w:rsidR="00B16BC8" w:rsidRPr="00253F0B" w:rsidRDefault="00B16BC8" w:rsidP="00A005A2">
            <w:pPr>
              <w:rPr>
                <w:b/>
                <w:sz w:val="22"/>
              </w:rPr>
            </w:pPr>
          </w:p>
        </w:tc>
        <w:tc>
          <w:tcPr>
            <w:tcW w:w="1559" w:type="dxa"/>
            <w:vMerge/>
          </w:tcPr>
          <w:p w14:paraId="0B76C4D3" w14:textId="77777777" w:rsidR="00B16BC8" w:rsidRPr="00253F0B" w:rsidRDefault="00B16BC8" w:rsidP="00A005A2">
            <w:pPr>
              <w:rPr>
                <w:b/>
                <w:sz w:val="22"/>
              </w:rPr>
            </w:pPr>
          </w:p>
        </w:tc>
        <w:tc>
          <w:tcPr>
            <w:tcW w:w="850" w:type="dxa"/>
          </w:tcPr>
          <w:p w14:paraId="66698C0C" w14:textId="77777777" w:rsidR="00B16BC8" w:rsidRPr="00253F0B" w:rsidRDefault="00B16BC8" w:rsidP="00A005A2">
            <w:pPr>
              <w:rPr>
                <w:sz w:val="22"/>
              </w:rPr>
            </w:pPr>
            <w:r w:rsidRPr="00253F0B">
              <w:rPr>
                <w:sz w:val="22"/>
              </w:rPr>
              <w:t>A3</w:t>
            </w:r>
          </w:p>
        </w:tc>
        <w:tc>
          <w:tcPr>
            <w:tcW w:w="3402" w:type="dxa"/>
          </w:tcPr>
          <w:p w14:paraId="7A2E8771" w14:textId="77777777" w:rsidR="00B16BC8" w:rsidRPr="00253F0B" w:rsidRDefault="00B16BC8" w:rsidP="00A005A2">
            <w:pPr>
              <w:rPr>
                <w:sz w:val="22"/>
              </w:rPr>
            </w:pPr>
            <w:r w:rsidRPr="00253F0B">
              <w:rPr>
                <w:sz w:val="22"/>
              </w:rPr>
              <w:t>Study Abroad and work placements (Overseas)</w:t>
            </w:r>
          </w:p>
        </w:tc>
        <w:tc>
          <w:tcPr>
            <w:tcW w:w="2217" w:type="dxa"/>
          </w:tcPr>
          <w:p w14:paraId="660EE725" w14:textId="0F4355B3" w:rsidR="00B16BC8" w:rsidRPr="00253F0B" w:rsidRDefault="00B16BC8" w:rsidP="00A005A2">
            <w:pPr>
              <w:jc w:val="center"/>
              <w:rPr>
                <w:sz w:val="22"/>
              </w:rPr>
            </w:pPr>
            <w:r w:rsidRPr="00253F0B">
              <w:rPr>
                <w:sz w:val="22"/>
              </w:rPr>
              <w:t>International Office</w:t>
            </w:r>
            <w:r>
              <w:rPr>
                <w:sz w:val="22"/>
              </w:rPr>
              <w:t xml:space="preserve"> / Faculties</w:t>
            </w:r>
          </w:p>
        </w:tc>
      </w:tr>
      <w:tr w:rsidR="00B16BC8" w:rsidRPr="00D3044F" w14:paraId="1D478459" w14:textId="77777777" w:rsidTr="00281724">
        <w:trPr>
          <w:tblHeader/>
        </w:trPr>
        <w:tc>
          <w:tcPr>
            <w:tcW w:w="988" w:type="dxa"/>
            <w:vMerge/>
          </w:tcPr>
          <w:p w14:paraId="29B48CCB" w14:textId="77777777" w:rsidR="00B16BC8" w:rsidRPr="00253F0B" w:rsidRDefault="00B16BC8" w:rsidP="00A005A2">
            <w:pPr>
              <w:rPr>
                <w:b/>
                <w:sz w:val="22"/>
              </w:rPr>
            </w:pPr>
          </w:p>
        </w:tc>
        <w:tc>
          <w:tcPr>
            <w:tcW w:w="1559" w:type="dxa"/>
            <w:vMerge/>
          </w:tcPr>
          <w:p w14:paraId="0E8A032B" w14:textId="77777777" w:rsidR="00B16BC8" w:rsidRPr="00253F0B" w:rsidRDefault="00B16BC8" w:rsidP="00A005A2">
            <w:pPr>
              <w:rPr>
                <w:b/>
                <w:sz w:val="22"/>
              </w:rPr>
            </w:pPr>
          </w:p>
        </w:tc>
        <w:tc>
          <w:tcPr>
            <w:tcW w:w="850" w:type="dxa"/>
          </w:tcPr>
          <w:p w14:paraId="5FA83DAB" w14:textId="77777777" w:rsidR="00B16BC8" w:rsidRPr="00253F0B" w:rsidRDefault="00B16BC8" w:rsidP="00A005A2">
            <w:pPr>
              <w:rPr>
                <w:sz w:val="22"/>
              </w:rPr>
            </w:pPr>
            <w:r w:rsidRPr="00253F0B">
              <w:rPr>
                <w:sz w:val="22"/>
              </w:rPr>
              <w:t>A4</w:t>
            </w:r>
          </w:p>
        </w:tc>
        <w:tc>
          <w:tcPr>
            <w:tcW w:w="3402" w:type="dxa"/>
          </w:tcPr>
          <w:p w14:paraId="5452BA0A" w14:textId="77777777" w:rsidR="00B16BC8" w:rsidRPr="00253F0B" w:rsidRDefault="00B16BC8" w:rsidP="00A005A2">
            <w:pPr>
              <w:rPr>
                <w:sz w:val="22"/>
              </w:rPr>
            </w:pPr>
            <w:r w:rsidRPr="00253F0B">
              <w:rPr>
                <w:sz w:val="22"/>
              </w:rPr>
              <w:t>Clinical placements (UK)</w:t>
            </w:r>
          </w:p>
        </w:tc>
        <w:tc>
          <w:tcPr>
            <w:tcW w:w="2217" w:type="dxa"/>
          </w:tcPr>
          <w:p w14:paraId="04B7E136" w14:textId="77777777" w:rsidR="00B16BC8" w:rsidRPr="00253F0B" w:rsidRDefault="00B16BC8" w:rsidP="00A005A2">
            <w:pPr>
              <w:jc w:val="center"/>
              <w:rPr>
                <w:sz w:val="22"/>
              </w:rPr>
            </w:pPr>
            <w:r w:rsidRPr="00253F0B">
              <w:rPr>
                <w:sz w:val="22"/>
              </w:rPr>
              <w:t>Faculties</w:t>
            </w:r>
          </w:p>
        </w:tc>
      </w:tr>
      <w:tr w:rsidR="00B16BC8" w:rsidRPr="00D3044F" w14:paraId="70D02ABC" w14:textId="77777777" w:rsidTr="00281724">
        <w:trPr>
          <w:tblHeader/>
        </w:trPr>
        <w:tc>
          <w:tcPr>
            <w:tcW w:w="988" w:type="dxa"/>
            <w:vMerge/>
          </w:tcPr>
          <w:p w14:paraId="5BAD18DB" w14:textId="77777777" w:rsidR="00B16BC8" w:rsidRPr="00253F0B" w:rsidRDefault="00B16BC8" w:rsidP="00A005A2">
            <w:pPr>
              <w:rPr>
                <w:b/>
                <w:sz w:val="22"/>
              </w:rPr>
            </w:pPr>
          </w:p>
        </w:tc>
        <w:tc>
          <w:tcPr>
            <w:tcW w:w="1559" w:type="dxa"/>
            <w:vMerge/>
          </w:tcPr>
          <w:p w14:paraId="1A9F7130" w14:textId="77777777" w:rsidR="00B16BC8" w:rsidRPr="00253F0B" w:rsidRDefault="00B16BC8" w:rsidP="00A005A2">
            <w:pPr>
              <w:rPr>
                <w:b/>
                <w:sz w:val="22"/>
              </w:rPr>
            </w:pPr>
          </w:p>
        </w:tc>
        <w:tc>
          <w:tcPr>
            <w:tcW w:w="850" w:type="dxa"/>
          </w:tcPr>
          <w:p w14:paraId="71C5F9EE" w14:textId="77777777" w:rsidR="00B16BC8" w:rsidRPr="00253F0B" w:rsidRDefault="00B16BC8" w:rsidP="00A005A2">
            <w:pPr>
              <w:rPr>
                <w:sz w:val="22"/>
              </w:rPr>
            </w:pPr>
            <w:r w:rsidRPr="00253F0B">
              <w:rPr>
                <w:sz w:val="22"/>
              </w:rPr>
              <w:t>A5</w:t>
            </w:r>
          </w:p>
        </w:tc>
        <w:tc>
          <w:tcPr>
            <w:tcW w:w="3402" w:type="dxa"/>
          </w:tcPr>
          <w:p w14:paraId="531201D7" w14:textId="77777777" w:rsidR="00B16BC8" w:rsidRPr="00253F0B" w:rsidRDefault="00B16BC8" w:rsidP="00A005A2">
            <w:pPr>
              <w:rPr>
                <w:sz w:val="22"/>
              </w:rPr>
            </w:pPr>
            <w:bookmarkStart w:id="8" w:name="_Hlk182924067"/>
            <w:r w:rsidRPr="00253F0B">
              <w:rPr>
                <w:bCs/>
                <w:sz w:val="22"/>
              </w:rPr>
              <w:t>Higher and Degree Apprenticeships</w:t>
            </w:r>
            <w:bookmarkEnd w:id="8"/>
          </w:p>
        </w:tc>
        <w:tc>
          <w:tcPr>
            <w:tcW w:w="2217" w:type="dxa"/>
          </w:tcPr>
          <w:p w14:paraId="74DD81F9" w14:textId="77777777" w:rsidR="00B16BC8" w:rsidRPr="00253F0B" w:rsidRDefault="00B16BC8" w:rsidP="00A005A2">
            <w:pPr>
              <w:jc w:val="center"/>
              <w:rPr>
                <w:sz w:val="22"/>
              </w:rPr>
            </w:pPr>
            <w:r w:rsidRPr="00253F0B">
              <w:rPr>
                <w:sz w:val="22"/>
              </w:rPr>
              <w:t>Faculties / Compliance Team</w:t>
            </w:r>
          </w:p>
        </w:tc>
      </w:tr>
      <w:tr w:rsidR="00B16BC8" w:rsidRPr="00D3044F" w14:paraId="2C758C00" w14:textId="77777777" w:rsidTr="00281724">
        <w:trPr>
          <w:tblHeader/>
        </w:trPr>
        <w:tc>
          <w:tcPr>
            <w:tcW w:w="988" w:type="dxa"/>
            <w:vMerge/>
          </w:tcPr>
          <w:p w14:paraId="735A0E76" w14:textId="77777777" w:rsidR="00B16BC8" w:rsidRPr="00253F0B" w:rsidRDefault="00B16BC8" w:rsidP="00A005A2">
            <w:pPr>
              <w:rPr>
                <w:b/>
                <w:sz w:val="22"/>
              </w:rPr>
            </w:pPr>
          </w:p>
        </w:tc>
        <w:tc>
          <w:tcPr>
            <w:tcW w:w="1559" w:type="dxa"/>
            <w:vMerge/>
          </w:tcPr>
          <w:p w14:paraId="60E9C96A" w14:textId="77777777" w:rsidR="00B16BC8" w:rsidRPr="00253F0B" w:rsidRDefault="00B16BC8" w:rsidP="00A005A2">
            <w:pPr>
              <w:rPr>
                <w:b/>
                <w:sz w:val="22"/>
              </w:rPr>
            </w:pPr>
          </w:p>
        </w:tc>
        <w:tc>
          <w:tcPr>
            <w:tcW w:w="850" w:type="dxa"/>
          </w:tcPr>
          <w:p w14:paraId="03E0CDCA" w14:textId="1214A6FE" w:rsidR="00B16BC8" w:rsidRPr="00253F0B" w:rsidRDefault="00B16BC8" w:rsidP="00A005A2">
            <w:pPr>
              <w:rPr>
                <w:sz w:val="22"/>
              </w:rPr>
            </w:pPr>
            <w:r>
              <w:rPr>
                <w:sz w:val="22"/>
              </w:rPr>
              <w:t>A6</w:t>
            </w:r>
          </w:p>
        </w:tc>
        <w:tc>
          <w:tcPr>
            <w:tcW w:w="3402" w:type="dxa"/>
          </w:tcPr>
          <w:p w14:paraId="62436F89" w14:textId="5DAE6E7D" w:rsidR="00B16BC8" w:rsidRPr="00B16BC8" w:rsidRDefault="00B16BC8" w:rsidP="00A005A2">
            <w:pPr>
              <w:rPr>
                <w:sz w:val="22"/>
              </w:rPr>
            </w:pPr>
            <w:r w:rsidRPr="002E60F8">
              <w:rPr>
                <w:color w:val="000000" w:themeColor="text1"/>
              </w:rPr>
              <w:t>PGCE with Lead Partners</w:t>
            </w:r>
          </w:p>
        </w:tc>
        <w:tc>
          <w:tcPr>
            <w:tcW w:w="2217" w:type="dxa"/>
          </w:tcPr>
          <w:p w14:paraId="501ABA9A" w14:textId="0A4790BF" w:rsidR="00B16BC8" w:rsidRPr="00253F0B" w:rsidRDefault="00B16BC8" w:rsidP="00A005A2">
            <w:pPr>
              <w:jc w:val="center"/>
              <w:rPr>
                <w:sz w:val="22"/>
              </w:rPr>
            </w:pPr>
            <w:r>
              <w:rPr>
                <w:sz w:val="22"/>
              </w:rPr>
              <w:t>Faculties</w:t>
            </w:r>
          </w:p>
        </w:tc>
      </w:tr>
      <w:tr w:rsidR="00074F13" w:rsidRPr="00D3044F" w14:paraId="03D1AF4D" w14:textId="77777777" w:rsidTr="00281724">
        <w:trPr>
          <w:tblHeader/>
        </w:trPr>
        <w:tc>
          <w:tcPr>
            <w:tcW w:w="988" w:type="dxa"/>
            <w:vMerge w:val="restart"/>
          </w:tcPr>
          <w:p w14:paraId="7D04631B" w14:textId="77777777" w:rsidR="00074F13" w:rsidRPr="00253F0B" w:rsidRDefault="00074F13" w:rsidP="00A005A2">
            <w:pPr>
              <w:rPr>
                <w:b/>
                <w:sz w:val="22"/>
              </w:rPr>
            </w:pPr>
            <w:r w:rsidRPr="00253F0B">
              <w:rPr>
                <w:b/>
                <w:sz w:val="22"/>
              </w:rPr>
              <w:t>B</w:t>
            </w:r>
          </w:p>
        </w:tc>
        <w:tc>
          <w:tcPr>
            <w:tcW w:w="1559" w:type="dxa"/>
            <w:vMerge w:val="restart"/>
          </w:tcPr>
          <w:p w14:paraId="2C5B09E8" w14:textId="77777777" w:rsidR="00074F13" w:rsidRPr="00253F0B" w:rsidRDefault="00074F13" w:rsidP="00A005A2">
            <w:pPr>
              <w:rPr>
                <w:b/>
                <w:sz w:val="22"/>
              </w:rPr>
            </w:pPr>
            <w:r w:rsidRPr="00253F0B">
              <w:rPr>
                <w:b/>
                <w:sz w:val="22"/>
              </w:rPr>
              <w:t>Outreach Learning Venues</w:t>
            </w:r>
          </w:p>
        </w:tc>
        <w:tc>
          <w:tcPr>
            <w:tcW w:w="850" w:type="dxa"/>
          </w:tcPr>
          <w:p w14:paraId="3B97CFF0" w14:textId="77777777" w:rsidR="00074F13" w:rsidRPr="00253F0B" w:rsidRDefault="00074F13" w:rsidP="00A005A2">
            <w:pPr>
              <w:rPr>
                <w:sz w:val="22"/>
              </w:rPr>
            </w:pPr>
            <w:r w:rsidRPr="00253F0B">
              <w:rPr>
                <w:sz w:val="22"/>
              </w:rPr>
              <w:t>B1</w:t>
            </w:r>
          </w:p>
        </w:tc>
        <w:tc>
          <w:tcPr>
            <w:tcW w:w="3402" w:type="dxa"/>
          </w:tcPr>
          <w:p w14:paraId="4A110F0A" w14:textId="77777777" w:rsidR="00074F13" w:rsidRPr="00253F0B" w:rsidRDefault="00074F13" w:rsidP="00A005A2">
            <w:pPr>
              <w:rPr>
                <w:sz w:val="22"/>
              </w:rPr>
            </w:pPr>
            <w:r w:rsidRPr="00253F0B">
              <w:rPr>
                <w:sz w:val="22"/>
              </w:rPr>
              <w:t>Outreach Learning Venues (UK)</w:t>
            </w:r>
          </w:p>
        </w:tc>
        <w:tc>
          <w:tcPr>
            <w:tcW w:w="2217" w:type="dxa"/>
          </w:tcPr>
          <w:p w14:paraId="0B7ADF35" w14:textId="77777777" w:rsidR="00074F13" w:rsidRPr="00253F0B" w:rsidRDefault="00074F13" w:rsidP="00A005A2">
            <w:pPr>
              <w:jc w:val="center"/>
              <w:rPr>
                <w:sz w:val="22"/>
              </w:rPr>
            </w:pPr>
            <w:r w:rsidRPr="00253F0B">
              <w:rPr>
                <w:sz w:val="22"/>
              </w:rPr>
              <w:t>Faculties</w:t>
            </w:r>
          </w:p>
        </w:tc>
      </w:tr>
      <w:tr w:rsidR="00074F13" w:rsidRPr="00D3044F" w14:paraId="09319300" w14:textId="77777777" w:rsidTr="00281724">
        <w:trPr>
          <w:tblHeader/>
        </w:trPr>
        <w:tc>
          <w:tcPr>
            <w:tcW w:w="988" w:type="dxa"/>
            <w:vMerge/>
          </w:tcPr>
          <w:p w14:paraId="1E3ED58C" w14:textId="77777777" w:rsidR="00074F13" w:rsidRPr="00253F0B" w:rsidRDefault="00074F13" w:rsidP="00A005A2">
            <w:pPr>
              <w:rPr>
                <w:b/>
                <w:sz w:val="22"/>
              </w:rPr>
            </w:pPr>
          </w:p>
        </w:tc>
        <w:tc>
          <w:tcPr>
            <w:tcW w:w="1559" w:type="dxa"/>
            <w:vMerge/>
          </w:tcPr>
          <w:p w14:paraId="6B9314A7" w14:textId="77777777" w:rsidR="00074F13" w:rsidRPr="00253F0B" w:rsidRDefault="00074F13" w:rsidP="00A005A2">
            <w:pPr>
              <w:rPr>
                <w:b/>
                <w:sz w:val="22"/>
              </w:rPr>
            </w:pPr>
          </w:p>
        </w:tc>
        <w:tc>
          <w:tcPr>
            <w:tcW w:w="850" w:type="dxa"/>
          </w:tcPr>
          <w:p w14:paraId="048C3EBC" w14:textId="77777777" w:rsidR="00074F13" w:rsidRPr="00253F0B" w:rsidRDefault="00074F13" w:rsidP="00A005A2">
            <w:pPr>
              <w:rPr>
                <w:sz w:val="22"/>
              </w:rPr>
            </w:pPr>
            <w:r w:rsidRPr="00253F0B">
              <w:rPr>
                <w:sz w:val="22"/>
              </w:rPr>
              <w:t>B2</w:t>
            </w:r>
          </w:p>
        </w:tc>
        <w:tc>
          <w:tcPr>
            <w:tcW w:w="3402" w:type="dxa"/>
          </w:tcPr>
          <w:p w14:paraId="134F73B6" w14:textId="77777777" w:rsidR="00074F13" w:rsidRPr="00253F0B" w:rsidRDefault="00074F13" w:rsidP="00A005A2">
            <w:pPr>
              <w:rPr>
                <w:sz w:val="22"/>
              </w:rPr>
            </w:pPr>
            <w:r w:rsidRPr="00253F0B">
              <w:rPr>
                <w:sz w:val="22"/>
              </w:rPr>
              <w:t>School-Centred Initial Teacher Training (SCITT) venues</w:t>
            </w:r>
          </w:p>
        </w:tc>
        <w:tc>
          <w:tcPr>
            <w:tcW w:w="2217" w:type="dxa"/>
          </w:tcPr>
          <w:p w14:paraId="6A16D68B" w14:textId="77777777" w:rsidR="00074F13" w:rsidRPr="00253F0B" w:rsidRDefault="00074F13" w:rsidP="00A005A2">
            <w:pPr>
              <w:jc w:val="center"/>
              <w:rPr>
                <w:sz w:val="22"/>
              </w:rPr>
            </w:pPr>
            <w:r w:rsidRPr="00253F0B">
              <w:rPr>
                <w:sz w:val="22"/>
              </w:rPr>
              <w:t>Faculties</w:t>
            </w:r>
          </w:p>
        </w:tc>
      </w:tr>
      <w:tr w:rsidR="00074F13" w:rsidRPr="00D3044F" w14:paraId="202DCC59" w14:textId="77777777" w:rsidTr="00281724">
        <w:trPr>
          <w:tblHeader/>
        </w:trPr>
        <w:tc>
          <w:tcPr>
            <w:tcW w:w="988" w:type="dxa"/>
            <w:vMerge/>
          </w:tcPr>
          <w:p w14:paraId="4DE12E2E" w14:textId="77777777" w:rsidR="00074F13" w:rsidRPr="00253F0B" w:rsidRDefault="00074F13" w:rsidP="00A005A2">
            <w:pPr>
              <w:rPr>
                <w:b/>
                <w:sz w:val="22"/>
              </w:rPr>
            </w:pPr>
          </w:p>
        </w:tc>
        <w:tc>
          <w:tcPr>
            <w:tcW w:w="1559" w:type="dxa"/>
            <w:vMerge/>
          </w:tcPr>
          <w:p w14:paraId="52B589FB" w14:textId="77777777" w:rsidR="00074F13" w:rsidRPr="00253F0B" w:rsidRDefault="00074F13" w:rsidP="00A005A2">
            <w:pPr>
              <w:rPr>
                <w:b/>
                <w:sz w:val="22"/>
              </w:rPr>
            </w:pPr>
          </w:p>
        </w:tc>
        <w:tc>
          <w:tcPr>
            <w:tcW w:w="850" w:type="dxa"/>
          </w:tcPr>
          <w:p w14:paraId="197B31E9" w14:textId="77777777" w:rsidR="00074F13" w:rsidRPr="00253F0B" w:rsidRDefault="00074F13" w:rsidP="00A005A2">
            <w:pPr>
              <w:rPr>
                <w:sz w:val="22"/>
              </w:rPr>
            </w:pPr>
            <w:r w:rsidRPr="00253F0B">
              <w:rPr>
                <w:sz w:val="22"/>
              </w:rPr>
              <w:t>B3</w:t>
            </w:r>
          </w:p>
        </w:tc>
        <w:tc>
          <w:tcPr>
            <w:tcW w:w="3402" w:type="dxa"/>
          </w:tcPr>
          <w:p w14:paraId="26367550" w14:textId="77777777" w:rsidR="00074F13" w:rsidRPr="00253F0B" w:rsidRDefault="00074F13" w:rsidP="00A005A2">
            <w:pPr>
              <w:rPr>
                <w:sz w:val="22"/>
              </w:rPr>
            </w:pPr>
            <w:r w:rsidRPr="00253F0B">
              <w:rPr>
                <w:sz w:val="22"/>
              </w:rPr>
              <w:t>Outreach Learning Venues (Overseas)</w:t>
            </w:r>
          </w:p>
        </w:tc>
        <w:tc>
          <w:tcPr>
            <w:tcW w:w="2217" w:type="dxa"/>
          </w:tcPr>
          <w:p w14:paraId="123F4459" w14:textId="77777777" w:rsidR="00074F13" w:rsidRPr="00253F0B" w:rsidRDefault="00074F13" w:rsidP="00A005A2">
            <w:pPr>
              <w:jc w:val="center"/>
              <w:rPr>
                <w:sz w:val="22"/>
              </w:rPr>
            </w:pPr>
            <w:r w:rsidRPr="00253F0B">
              <w:rPr>
                <w:sz w:val="22"/>
              </w:rPr>
              <w:t>Faculties / International Office</w:t>
            </w:r>
          </w:p>
        </w:tc>
      </w:tr>
      <w:tr w:rsidR="00074F13" w:rsidRPr="00D3044F" w14:paraId="50C75F6D" w14:textId="77777777" w:rsidTr="00281724">
        <w:trPr>
          <w:tblHeader/>
        </w:trPr>
        <w:tc>
          <w:tcPr>
            <w:tcW w:w="988" w:type="dxa"/>
            <w:vMerge w:val="restart"/>
          </w:tcPr>
          <w:p w14:paraId="180526C9" w14:textId="77777777" w:rsidR="00074F13" w:rsidRPr="00253F0B" w:rsidRDefault="00074F13" w:rsidP="00A005A2">
            <w:pPr>
              <w:rPr>
                <w:b/>
                <w:sz w:val="22"/>
              </w:rPr>
            </w:pPr>
            <w:r w:rsidRPr="00253F0B">
              <w:rPr>
                <w:b/>
                <w:sz w:val="22"/>
              </w:rPr>
              <w:t>C</w:t>
            </w:r>
          </w:p>
        </w:tc>
        <w:tc>
          <w:tcPr>
            <w:tcW w:w="1559" w:type="dxa"/>
            <w:vMerge w:val="restart"/>
          </w:tcPr>
          <w:p w14:paraId="18ADA631" w14:textId="77777777" w:rsidR="00074F13" w:rsidRPr="00253F0B" w:rsidRDefault="00074F13" w:rsidP="00A005A2">
            <w:pPr>
              <w:rPr>
                <w:b/>
                <w:sz w:val="22"/>
              </w:rPr>
            </w:pPr>
            <w:r w:rsidRPr="00253F0B">
              <w:rPr>
                <w:b/>
                <w:sz w:val="22"/>
              </w:rPr>
              <w:t>Outreach Supported Learning Centres</w:t>
            </w:r>
          </w:p>
        </w:tc>
        <w:tc>
          <w:tcPr>
            <w:tcW w:w="850" w:type="dxa"/>
          </w:tcPr>
          <w:p w14:paraId="58CD6FFB" w14:textId="77777777" w:rsidR="00074F13" w:rsidRPr="00253F0B" w:rsidRDefault="00074F13" w:rsidP="00A005A2">
            <w:pPr>
              <w:rPr>
                <w:sz w:val="22"/>
              </w:rPr>
            </w:pPr>
            <w:r w:rsidRPr="00253F0B">
              <w:rPr>
                <w:sz w:val="22"/>
              </w:rPr>
              <w:t>C1</w:t>
            </w:r>
          </w:p>
        </w:tc>
        <w:tc>
          <w:tcPr>
            <w:tcW w:w="3402" w:type="dxa"/>
          </w:tcPr>
          <w:p w14:paraId="5C4DC347" w14:textId="77777777" w:rsidR="00074F13" w:rsidRPr="00253F0B" w:rsidRDefault="00074F13" w:rsidP="00A005A2">
            <w:pPr>
              <w:rPr>
                <w:sz w:val="22"/>
              </w:rPr>
            </w:pPr>
            <w:r w:rsidRPr="00253F0B">
              <w:rPr>
                <w:sz w:val="22"/>
              </w:rPr>
              <w:t>Outreach Supported Learning Centres: Education providers (UK)</w:t>
            </w:r>
          </w:p>
        </w:tc>
        <w:tc>
          <w:tcPr>
            <w:tcW w:w="2217" w:type="dxa"/>
          </w:tcPr>
          <w:p w14:paraId="2E49657E" w14:textId="52EF22BE" w:rsidR="00074F13" w:rsidRPr="00253F0B" w:rsidRDefault="00074F13" w:rsidP="00A005A2">
            <w:pPr>
              <w:jc w:val="center"/>
              <w:rPr>
                <w:sz w:val="22"/>
              </w:rPr>
            </w:pPr>
            <w:r w:rsidRPr="00253F0B">
              <w:rPr>
                <w:sz w:val="22"/>
              </w:rPr>
              <w:t xml:space="preserve">Faculties / </w:t>
            </w:r>
            <w:r w:rsidR="009A4875" w:rsidRPr="00253F0B">
              <w:rPr>
                <w:sz w:val="22"/>
              </w:rPr>
              <w:t>GQASC</w:t>
            </w:r>
            <w:r w:rsidR="009A4875" w:rsidRPr="00253F0B">
              <w:rPr>
                <w:rStyle w:val="FootnoteReference"/>
                <w:sz w:val="22"/>
              </w:rPr>
              <w:footnoteReference w:id="5"/>
            </w:r>
          </w:p>
        </w:tc>
      </w:tr>
      <w:tr w:rsidR="00074F13" w:rsidRPr="00D3044F" w14:paraId="02D91866" w14:textId="77777777" w:rsidTr="00281724">
        <w:trPr>
          <w:tblHeader/>
        </w:trPr>
        <w:tc>
          <w:tcPr>
            <w:tcW w:w="988" w:type="dxa"/>
            <w:vMerge/>
          </w:tcPr>
          <w:p w14:paraId="0BA4AB79" w14:textId="77777777" w:rsidR="00074F13" w:rsidRPr="00253F0B" w:rsidRDefault="00074F13" w:rsidP="00A005A2">
            <w:pPr>
              <w:rPr>
                <w:b/>
                <w:sz w:val="22"/>
              </w:rPr>
            </w:pPr>
          </w:p>
        </w:tc>
        <w:tc>
          <w:tcPr>
            <w:tcW w:w="1559" w:type="dxa"/>
            <w:vMerge/>
          </w:tcPr>
          <w:p w14:paraId="4752F063" w14:textId="77777777" w:rsidR="00074F13" w:rsidRPr="00253F0B" w:rsidRDefault="00074F13" w:rsidP="00A005A2">
            <w:pPr>
              <w:rPr>
                <w:b/>
                <w:sz w:val="22"/>
              </w:rPr>
            </w:pPr>
          </w:p>
        </w:tc>
        <w:tc>
          <w:tcPr>
            <w:tcW w:w="850" w:type="dxa"/>
          </w:tcPr>
          <w:p w14:paraId="53DCDEFB" w14:textId="77777777" w:rsidR="00074F13" w:rsidRPr="00253F0B" w:rsidRDefault="00074F13" w:rsidP="00A005A2">
            <w:pPr>
              <w:rPr>
                <w:sz w:val="22"/>
              </w:rPr>
            </w:pPr>
            <w:r w:rsidRPr="00253F0B">
              <w:rPr>
                <w:sz w:val="22"/>
              </w:rPr>
              <w:t>C2</w:t>
            </w:r>
          </w:p>
        </w:tc>
        <w:tc>
          <w:tcPr>
            <w:tcW w:w="3402" w:type="dxa"/>
          </w:tcPr>
          <w:p w14:paraId="5B6314EE" w14:textId="77777777" w:rsidR="00074F13" w:rsidRPr="00253F0B" w:rsidRDefault="00074F13" w:rsidP="00A005A2">
            <w:pPr>
              <w:rPr>
                <w:sz w:val="22"/>
              </w:rPr>
            </w:pPr>
            <w:r w:rsidRPr="00253F0B">
              <w:rPr>
                <w:sz w:val="22"/>
              </w:rPr>
              <w:t>Outreach Supported Learning Centres: Non-education providers (UK)</w:t>
            </w:r>
          </w:p>
        </w:tc>
        <w:tc>
          <w:tcPr>
            <w:tcW w:w="2217" w:type="dxa"/>
          </w:tcPr>
          <w:p w14:paraId="0326CED3" w14:textId="34B3C00D" w:rsidR="00074F13" w:rsidRPr="00253F0B" w:rsidRDefault="00074F13" w:rsidP="00A005A2">
            <w:pPr>
              <w:jc w:val="center"/>
              <w:rPr>
                <w:sz w:val="22"/>
              </w:rPr>
            </w:pPr>
            <w:r w:rsidRPr="00253F0B">
              <w:rPr>
                <w:sz w:val="22"/>
              </w:rPr>
              <w:t xml:space="preserve">Faculties / </w:t>
            </w:r>
            <w:r w:rsidR="009A4875" w:rsidRPr="00253F0B">
              <w:rPr>
                <w:sz w:val="22"/>
              </w:rPr>
              <w:t>GQASC</w:t>
            </w:r>
          </w:p>
        </w:tc>
      </w:tr>
      <w:tr w:rsidR="00074F13" w:rsidRPr="00D3044F" w14:paraId="1BA1CC8F" w14:textId="77777777" w:rsidTr="00281724">
        <w:trPr>
          <w:tblHeader/>
        </w:trPr>
        <w:tc>
          <w:tcPr>
            <w:tcW w:w="988" w:type="dxa"/>
            <w:vMerge/>
          </w:tcPr>
          <w:p w14:paraId="5D89A6D2" w14:textId="77777777" w:rsidR="00074F13" w:rsidRPr="00253F0B" w:rsidRDefault="00074F13" w:rsidP="00A005A2">
            <w:pPr>
              <w:rPr>
                <w:b/>
                <w:sz w:val="22"/>
              </w:rPr>
            </w:pPr>
          </w:p>
        </w:tc>
        <w:tc>
          <w:tcPr>
            <w:tcW w:w="1559" w:type="dxa"/>
            <w:vMerge/>
          </w:tcPr>
          <w:p w14:paraId="04D1A5BF" w14:textId="77777777" w:rsidR="00074F13" w:rsidRPr="00253F0B" w:rsidRDefault="00074F13" w:rsidP="00A005A2">
            <w:pPr>
              <w:rPr>
                <w:b/>
                <w:sz w:val="22"/>
              </w:rPr>
            </w:pPr>
          </w:p>
        </w:tc>
        <w:tc>
          <w:tcPr>
            <w:tcW w:w="850" w:type="dxa"/>
          </w:tcPr>
          <w:p w14:paraId="79D04BF4" w14:textId="77777777" w:rsidR="00074F13" w:rsidRPr="00253F0B" w:rsidRDefault="00074F13" w:rsidP="00A005A2">
            <w:pPr>
              <w:rPr>
                <w:sz w:val="22"/>
              </w:rPr>
            </w:pPr>
            <w:r w:rsidRPr="00253F0B">
              <w:rPr>
                <w:sz w:val="22"/>
              </w:rPr>
              <w:t>C3</w:t>
            </w:r>
          </w:p>
        </w:tc>
        <w:tc>
          <w:tcPr>
            <w:tcW w:w="3402" w:type="dxa"/>
          </w:tcPr>
          <w:p w14:paraId="46FEB8FD" w14:textId="77777777" w:rsidR="00074F13" w:rsidRPr="00253F0B" w:rsidRDefault="00074F13" w:rsidP="00A005A2">
            <w:pPr>
              <w:rPr>
                <w:sz w:val="22"/>
              </w:rPr>
            </w:pPr>
            <w:r w:rsidRPr="00253F0B">
              <w:rPr>
                <w:sz w:val="22"/>
              </w:rPr>
              <w:t>Outreach Supported Learning Centres (Overseas)</w:t>
            </w:r>
          </w:p>
        </w:tc>
        <w:tc>
          <w:tcPr>
            <w:tcW w:w="2217" w:type="dxa"/>
          </w:tcPr>
          <w:p w14:paraId="350BAABC" w14:textId="77A5124E" w:rsidR="00074F13" w:rsidRPr="00253F0B" w:rsidRDefault="00074F13" w:rsidP="00A005A2">
            <w:pPr>
              <w:jc w:val="center"/>
              <w:rPr>
                <w:sz w:val="22"/>
              </w:rPr>
            </w:pPr>
            <w:r w:rsidRPr="00253F0B">
              <w:rPr>
                <w:sz w:val="22"/>
              </w:rPr>
              <w:t xml:space="preserve">Faculties / International Office / </w:t>
            </w:r>
            <w:r w:rsidR="009A4875" w:rsidRPr="00253F0B">
              <w:rPr>
                <w:sz w:val="22"/>
              </w:rPr>
              <w:t>GQASC</w:t>
            </w:r>
          </w:p>
        </w:tc>
      </w:tr>
      <w:tr w:rsidR="00074F13" w:rsidRPr="00D3044F" w14:paraId="5B775CE3" w14:textId="77777777" w:rsidTr="00281724">
        <w:trPr>
          <w:tblHeader/>
        </w:trPr>
        <w:tc>
          <w:tcPr>
            <w:tcW w:w="988" w:type="dxa"/>
          </w:tcPr>
          <w:p w14:paraId="293150C2" w14:textId="77777777" w:rsidR="00074F13" w:rsidRPr="00253F0B" w:rsidRDefault="00074F13" w:rsidP="00A005A2">
            <w:pPr>
              <w:rPr>
                <w:b/>
                <w:sz w:val="22"/>
              </w:rPr>
            </w:pPr>
            <w:r w:rsidRPr="00253F0B">
              <w:rPr>
                <w:b/>
                <w:sz w:val="22"/>
              </w:rPr>
              <w:t>D</w:t>
            </w:r>
          </w:p>
        </w:tc>
        <w:tc>
          <w:tcPr>
            <w:tcW w:w="5811" w:type="dxa"/>
            <w:gridSpan w:val="3"/>
          </w:tcPr>
          <w:p w14:paraId="63F3EEE7" w14:textId="77777777" w:rsidR="00074F13" w:rsidRPr="00253F0B" w:rsidRDefault="00074F13" w:rsidP="00A005A2">
            <w:pPr>
              <w:rPr>
                <w:b/>
                <w:sz w:val="22"/>
              </w:rPr>
            </w:pPr>
            <w:r w:rsidRPr="00253F0B">
              <w:rPr>
                <w:b/>
                <w:sz w:val="22"/>
              </w:rPr>
              <w:t>Credit-rating</w:t>
            </w:r>
          </w:p>
          <w:p w14:paraId="2020F840" w14:textId="77777777" w:rsidR="00074F13" w:rsidRPr="00253F0B" w:rsidRDefault="00074F13" w:rsidP="00A005A2">
            <w:pPr>
              <w:rPr>
                <w:b/>
                <w:sz w:val="22"/>
              </w:rPr>
            </w:pPr>
          </w:p>
        </w:tc>
        <w:tc>
          <w:tcPr>
            <w:tcW w:w="2217" w:type="dxa"/>
          </w:tcPr>
          <w:p w14:paraId="2BE06B0B" w14:textId="58BA21EA" w:rsidR="00074F13" w:rsidRPr="00253F0B" w:rsidRDefault="00074F13" w:rsidP="00A005A2">
            <w:pPr>
              <w:jc w:val="center"/>
              <w:rPr>
                <w:sz w:val="22"/>
              </w:rPr>
            </w:pPr>
            <w:r w:rsidRPr="00253F0B">
              <w:rPr>
                <w:sz w:val="22"/>
              </w:rPr>
              <w:t xml:space="preserve">Faculties / </w:t>
            </w:r>
            <w:r w:rsidR="009A4875" w:rsidRPr="00253F0B">
              <w:rPr>
                <w:sz w:val="22"/>
              </w:rPr>
              <w:t>GQASC</w:t>
            </w:r>
          </w:p>
        </w:tc>
      </w:tr>
      <w:tr w:rsidR="00074F13" w:rsidRPr="00D3044F" w14:paraId="649BA720" w14:textId="77777777" w:rsidTr="00281724">
        <w:trPr>
          <w:tblHeader/>
        </w:trPr>
        <w:tc>
          <w:tcPr>
            <w:tcW w:w="988" w:type="dxa"/>
            <w:vMerge w:val="restart"/>
          </w:tcPr>
          <w:p w14:paraId="0D334CC8" w14:textId="77777777" w:rsidR="00074F13" w:rsidRPr="00253F0B" w:rsidRDefault="00074F13" w:rsidP="00A005A2">
            <w:pPr>
              <w:rPr>
                <w:b/>
                <w:sz w:val="22"/>
              </w:rPr>
            </w:pPr>
            <w:r w:rsidRPr="00253F0B">
              <w:rPr>
                <w:b/>
                <w:sz w:val="22"/>
              </w:rPr>
              <w:t>E</w:t>
            </w:r>
          </w:p>
        </w:tc>
        <w:tc>
          <w:tcPr>
            <w:tcW w:w="1559" w:type="dxa"/>
            <w:vMerge w:val="restart"/>
          </w:tcPr>
          <w:p w14:paraId="04153FBE" w14:textId="77777777" w:rsidR="00074F13" w:rsidRPr="00253F0B" w:rsidRDefault="00074F13" w:rsidP="00A005A2">
            <w:pPr>
              <w:rPr>
                <w:b/>
                <w:sz w:val="22"/>
              </w:rPr>
            </w:pPr>
            <w:r w:rsidRPr="00253F0B">
              <w:rPr>
                <w:b/>
                <w:sz w:val="22"/>
              </w:rPr>
              <w:t>Articulations</w:t>
            </w:r>
          </w:p>
        </w:tc>
        <w:tc>
          <w:tcPr>
            <w:tcW w:w="850" w:type="dxa"/>
          </w:tcPr>
          <w:p w14:paraId="3E3B2082" w14:textId="77777777" w:rsidR="00074F13" w:rsidRPr="00253F0B" w:rsidRDefault="00074F13" w:rsidP="00A005A2">
            <w:pPr>
              <w:rPr>
                <w:sz w:val="22"/>
              </w:rPr>
            </w:pPr>
            <w:r w:rsidRPr="00253F0B">
              <w:rPr>
                <w:sz w:val="22"/>
              </w:rPr>
              <w:t>E1</w:t>
            </w:r>
          </w:p>
        </w:tc>
        <w:tc>
          <w:tcPr>
            <w:tcW w:w="3402" w:type="dxa"/>
          </w:tcPr>
          <w:p w14:paraId="7D5AF5D0" w14:textId="77777777" w:rsidR="00074F13" w:rsidRPr="00253F0B" w:rsidRDefault="00074F13" w:rsidP="00A005A2">
            <w:pPr>
              <w:rPr>
                <w:sz w:val="22"/>
              </w:rPr>
            </w:pPr>
            <w:r w:rsidRPr="00253F0B">
              <w:rPr>
                <w:sz w:val="22"/>
              </w:rPr>
              <w:t>Qualification recognition</w:t>
            </w:r>
          </w:p>
        </w:tc>
        <w:tc>
          <w:tcPr>
            <w:tcW w:w="2217" w:type="dxa"/>
          </w:tcPr>
          <w:p w14:paraId="25951D8E" w14:textId="4EA3C10B" w:rsidR="00074F13" w:rsidRPr="00253F0B" w:rsidRDefault="00074F13" w:rsidP="00A005A2">
            <w:pPr>
              <w:jc w:val="center"/>
              <w:rPr>
                <w:sz w:val="22"/>
              </w:rPr>
            </w:pPr>
            <w:r w:rsidRPr="00253F0B">
              <w:rPr>
                <w:sz w:val="22"/>
              </w:rPr>
              <w:t xml:space="preserve">Faculties / </w:t>
            </w:r>
            <w:r w:rsidR="009A4875" w:rsidRPr="00253F0B">
              <w:rPr>
                <w:sz w:val="22"/>
              </w:rPr>
              <w:t>GQASC</w:t>
            </w:r>
          </w:p>
        </w:tc>
      </w:tr>
      <w:tr w:rsidR="00074F13" w:rsidRPr="00D3044F" w14:paraId="3892160A" w14:textId="77777777" w:rsidTr="00281724">
        <w:trPr>
          <w:tblHeader/>
        </w:trPr>
        <w:tc>
          <w:tcPr>
            <w:tcW w:w="988" w:type="dxa"/>
            <w:vMerge/>
          </w:tcPr>
          <w:p w14:paraId="42676EF6" w14:textId="77777777" w:rsidR="00074F13" w:rsidRPr="00253F0B" w:rsidRDefault="00074F13" w:rsidP="00A005A2">
            <w:pPr>
              <w:rPr>
                <w:b/>
                <w:sz w:val="22"/>
              </w:rPr>
            </w:pPr>
          </w:p>
        </w:tc>
        <w:tc>
          <w:tcPr>
            <w:tcW w:w="1559" w:type="dxa"/>
            <w:vMerge/>
          </w:tcPr>
          <w:p w14:paraId="1518A245" w14:textId="77777777" w:rsidR="00074F13" w:rsidRPr="00253F0B" w:rsidRDefault="00074F13" w:rsidP="00A005A2">
            <w:pPr>
              <w:rPr>
                <w:b/>
                <w:sz w:val="22"/>
              </w:rPr>
            </w:pPr>
          </w:p>
        </w:tc>
        <w:tc>
          <w:tcPr>
            <w:tcW w:w="850" w:type="dxa"/>
          </w:tcPr>
          <w:p w14:paraId="6D15EECE" w14:textId="77777777" w:rsidR="00074F13" w:rsidRPr="00253F0B" w:rsidRDefault="00074F13" w:rsidP="00A005A2">
            <w:pPr>
              <w:rPr>
                <w:sz w:val="22"/>
              </w:rPr>
            </w:pPr>
            <w:r w:rsidRPr="00253F0B">
              <w:rPr>
                <w:sz w:val="22"/>
              </w:rPr>
              <w:t>E2</w:t>
            </w:r>
          </w:p>
        </w:tc>
        <w:tc>
          <w:tcPr>
            <w:tcW w:w="3402" w:type="dxa"/>
          </w:tcPr>
          <w:p w14:paraId="7D774872" w14:textId="77777777" w:rsidR="00074F13" w:rsidRPr="00253F0B" w:rsidRDefault="00074F13" w:rsidP="00A005A2">
            <w:pPr>
              <w:rPr>
                <w:sz w:val="22"/>
              </w:rPr>
            </w:pPr>
            <w:r w:rsidRPr="00253F0B">
              <w:rPr>
                <w:sz w:val="22"/>
              </w:rPr>
              <w:t>Qualification recognition with a progression agreement</w:t>
            </w:r>
          </w:p>
        </w:tc>
        <w:tc>
          <w:tcPr>
            <w:tcW w:w="2217" w:type="dxa"/>
          </w:tcPr>
          <w:p w14:paraId="6423481B" w14:textId="3982CD9B" w:rsidR="00074F13" w:rsidRPr="00253F0B" w:rsidRDefault="00074F13" w:rsidP="00A005A2">
            <w:pPr>
              <w:jc w:val="center"/>
              <w:rPr>
                <w:sz w:val="22"/>
              </w:rPr>
            </w:pPr>
            <w:r w:rsidRPr="00253F0B">
              <w:rPr>
                <w:sz w:val="22"/>
              </w:rPr>
              <w:t xml:space="preserve">Faculties / </w:t>
            </w:r>
            <w:r w:rsidR="009A4875" w:rsidRPr="00253F0B">
              <w:rPr>
                <w:sz w:val="22"/>
              </w:rPr>
              <w:t>GQASC</w:t>
            </w:r>
          </w:p>
        </w:tc>
      </w:tr>
      <w:tr w:rsidR="00074F13" w:rsidRPr="00D3044F" w14:paraId="157F4EC2" w14:textId="77777777" w:rsidTr="00281724">
        <w:trPr>
          <w:tblHeader/>
        </w:trPr>
        <w:tc>
          <w:tcPr>
            <w:tcW w:w="988" w:type="dxa"/>
            <w:vMerge w:val="restart"/>
          </w:tcPr>
          <w:p w14:paraId="57645C7E" w14:textId="77777777" w:rsidR="00074F13" w:rsidRPr="00253F0B" w:rsidRDefault="00074F13" w:rsidP="00A005A2">
            <w:pPr>
              <w:rPr>
                <w:b/>
                <w:sz w:val="22"/>
              </w:rPr>
            </w:pPr>
            <w:r w:rsidRPr="00253F0B">
              <w:rPr>
                <w:b/>
                <w:sz w:val="22"/>
              </w:rPr>
              <w:t>F</w:t>
            </w:r>
          </w:p>
        </w:tc>
        <w:tc>
          <w:tcPr>
            <w:tcW w:w="1559" w:type="dxa"/>
            <w:vMerge w:val="restart"/>
          </w:tcPr>
          <w:p w14:paraId="403D25F7" w14:textId="0F7AEDCD" w:rsidR="00074F13" w:rsidRPr="00253F0B" w:rsidRDefault="00074F13" w:rsidP="00A005A2">
            <w:pPr>
              <w:rPr>
                <w:b/>
                <w:sz w:val="22"/>
              </w:rPr>
            </w:pPr>
            <w:r w:rsidRPr="00253F0B">
              <w:rPr>
                <w:b/>
                <w:sz w:val="22"/>
              </w:rPr>
              <w:t>Delivery with a third party (including overseas delivery)</w:t>
            </w:r>
          </w:p>
        </w:tc>
        <w:tc>
          <w:tcPr>
            <w:tcW w:w="850" w:type="dxa"/>
          </w:tcPr>
          <w:p w14:paraId="04E6468E" w14:textId="77777777" w:rsidR="00074F13" w:rsidRPr="00253F0B" w:rsidRDefault="00074F13" w:rsidP="00A005A2">
            <w:pPr>
              <w:rPr>
                <w:sz w:val="22"/>
              </w:rPr>
            </w:pPr>
            <w:r w:rsidRPr="00253F0B">
              <w:rPr>
                <w:sz w:val="22"/>
              </w:rPr>
              <w:t>F1</w:t>
            </w:r>
          </w:p>
        </w:tc>
        <w:tc>
          <w:tcPr>
            <w:tcW w:w="3402" w:type="dxa"/>
          </w:tcPr>
          <w:p w14:paraId="112D768D" w14:textId="77777777" w:rsidR="00074F13" w:rsidRPr="00253F0B" w:rsidRDefault="00074F13" w:rsidP="00A005A2">
            <w:pPr>
              <w:rPr>
                <w:sz w:val="22"/>
              </w:rPr>
            </w:pPr>
            <w:r w:rsidRPr="00253F0B">
              <w:rPr>
                <w:sz w:val="22"/>
              </w:rPr>
              <w:t>Franchise (single modules)</w:t>
            </w:r>
          </w:p>
        </w:tc>
        <w:tc>
          <w:tcPr>
            <w:tcW w:w="2217" w:type="dxa"/>
          </w:tcPr>
          <w:p w14:paraId="1829C535" w14:textId="7B3ADE9E" w:rsidR="00074F13" w:rsidRPr="00253F0B" w:rsidRDefault="009A4875" w:rsidP="00A005A2">
            <w:pPr>
              <w:jc w:val="center"/>
              <w:rPr>
                <w:sz w:val="22"/>
              </w:rPr>
            </w:pPr>
            <w:r w:rsidRPr="00253F0B">
              <w:rPr>
                <w:sz w:val="22"/>
              </w:rPr>
              <w:t>GQASC</w:t>
            </w:r>
            <w:r w:rsidR="00074F13" w:rsidRPr="00253F0B">
              <w:rPr>
                <w:sz w:val="22"/>
              </w:rPr>
              <w:t xml:space="preserve"> / Faculties / International Office</w:t>
            </w:r>
          </w:p>
        </w:tc>
      </w:tr>
      <w:tr w:rsidR="00074F13" w:rsidRPr="00D3044F" w14:paraId="2423CAF8" w14:textId="77777777" w:rsidTr="00281724">
        <w:trPr>
          <w:tblHeader/>
        </w:trPr>
        <w:tc>
          <w:tcPr>
            <w:tcW w:w="988" w:type="dxa"/>
            <w:vMerge/>
          </w:tcPr>
          <w:p w14:paraId="4FFD2D69" w14:textId="77777777" w:rsidR="00074F13" w:rsidRPr="00253F0B" w:rsidRDefault="00074F13" w:rsidP="00A005A2">
            <w:pPr>
              <w:rPr>
                <w:sz w:val="22"/>
              </w:rPr>
            </w:pPr>
          </w:p>
        </w:tc>
        <w:tc>
          <w:tcPr>
            <w:tcW w:w="1559" w:type="dxa"/>
            <w:vMerge/>
          </w:tcPr>
          <w:p w14:paraId="3EC3F32E" w14:textId="77777777" w:rsidR="00074F13" w:rsidRPr="00253F0B" w:rsidRDefault="00074F13" w:rsidP="00A005A2">
            <w:pPr>
              <w:rPr>
                <w:sz w:val="22"/>
              </w:rPr>
            </w:pPr>
          </w:p>
        </w:tc>
        <w:tc>
          <w:tcPr>
            <w:tcW w:w="850" w:type="dxa"/>
          </w:tcPr>
          <w:p w14:paraId="7E5503F9" w14:textId="77777777" w:rsidR="00074F13" w:rsidRPr="00253F0B" w:rsidRDefault="00074F13" w:rsidP="00A005A2">
            <w:pPr>
              <w:rPr>
                <w:sz w:val="22"/>
              </w:rPr>
            </w:pPr>
            <w:r w:rsidRPr="00253F0B">
              <w:rPr>
                <w:sz w:val="22"/>
              </w:rPr>
              <w:t>F2</w:t>
            </w:r>
          </w:p>
        </w:tc>
        <w:tc>
          <w:tcPr>
            <w:tcW w:w="3402" w:type="dxa"/>
          </w:tcPr>
          <w:p w14:paraId="1E86669D" w14:textId="77777777" w:rsidR="00074F13" w:rsidRPr="00253F0B" w:rsidRDefault="00074F13" w:rsidP="00A005A2">
            <w:pPr>
              <w:rPr>
                <w:sz w:val="22"/>
              </w:rPr>
            </w:pPr>
            <w:r w:rsidRPr="00253F0B">
              <w:rPr>
                <w:sz w:val="22"/>
              </w:rPr>
              <w:t>Co-delivery</w:t>
            </w:r>
          </w:p>
        </w:tc>
        <w:tc>
          <w:tcPr>
            <w:tcW w:w="2217" w:type="dxa"/>
          </w:tcPr>
          <w:p w14:paraId="251B51F4" w14:textId="3E82F7E3" w:rsidR="00074F13" w:rsidRPr="00253F0B" w:rsidRDefault="009A4875" w:rsidP="00A005A2">
            <w:pPr>
              <w:jc w:val="center"/>
              <w:rPr>
                <w:sz w:val="22"/>
              </w:rPr>
            </w:pPr>
            <w:r w:rsidRPr="00253F0B">
              <w:rPr>
                <w:sz w:val="22"/>
              </w:rPr>
              <w:t>GQASC</w:t>
            </w:r>
            <w:r w:rsidR="00074F13" w:rsidRPr="00253F0B">
              <w:rPr>
                <w:sz w:val="22"/>
              </w:rPr>
              <w:t xml:space="preserve"> / Faculties / International Office</w:t>
            </w:r>
          </w:p>
        </w:tc>
      </w:tr>
      <w:tr w:rsidR="00074F13" w:rsidRPr="00D3044F" w14:paraId="7EC4A989" w14:textId="77777777" w:rsidTr="00281724">
        <w:trPr>
          <w:tblHeader/>
        </w:trPr>
        <w:tc>
          <w:tcPr>
            <w:tcW w:w="988" w:type="dxa"/>
            <w:vMerge/>
          </w:tcPr>
          <w:p w14:paraId="0C2E50F5" w14:textId="77777777" w:rsidR="00074F13" w:rsidRPr="00253F0B" w:rsidRDefault="00074F13" w:rsidP="00A005A2">
            <w:pPr>
              <w:rPr>
                <w:sz w:val="22"/>
              </w:rPr>
            </w:pPr>
          </w:p>
        </w:tc>
        <w:tc>
          <w:tcPr>
            <w:tcW w:w="1559" w:type="dxa"/>
            <w:vMerge/>
          </w:tcPr>
          <w:p w14:paraId="67E477B5" w14:textId="77777777" w:rsidR="00074F13" w:rsidRPr="00253F0B" w:rsidRDefault="00074F13" w:rsidP="00A005A2">
            <w:pPr>
              <w:rPr>
                <w:sz w:val="22"/>
              </w:rPr>
            </w:pPr>
          </w:p>
        </w:tc>
        <w:tc>
          <w:tcPr>
            <w:tcW w:w="850" w:type="dxa"/>
          </w:tcPr>
          <w:p w14:paraId="42D13724" w14:textId="77777777" w:rsidR="00074F13" w:rsidRPr="00253F0B" w:rsidRDefault="00074F13" w:rsidP="00A005A2">
            <w:pPr>
              <w:rPr>
                <w:sz w:val="22"/>
              </w:rPr>
            </w:pPr>
            <w:r w:rsidRPr="00253F0B">
              <w:rPr>
                <w:sz w:val="22"/>
              </w:rPr>
              <w:t>F3</w:t>
            </w:r>
          </w:p>
        </w:tc>
        <w:tc>
          <w:tcPr>
            <w:tcW w:w="3402" w:type="dxa"/>
          </w:tcPr>
          <w:p w14:paraId="6F3D387E" w14:textId="77777777" w:rsidR="00074F13" w:rsidRPr="00253F0B" w:rsidRDefault="00074F13" w:rsidP="00A005A2">
            <w:pPr>
              <w:rPr>
                <w:sz w:val="22"/>
              </w:rPr>
            </w:pPr>
            <w:r w:rsidRPr="00253F0B">
              <w:rPr>
                <w:sz w:val="22"/>
              </w:rPr>
              <w:t>Franchise (whole programmes)</w:t>
            </w:r>
          </w:p>
        </w:tc>
        <w:tc>
          <w:tcPr>
            <w:tcW w:w="2217" w:type="dxa"/>
          </w:tcPr>
          <w:p w14:paraId="1AAD2081" w14:textId="7E89F3C5" w:rsidR="00074F13" w:rsidRPr="00253F0B" w:rsidRDefault="009A4875" w:rsidP="00A005A2">
            <w:pPr>
              <w:jc w:val="center"/>
              <w:rPr>
                <w:sz w:val="22"/>
              </w:rPr>
            </w:pPr>
            <w:r w:rsidRPr="00253F0B">
              <w:rPr>
                <w:sz w:val="22"/>
              </w:rPr>
              <w:t>GQASC</w:t>
            </w:r>
            <w:r w:rsidR="00074F13" w:rsidRPr="00253F0B">
              <w:rPr>
                <w:sz w:val="22"/>
              </w:rPr>
              <w:t xml:space="preserve"> / Faculties / International Office</w:t>
            </w:r>
          </w:p>
        </w:tc>
      </w:tr>
      <w:tr w:rsidR="00074F13" w:rsidRPr="00D3044F" w14:paraId="5D91B9D2" w14:textId="77777777" w:rsidTr="00281724">
        <w:trPr>
          <w:tblHeader/>
        </w:trPr>
        <w:tc>
          <w:tcPr>
            <w:tcW w:w="988" w:type="dxa"/>
            <w:vMerge/>
          </w:tcPr>
          <w:p w14:paraId="59A8E135" w14:textId="77777777" w:rsidR="00074F13" w:rsidRPr="00253F0B" w:rsidRDefault="00074F13" w:rsidP="00A005A2">
            <w:pPr>
              <w:rPr>
                <w:sz w:val="22"/>
              </w:rPr>
            </w:pPr>
          </w:p>
        </w:tc>
        <w:tc>
          <w:tcPr>
            <w:tcW w:w="1559" w:type="dxa"/>
            <w:vMerge/>
          </w:tcPr>
          <w:p w14:paraId="3ED49295" w14:textId="77777777" w:rsidR="00074F13" w:rsidRPr="00253F0B" w:rsidRDefault="00074F13" w:rsidP="00A005A2">
            <w:pPr>
              <w:rPr>
                <w:sz w:val="22"/>
              </w:rPr>
            </w:pPr>
          </w:p>
        </w:tc>
        <w:tc>
          <w:tcPr>
            <w:tcW w:w="850" w:type="dxa"/>
          </w:tcPr>
          <w:p w14:paraId="7C084048" w14:textId="77777777" w:rsidR="00074F13" w:rsidRPr="00253F0B" w:rsidRDefault="00074F13" w:rsidP="00A005A2">
            <w:pPr>
              <w:rPr>
                <w:sz w:val="22"/>
              </w:rPr>
            </w:pPr>
            <w:r w:rsidRPr="00253F0B">
              <w:rPr>
                <w:sz w:val="22"/>
              </w:rPr>
              <w:t>F4</w:t>
            </w:r>
          </w:p>
        </w:tc>
        <w:tc>
          <w:tcPr>
            <w:tcW w:w="3402" w:type="dxa"/>
          </w:tcPr>
          <w:p w14:paraId="63970869" w14:textId="77777777" w:rsidR="00074F13" w:rsidRPr="00253F0B" w:rsidRDefault="00074F13" w:rsidP="00A005A2">
            <w:pPr>
              <w:rPr>
                <w:sz w:val="22"/>
              </w:rPr>
            </w:pPr>
            <w:r w:rsidRPr="00253F0B">
              <w:rPr>
                <w:sz w:val="22"/>
              </w:rPr>
              <w:t>Validation</w:t>
            </w:r>
          </w:p>
        </w:tc>
        <w:tc>
          <w:tcPr>
            <w:tcW w:w="2217" w:type="dxa"/>
          </w:tcPr>
          <w:p w14:paraId="342A8088" w14:textId="4ACEFF58" w:rsidR="00074F13" w:rsidRPr="00253F0B" w:rsidRDefault="009A4875" w:rsidP="00A005A2">
            <w:pPr>
              <w:jc w:val="center"/>
              <w:rPr>
                <w:sz w:val="22"/>
              </w:rPr>
            </w:pPr>
            <w:r w:rsidRPr="00253F0B">
              <w:rPr>
                <w:sz w:val="22"/>
              </w:rPr>
              <w:t>GQASC</w:t>
            </w:r>
            <w:r w:rsidR="00074F13" w:rsidRPr="00253F0B">
              <w:rPr>
                <w:sz w:val="22"/>
              </w:rPr>
              <w:t xml:space="preserve"> / Faculties / International Office</w:t>
            </w:r>
          </w:p>
        </w:tc>
      </w:tr>
      <w:tr w:rsidR="00074F13" w:rsidRPr="00D3044F" w14:paraId="10623E77" w14:textId="77777777" w:rsidTr="00281724">
        <w:trPr>
          <w:tblHeader/>
        </w:trPr>
        <w:tc>
          <w:tcPr>
            <w:tcW w:w="988" w:type="dxa"/>
            <w:vMerge/>
          </w:tcPr>
          <w:p w14:paraId="3A929404" w14:textId="77777777" w:rsidR="00074F13" w:rsidRPr="00253F0B" w:rsidRDefault="00074F13" w:rsidP="00A005A2">
            <w:pPr>
              <w:rPr>
                <w:sz w:val="22"/>
              </w:rPr>
            </w:pPr>
          </w:p>
        </w:tc>
        <w:tc>
          <w:tcPr>
            <w:tcW w:w="1559" w:type="dxa"/>
            <w:vMerge/>
          </w:tcPr>
          <w:p w14:paraId="2445386B" w14:textId="77777777" w:rsidR="00074F13" w:rsidRPr="00253F0B" w:rsidRDefault="00074F13" w:rsidP="00A005A2">
            <w:pPr>
              <w:rPr>
                <w:sz w:val="22"/>
              </w:rPr>
            </w:pPr>
          </w:p>
        </w:tc>
        <w:tc>
          <w:tcPr>
            <w:tcW w:w="850" w:type="dxa"/>
          </w:tcPr>
          <w:p w14:paraId="0E9227FB" w14:textId="77777777" w:rsidR="00074F13" w:rsidRPr="00253F0B" w:rsidRDefault="00074F13" w:rsidP="00A005A2">
            <w:pPr>
              <w:rPr>
                <w:sz w:val="22"/>
              </w:rPr>
            </w:pPr>
            <w:r w:rsidRPr="00253F0B">
              <w:rPr>
                <w:sz w:val="22"/>
              </w:rPr>
              <w:t>F5</w:t>
            </w:r>
          </w:p>
        </w:tc>
        <w:tc>
          <w:tcPr>
            <w:tcW w:w="3402" w:type="dxa"/>
          </w:tcPr>
          <w:p w14:paraId="18148A20" w14:textId="77777777" w:rsidR="00074F13" w:rsidRPr="00253F0B" w:rsidRDefault="00074F13" w:rsidP="00A005A2">
            <w:pPr>
              <w:rPr>
                <w:sz w:val="22"/>
              </w:rPr>
            </w:pPr>
            <w:r w:rsidRPr="00253F0B">
              <w:rPr>
                <w:sz w:val="22"/>
              </w:rPr>
              <w:t>Joint awards</w:t>
            </w:r>
          </w:p>
        </w:tc>
        <w:tc>
          <w:tcPr>
            <w:tcW w:w="2217" w:type="dxa"/>
          </w:tcPr>
          <w:p w14:paraId="67039B1B" w14:textId="1F0886A9" w:rsidR="00074F13" w:rsidRPr="00253F0B" w:rsidRDefault="009A4875" w:rsidP="00A005A2">
            <w:pPr>
              <w:jc w:val="center"/>
              <w:rPr>
                <w:sz w:val="22"/>
              </w:rPr>
            </w:pPr>
            <w:r w:rsidRPr="00253F0B">
              <w:rPr>
                <w:sz w:val="22"/>
              </w:rPr>
              <w:t>GQASC</w:t>
            </w:r>
            <w:r w:rsidR="00074F13" w:rsidRPr="00253F0B">
              <w:rPr>
                <w:sz w:val="22"/>
              </w:rPr>
              <w:t xml:space="preserve"> / Faculties / International Office</w:t>
            </w:r>
          </w:p>
        </w:tc>
      </w:tr>
    </w:tbl>
    <w:p w14:paraId="2218D76E" w14:textId="4E9DAFC0" w:rsidR="00074F13" w:rsidRPr="00D3044F" w:rsidRDefault="00074F13" w:rsidP="00C6162E">
      <w:pPr>
        <w:spacing w:after="240"/>
        <w:contextualSpacing/>
        <w:jc w:val="both"/>
      </w:pPr>
      <w:r w:rsidRPr="00C522CE">
        <w:rPr>
          <w:b/>
          <w:bCs/>
        </w:rPr>
        <w:lastRenderedPageBreak/>
        <w:t>It is the responsibility of the proposing Faculty to identify an appropriate resource to support its academic partnerships</w:t>
      </w:r>
      <w:r w:rsidRPr="00D3044F">
        <w:t xml:space="preserve">, </w:t>
      </w:r>
      <w:r w:rsidR="00281724">
        <w:t xml:space="preserve">i.e. </w:t>
      </w:r>
      <w:r w:rsidRPr="00D3044F">
        <w:t xml:space="preserve"> a</w:t>
      </w:r>
      <w:r w:rsidR="00281724">
        <w:t>n</w:t>
      </w:r>
      <w:r w:rsidRPr="00D3044F">
        <w:t xml:space="preserve"> Academic Partnership Lead based centrally within </w:t>
      </w:r>
      <w:r>
        <w:t>each</w:t>
      </w:r>
      <w:r w:rsidRPr="00D3044F">
        <w:t xml:space="preserve"> Faculty, and </w:t>
      </w:r>
      <w:r w:rsidR="00281724">
        <w:t xml:space="preserve">individual </w:t>
      </w:r>
      <w:r w:rsidRPr="00D3044F">
        <w:t>Academic Partnership Liaison Tutors</w:t>
      </w:r>
      <w:r w:rsidR="00281724">
        <w:t xml:space="preserve">, </w:t>
      </w:r>
      <w:r w:rsidRPr="00D3044F">
        <w:t xml:space="preserve">based in the appropriate Department where </w:t>
      </w:r>
      <w:r w:rsidR="00281724">
        <w:t>each</w:t>
      </w:r>
      <w:r w:rsidRPr="00D3044F">
        <w:t xml:space="preserve"> partnership is </w:t>
      </w:r>
      <w:r w:rsidR="00281724">
        <w:t>monitored and administered</w:t>
      </w:r>
      <w:r w:rsidRPr="00D3044F">
        <w:t>.</w:t>
      </w:r>
    </w:p>
    <w:p w14:paraId="2E0D60B1" w14:textId="77777777" w:rsidR="00074F13" w:rsidRPr="00D3044F" w:rsidRDefault="00074F13" w:rsidP="00C6162E">
      <w:pPr>
        <w:pStyle w:val="Heading2"/>
        <w:jc w:val="both"/>
      </w:pPr>
      <w:bookmarkStart w:id="9" w:name="_Toc183094936"/>
      <w:r w:rsidRPr="00D3044F">
        <w:t>Faculty Partnership Lead</w:t>
      </w:r>
      <w:bookmarkEnd w:id="9"/>
    </w:p>
    <w:p w14:paraId="524335F3" w14:textId="77777777" w:rsidR="00074F13" w:rsidRPr="00D3044F" w:rsidRDefault="00074F13" w:rsidP="00C6162E">
      <w:pPr>
        <w:contextualSpacing/>
        <w:jc w:val="both"/>
      </w:pPr>
      <w:r w:rsidRPr="00D3044F">
        <w:t>The role of the Faculty Partnership Lead, identified by the PVC Dean, includes the following:</w:t>
      </w:r>
    </w:p>
    <w:p w14:paraId="77798856" w14:textId="6224629F" w:rsidR="00074F13" w:rsidRDefault="00074F13" w:rsidP="00C6162E">
      <w:pPr>
        <w:pStyle w:val="ListParagraph"/>
        <w:numPr>
          <w:ilvl w:val="0"/>
          <w:numId w:val="1"/>
        </w:numPr>
        <w:jc w:val="both"/>
      </w:pPr>
      <w:r w:rsidRPr="00D3044F">
        <w:t>Determining processes for the approval, review and closure of category A and B partnerships</w:t>
      </w:r>
      <w:r w:rsidR="00C6162E">
        <w:t xml:space="preserve"> and documenting them in the </w:t>
      </w:r>
      <w:hyperlink r:id="rId21" w:history="1">
        <w:r w:rsidR="00C6162E" w:rsidRPr="00C6162E">
          <w:rPr>
            <w:rStyle w:val="Hyperlink"/>
          </w:rPr>
          <w:t>Faculty Academic Quality Statement</w:t>
        </w:r>
      </w:hyperlink>
      <w:r w:rsidRPr="00D3044F">
        <w:rPr>
          <w:rStyle w:val="FootnoteReference"/>
        </w:rPr>
        <w:footnoteReference w:id="6"/>
      </w:r>
      <w:r w:rsidRPr="00D3044F">
        <w:t>.</w:t>
      </w:r>
    </w:p>
    <w:p w14:paraId="0C703C03" w14:textId="77777777" w:rsidR="00074F13" w:rsidRDefault="00074F13" w:rsidP="00C6162E">
      <w:pPr>
        <w:pStyle w:val="ListParagraph"/>
        <w:numPr>
          <w:ilvl w:val="0"/>
          <w:numId w:val="1"/>
        </w:numPr>
        <w:jc w:val="both"/>
      </w:pPr>
      <w:r>
        <w:t>Providing expert advice on partnership processes to academics developing partner provision and other colleagues as appropriate.</w:t>
      </w:r>
    </w:p>
    <w:p w14:paraId="48BB00CD" w14:textId="77777777" w:rsidR="00074F13" w:rsidRPr="00D3044F" w:rsidRDefault="00074F13" w:rsidP="00C6162E">
      <w:pPr>
        <w:pStyle w:val="ListParagraph"/>
        <w:numPr>
          <w:ilvl w:val="0"/>
          <w:numId w:val="1"/>
        </w:numPr>
        <w:jc w:val="both"/>
      </w:pPr>
      <w:r>
        <w:t>Overseeing the operation of partnership provision in the Faculty, supporting Academic Partnership Liaison Tutors to fulfil their duties and arranging any training or advice as needed.</w:t>
      </w:r>
    </w:p>
    <w:p w14:paraId="491A9DC7" w14:textId="77777777" w:rsidR="00074F13" w:rsidRPr="00D3044F" w:rsidRDefault="00074F13" w:rsidP="00C6162E">
      <w:pPr>
        <w:pStyle w:val="ListParagraph"/>
        <w:numPr>
          <w:ilvl w:val="0"/>
          <w:numId w:val="1"/>
        </w:numPr>
        <w:jc w:val="both"/>
      </w:pPr>
      <w:r w:rsidRPr="00D3044F">
        <w:t>Co-ordinating the required documentation for academic and business approval</w:t>
      </w:r>
      <w:r>
        <w:t xml:space="preserve"> including arranging for the completion and signing of the Memorandum of Understanding</w:t>
      </w:r>
      <w:r w:rsidRPr="00D3044F">
        <w:t>.</w:t>
      </w:r>
    </w:p>
    <w:p w14:paraId="1D23A4F3" w14:textId="77777777" w:rsidR="00074F13" w:rsidRPr="00D3044F" w:rsidRDefault="00074F13" w:rsidP="00C6162E">
      <w:pPr>
        <w:pStyle w:val="ListParagraph"/>
        <w:numPr>
          <w:ilvl w:val="0"/>
          <w:numId w:val="1"/>
        </w:numPr>
        <w:jc w:val="both"/>
      </w:pPr>
      <w:r w:rsidRPr="00D3044F">
        <w:t>Co-ordinating the documentation required for delivery approval / validation events.</w:t>
      </w:r>
    </w:p>
    <w:p w14:paraId="4269F053" w14:textId="77777777" w:rsidR="00216ACF" w:rsidRDefault="00216ACF" w:rsidP="00216ACF">
      <w:pPr>
        <w:pStyle w:val="ListParagraph"/>
        <w:numPr>
          <w:ilvl w:val="0"/>
          <w:numId w:val="1"/>
        </w:numPr>
        <w:jc w:val="both"/>
      </w:pPr>
      <w:r>
        <w:t xml:space="preserve">Overseeing the </w:t>
      </w:r>
      <w:bookmarkStart w:id="10" w:name="_Hlk178862123"/>
      <w:r>
        <w:t>completion and review of due diligence and contractual documentation, including authorising signatures</w:t>
      </w:r>
      <w:bookmarkEnd w:id="10"/>
      <w:r>
        <w:t>.</w:t>
      </w:r>
    </w:p>
    <w:p w14:paraId="7B7BC6F4" w14:textId="4B43E649" w:rsidR="00074F13" w:rsidRPr="00D3044F" w:rsidRDefault="00074F13" w:rsidP="00C6162E">
      <w:pPr>
        <w:pStyle w:val="ListParagraph"/>
        <w:numPr>
          <w:ilvl w:val="0"/>
          <w:numId w:val="1"/>
        </w:numPr>
        <w:jc w:val="both"/>
      </w:pPr>
      <w:r w:rsidRPr="00D3044F">
        <w:t>Maintaining comprehensive records of all partnerships</w:t>
      </w:r>
      <w:r w:rsidR="00453EB8">
        <w:rPr>
          <w:rStyle w:val="FootnoteReference"/>
        </w:rPr>
        <w:footnoteReference w:id="7"/>
      </w:r>
      <w:r w:rsidRPr="00D3044F">
        <w:t>, including any correspondence with partners or students</w:t>
      </w:r>
      <w:r>
        <w:t xml:space="preserve"> and a record of current Academic Partnership Liaison Tutors</w:t>
      </w:r>
      <w:r w:rsidRPr="00D3044F">
        <w:t>.</w:t>
      </w:r>
    </w:p>
    <w:p w14:paraId="140F12BE" w14:textId="77777777" w:rsidR="00216ACF" w:rsidRDefault="00216ACF" w:rsidP="00C6162E">
      <w:pPr>
        <w:pStyle w:val="ListParagraph"/>
        <w:numPr>
          <w:ilvl w:val="0"/>
          <w:numId w:val="1"/>
        </w:numPr>
        <w:jc w:val="both"/>
      </w:pPr>
      <w:r w:rsidRPr="00D3044F">
        <w:t xml:space="preserve">Attending </w:t>
      </w:r>
      <w:r>
        <w:t xml:space="preserve">partner or </w:t>
      </w:r>
      <w:r w:rsidRPr="00D3044F">
        <w:t>delivery approval validation events where appropriate.</w:t>
      </w:r>
    </w:p>
    <w:p w14:paraId="4BE7B913" w14:textId="77777777" w:rsidR="00216ACF" w:rsidRPr="00D3044F" w:rsidRDefault="00216ACF" w:rsidP="00216ACF">
      <w:pPr>
        <w:pStyle w:val="ListParagraph"/>
        <w:numPr>
          <w:ilvl w:val="0"/>
          <w:numId w:val="1"/>
        </w:numPr>
        <w:jc w:val="both"/>
      </w:pPr>
      <w:r>
        <w:t xml:space="preserve">Leading on the monitoring of partnerships, particularly through the Annual Review processes, </w:t>
      </w:r>
      <w:bookmarkStart w:id="11" w:name="_Hlk178862512"/>
      <w:r>
        <w:t>identifying areas of risk and escalating or resolving these as appropriate</w:t>
      </w:r>
      <w:bookmarkEnd w:id="11"/>
      <w:r>
        <w:t>.</w:t>
      </w:r>
    </w:p>
    <w:p w14:paraId="13B3F7C7" w14:textId="77777777" w:rsidR="00216ACF" w:rsidRPr="00D3044F" w:rsidRDefault="00216ACF" w:rsidP="00216ACF">
      <w:pPr>
        <w:pStyle w:val="ListParagraph"/>
        <w:numPr>
          <w:ilvl w:val="0"/>
          <w:numId w:val="1"/>
        </w:numPr>
        <w:jc w:val="both"/>
      </w:pPr>
      <w:r w:rsidRPr="00D3044F">
        <w:t>Monitoring closure plans and associated actions, ensuring updates to the Faculty Quality Committee are submitted until all students complete.</w:t>
      </w:r>
    </w:p>
    <w:p w14:paraId="09B02FBF" w14:textId="2D9757F2" w:rsidR="00074F13" w:rsidRPr="00D3044F" w:rsidRDefault="00074F13" w:rsidP="00216ACF">
      <w:pPr>
        <w:pStyle w:val="ListParagraph"/>
        <w:numPr>
          <w:ilvl w:val="0"/>
          <w:numId w:val="1"/>
        </w:numPr>
        <w:jc w:val="both"/>
      </w:pPr>
      <w:r w:rsidRPr="00D3044F">
        <w:t>Negotiating with proposed partners in relation to their contract</w:t>
      </w:r>
      <w:r>
        <w:t xml:space="preserve">, with input </w:t>
      </w:r>
      <w:r w:rsidRPr="00D3044F">
        <w:t xml:space="preserve">from the Pro Vice-Chancellor and Dean of Faculty, or the </w:t>
      </w:r>
      <w:r w:rsidR="00ED3D93" w:rsidRPr="00ED3D93">
        <w:t>Pro Vice-Chancellor (Marketing, Student Recruitment and Student Administration)</w:t>
      </w:r>
      <w:r w:rsidRPr="00D3044F">
        <w:t>.</w:t>
      </w:r>
    </w:p>
    <w:p w14:paraId="47246F61" w14:textId="5BF52EC1" w:rsidR="00074F13" w:rsidRPr="00D3044F" w:rsidRDefault="00074F13" w:rsidP="00C6162E">
      <w:pPr>
        <w:pStyle w:val="Heading2"/>
        <w:jc w:val="both"/>
      </w:pPr>
      <w:bookmarkStart w:id="12" w:name="_Toc183094937"/>
      <w:r w:rsidRPr="00D3044F">
        <w:t>Academic Partnership Liaison Tutor</w:t>
      </w:r>
      <w:bookmarkEnd w:id="12"/>
    </w:p>
    <w:p w14:paraId="5BD1B088" w14:textId="77777777" w:rsidR="00074F13" w:rsidRPr="00D3044F" w:rsidRDefault="00074F13" w:rsidP="00C6162E">
      <w:pPr>
        <w:contextualSpacing/>
        <w:jc w:val="both"/>
      </w:pPr>
      <w:r w:rsidRPr="00D3044F">
        <w:t>A role usually fulfilled by the relevant Programme Leader</w:t>
      </w:r>
      <w:r w:rsidRPr="00D3044F">
        <w:rPr>
          <w:rStyle w:val="FootnoteReference"/>
        </w:rPr>
        <w:footnoteReference w:id="8"/>
      </w:r>
      <w:r w:rsidRPr="00D3044F">
        <w:t>, Academic Partnership Liaison Tutors</w:t>
      </w:r>
      <w:r>
        <w:t xml:space="preserve"> (APLTs) are required for partnerships at category C and above and </w:t>
      </w:r>
      <w:r w:rsidRPr="00D3044F">
        <w:t>undertake the following responsibilities:</w:t>
      </w:r>
    </w:p>
    <w:p w14:paraId="166E3883" w14:textId="77777777" w:rsidR="00074F13" w:rsidRDefault="00074F13" w:rsidP="00C6162E">
      <w:pPr>
        <w:pStyle w:val="ListParagraph"/>
        <w:numPr>
          <w:ilvl w:val="0"/>
          <w:numId w:val="45"/>
        </w:numPr>
        <w:jc w:val="both"/>
      </w:pPr>
      <w:r w:rsidRPr="00D3044F">
        <w:t>Being the primary contact for liaison with the partner, fielding queries</w:t>
      </w:r>
      <w:r>
        <w:t>,</w:t>
      </w:r>
      <w:r w:rsidRPr="00D3044F">
        <w:t xml:space="preserve"> resolving issues</w:t>
      </w:r>
      <w:r>
        <w:t xml:space="preserve">, ensuring that any course changes are communicated appropriately with the </w:t>
      </w:r>
      <w:r>
        <w:lastRenderedPageBreak/>
        <w:t>partner and ensuring that partner staff are informed of expectations for all aspects of delivery and assessment</w:t>
      </w:r>
      <w:r w:rsidRPr="00D3044F">
        <w:t>.</w:t>
      </w:r>
    </w:p>
    <w:p w14:paraId="1D7AAAAC" w14:textId="43ACBD70" w:rsidR="00074F13" w:rsidRDefault="00074F13" w:rsidP="00C6162E">
      <w:pPr>
        <w:pStyle w:val="ListParagraph"/>
        <w:numPr>
          <w:ilvl w:val="0"/>
          <w:numId w:val="2"/>
        </w:numPr>
        <w:jc w:val="both"/>
      </w:pPr>
      <w:r>
        <w:t>Completing Site Assessment</w:t>
      </w:r>
      <w:r w:rsidR="000B3181">
        <w:t>s</w:t>
      </w:r>
      <w:r>
        <w:t xml:space="preserve"> </w:t>
      </w:r>
      <w:r w:rsidR="000B3181">
        <w:t>and Partner Visits (including associated reporting</w:t>
      </w:r>
      <w:r w:rsidR="000B3181">
        <w:rPr>
          <w:rStyle w:val="FootnoteReference"/>
        </w:rPr>
        <w:footnoteReference w:id="9"/>
      </w:r>
      <w:r w:rsidR="000B3181">
        <w:t xml:space="preserve">) </w:t>
      </w:r>
      <w:r>
        <w:t>as required</w:t>
      </w:r>
      <w:r w:rsidR="00F2604E">
        <w:t>.</w:t>
      </w:r>
    </w:p>
    <w:p w14:paraId="0F16595C" w14:textId="2C222038" w:rsidR="00494161" w:rsidRDefault="00494161" w:rsidP="00C6162E">
      <w:pPr>
        <w:pStyle w:val="ListParagraph"/>
        <w:numPr>
          <w:ilvl w:val="0"/>
          <w:numId w:val="2"/>
        </w:numPr>
        <w:jc w:val="both"/>
      </w:pPr>
      <w:r>
        <w:t>Completing and updating</w:t>
      </w:r>
      <w:r w:rsidRPr="00494161">
        <w:t xml:space="preserve"> due diligence and contractual documentation</w:t>
      </w:r>
      <w:r>
        <w:t>.</w:t>
      </w:r>
    </w:p>
    <w:p w14:paraId="37BA425E" w14:textId="74FA65C1" w:rsidR="00494161" w:rsidRDefault="00074F13" w:rsidP="00C6162E">
      <w:pPr>
        <w:pStyle w:val="ListParagraph"/>
        <w:numPr>
          <w:ilvl w:val="0"/>
          <w:numId w:val="2"/>
        </w:numPr>
        <w:jc w:val="both"/>
      </w:pPr>
      <w:r w:rsidRPr="00D3044F">
        <w:t xml:space="preserve">Completing relevant documentation for initial approval and validation of a partner and any </w:t>
      </w:r>
      <w:r w:rsidR="007D77DF" w:rsidRPr="00D3044F">
        <w:t>reapprovals</w:t>
      </w:r>
      <w:r w:rsidR="00494161">
        <w:t>.</w:t>
      </w:r>
      <w:r>
        <w:t xml:space="preserve"> </w:t>
      </w:r>
    </w:p>
    <w:p w14:paraId="38CDBFB9" w14:textId="60D86AB7" w:rsidR="00074F13" w:rsidRPr="00D3044F" w:rsidRDefault="00494161" w:rsidP="00C6162E">
      <w:pPr>
        <w:pStyle w:val="ListParagraph"/>
        <w:numPr>
          <w:ilvl w:val="0"/>
          <w:numId w:val="2"/>
        </w:numPr>
        <w:jc w:val="both"/>
      </w:pPr>
      <w:r>
        <w:t>A</w:t>
      </w:r>
      <w:r w:rsidR="00074F13">
        <w:t xml:space="preserve">ttending </w:t>
      </w:r>
      <w:r w:rsidR="00074F13" w:rsidRPr="00D3044F">
        <w:t>validation event</w:t>
      </w:r>
      <w:r>
        <w:t>s</w:t>
      </w:r>
      <w:r w:rsidR="00074F13" w:rsidRPr="00D3044F">
        <w:t>.</w:t>
      </w:r>
    </w:p>
    <w:p w14:paraId="2DA061BF" w14:textId="77777777" w:rsidR="00494161" w:rsidRPr="00D3044F" w:rsidRDefault="00494161" w:rsidP="00494161">
      <w:pPr>
        <w:pStyle w:val="ListParagraph"/>
        <w:numPr>
          <w:ilvl w:val="0"/>
          <w:numId w:val="2"/>
        </w:numPr>
        <w:jc w:val="both"/>
      </w:pPr>
      <w:r>
        <w:t>Ensuring delivery of the partnership provision remains appropriately aligned to the approved Programme Specification and Delivery Plan.</w:t>
      </w:r>
    </w:p>
    <w:p w14:paraId="2EBDA6C9" w14:textId="103C8E00" w:rsidR="00494161" w:rsidRDefault="00655970" w:rsidP="00C6162E">
      <w:pPr>
        <w:pStyle w:val="ListParagraph"/>
        <w:numPr>
          <w:ilvl w:val="0"/>
          <w:numId w:val="2"/>
        </w:numPr>
        <w:jc w:val="both"/>
      </w:pPr>
      <w:r>
        <w:t xml:space="preserve">Using the </w:t>
      </w:r>
      <w:hyperlink r:id="rId22" w:history="1">
        <w:r w:rsidRPr="00655970">
          <w:rPr>
            <w:rStyle w:val="Hyperlink"/>
          </w:rPr>
          <w:t>Partnership Risk Management Framework</w:t>
        </w:r>
      </w:hyperlink>
      <w:r>
        <w:t xml:space="preserve"> to m</w:t>
      </w:r>
      <w:r w:rsidR="00494161">
        <w:t xml:space="preserve">onitor the </w:t>
      </w:r>
      <w:r>
        <w:t>ongoing</w:t>
      </w:r>
      <w:r w:rsidR="00494161">
        <w:t xml:space="preserve"> health of the partnership, </w:t>
      </w:r>
      <w:r w:rsidR="00494161" w:rsidRPr="00494161">
        <w:t>identifying areas of risk and escalating or resolving these as appropriate</w:t>
      </w:r>
      <w:r>
        <w:t>; and providing regular updates to the Partnership Management Group (PMG).</w:t>
      </w:r>
    </w:p>
    <w:p w14:paraId="4840DE72" w14:textId="50D24C15" w:rsidR="00074F13" w:rsidRPr="00D3044F" w:rsidRDefault="00074F13" w:rsidP="00C6162E">
      <w:pPr>
        <w:pStyle w:val="ListParagraph"/>
        <w:numPr>
          <w:ilvl w:val="0"/>
          <w:numId w:val="2"/>
        </w:numPr>
        <w:jc w:val="both"/>
      </w:pPr>
      <w:r w:rsidRPr="00D3044F">
        <w:t>Completing the Annual Review form, in conjunction with other stakeholders and providing it to the partner for their comments.</w:t>
      </w:r>
    </w:p>
    <w:p w14:paraId="7BA284C4" w14:textId="77777777" w:rsidR="00074F13" w:rsidRPr="00D3044F" w:rsidRDefault="00074F13" w:rsidP="00C6162E">
      <w:pPr>
        <w:pStyle w:val="ListParagraph"/>
        <w:numPr>
          <w:ilvl w:val="0"/>
          <w:numId w:val="2"/>
        </w:numPr>
        <w:jc w:val="both"/>
      </w:pPr>
      <w:r w:rsidRPr="00D3044F">
        <w:t>Completing the Closure Plan, negotiating a smooth and appropriate exit with the partner.</w:t>
      </w:r>
    </w:p>
    <w:p w14:paraId="24CC4CBD" w14:textId="77777777" w:rsidR="00074F13" w:rsidRPr="00D3044F" w:rsidRDefault="00074F13" w:rsidP="00C6162E">
      <w:pPr>
        <w:pStyle w:val="ListParagraph"/>
        <w:numPr>
          <w:ilvl w:val="0"/>
          <w:numId w:val="2"/>
        </w:numPr>
        <w:jc w:val="both"/>
      </w:pPr>
      <w:r w:rsidRPr="00D3044F">
        <w:t>Working closely with the Faculty Partnership Lead, seeking advice and support where necessary in the fulfilment of the role.</w:t>
      </w:r>
    </w:p>
    <w:p w14:paraId="4CA8BA1D" w14:textId="77777777" w:rsidR="00074F13" w:rsidRPr="00D3044F" w:rsidRDefault="00074F13" w:rsidP="00C6162E">
      <w:pPr>
        <w:pStyle w:val="ListParagraph"/>
        <w:numPr>
          <w:ilvl w:val="0"/>
          <w:numId w:val="2"/>
        </w:numPr>
        <w:jc w:val="both"/>
      </w:pPr>
      <w:r w:rsidRPr="00D3044F">
        <w:t>Liaising with other relevant Programme Leaders where the partner’s portfolio includes multiple programmes</w:t>
      </w:r>
      <w:r w:rsidRPr="00D3044F">
        <w:rPr>
          <w:rStyle w:val="FootnoteReference"/>
        </w:rPr>
        <w:footnoteReference w:id="10"/>
      </w:r>
      <w:r w:rsidRPr="00D3044F">
        <w:t>.</w:t>
      </w:r>
    </w:p>
    <w:p w14:paraId="7FF8C100" w14:textId="73DE8C2C" w:rsidR="00074F13" w:rsidRPr="00D3044F" w:rsidRDefault="00074F13" w:rsidP="00C6162E">
      <w:pPr>
        <w:pStyle w:val="ListParagraph"/>
        <w:numPr>
          <w:ilvl w:val="0"/>
          <w:numId w:val="2"/>
        </w:numPr>
        <w:jc w:val="both"/>
      </w:pPr>
      <w:r w:rsidRPr="00D3044F">
        <w:t xml:space="preserve">Where required, serving as a ‘critical friend’ to teaching staff, providing advice and support on University </w:t>
      </w:r>
      <w:r w:rsidR="00B64258">
        <w:t xml:space="preserve">regulations and </w:t>
      </w:r>
      <w:r w:rsidRPr="00D3044F">
        <w:t>processes, teaching and assessment operations, student consultation and feedback, academic/ pastoral student support etc.</w:t>
      </w:r>
    </w:p>
    <w:p w14:paraId="7A60FF3E" w14:textId="2BA13F0C" w:rsidR="00074F13" w:rsidRPr="00D3044F" w:rsidRDefault="00074F13" w:rsidP="00C6162E">
      <w:pPr>
        <w:jc w:val="both"/>
      </w:pPr>
      <w:r>
        <w:t xml:space="preserve">In the case of more complex or high-risk provision, an Internal Verifier may be appointed by the Faculty to support the Academic Partnership Liaison Tutor and provide additional assurance. Where a subject is being delivered for </w:t>
      </w:r>
      <w:r w:rsidR="00C154F7">
        <w:t>whic</w:t>
      </w:r>
      <w:r w:rsidR="008B70EC">
        <w:t>h</w:t>
      </w:r>
      <w:r>
        <w:t xml:space="preserve"> there is no direct equivalent within the University’s portfolio, an External Verifier with appropriate discipline expertise may be appointed and remunerated by the Faculty (</w:t>
      </w:r>
      <w:r w:rsidRPr="008B70EC">
        <w:rPr>
          <w:b/>
          <w:bCs/>
        </w:rPr>
        <w:t>Note:</w:t>
      </w:r>
      <w:r>
        <w:t xml:space="preserve"> this does not replace the requirement for an independent external examiner).</w:t>
      </w:r>
    </w:p>
    <w:p w14:paraId="762CD838" w14:textId="7AE0F98C" w:rsidR="00074F13" w:rsidRPr="00D3044F" w:rsidRDefault="009A4875" w:rsidP="00074F13">
      <w:pPr>
        <w:pStyle w:val="Heading2"/>
      </w:pPr>
      <w:bookmarkStart w:id="13" w:name="_Toc183094938"/>
      <w:r>
        <w:t>Governance, Quality Assurance and Student Casework (GQASC)</w:t>
      </w:r>
      <w:bookmarkEnd w:id="13"/>
    </w:p>
    <w:p w14:paraId="316FCF5C" w14:textId="0907A7B3" w:rsidR="00074F13" w:rsidRPr="00D3044F" w:rsidRDefault="00074F13" w:rsidP="009D1E49">
      <w:pPr>
        <w:jc w:val="both"/>
      </w:pPr>
      <w:r w:rsidRPr="00D3044F">
        <w:t xml:space="preserve">Oversight responsibility for </w:t>
      </w:r>
      <w:r w:rsidR="009947AB">
        <w:t>the</w:t>
      </w:r>
      <w:r w:rsidRPr="00D3044F">
        <w:t xml:space="preserve"> range of academic partnerships </w:t>
      </w:r>
      <w:r w:rsidR="009947AB">
        <w:t xml:space="preserve">at the University </w:t>
      </w:r>
      <w:r w:rsidRPr="00D3044F">
        <w:t xml:space="preserve">resides with the </w:t>
      </w:r>
      <w:bookmarkStart w:id="14" w:name="_Hlk148431348"/>
      <w:r w:rsidR="00B64258">
        <w:t xml:space="preserve">nominated </w:t>
      </w:r>
      <w:r w:rsidR="006512CF">
        <w:t xml:space="preserve">Academic Quality and Standards Manager </w:t>
      </w:r>
      <w:bookmarkEnd w:id="14"/>
      <w:r w:rsidRPr="00D3044F">
        <w:t>who is responsible for:</w:t>
      </w:r>
    </w:p>
    <w:p w14:paraId="2972CF5F" w14:textId="2B45AF34" w:rsidR="00074F13" w:rsidRDefault="00074F13" w:rsidP="009D1E49">
      <w:pPr>
        <w:pStyle w:val="ListParagraph"/>
        <w:numPr>
          <w:ilvl w:val="0"/>
          <w:numId w:val="36"/>
        </w:numPr>
        <w:jc w:val="both"/>
      </w:pPr>
      <w:r>
        <w:t>Providing oversight of delegated partnership process responsibilities and operations in Faculties, particularly partnerships identified as presenting a higher risk</w:t>
      </w:r>
      <w:r w:rsidR="00637999">
        <w:t>.</w:t>
      </w:r>
    </w:p>
    <w:p w14:paraId="348A25E9" w14:textId="0C5BD7C4" w:rsidR="00074F13" w:rsidRDefault="00074F13" w:rsidP="009D1E49">
      <w:pPr>
        <w:pStyle w:val="ListParagraph"/>
        <w:numPr>
          <w:ilvl w:val="0"/>
          <w:numId w:val="36"/>
        </w:numPr>
        <w:jc w:val="both"/>
      </w:pPr>
      <w:r>
        <w:t xml:space="preserve">Advising on </w:t>
      </w:r>
      <w:r w:rsidR="00802F83">
        <w:t>partnership</w:t>
      </w:r>
      <w:r>
        <w:t xml:space="preserve"> quality assurance processes</w:t>
      </w:r>
      <w:r w:rsidR="00802F83">
        <w:t xml:space="preserve"> (category C+)</w:t>
      </w:r>
      <w:r w:rsidR="00637999">
        <w:t>.</w:t>
      </w:r>
    </w:p>
    <w:p w14:paraId="7DC04FFD" w14:textId="26D5E5F3" w:rsidR="00B64258" w:rsidRPr="00D3044F" w:rsidRDefault="00074F13" w:rsidP="00B64258">
      <w:pPr>
        <w:pStyle w:val="ListParagraph"/>
        <w:numPr>
          <w:ilvl w:val="0"/>
          <w:numId w:val="36"/>
        </w:numPr>
        <w:jc w:val="both"/>
      </w:pPr>
      <w:r w:rsidRPr="00D3044F">
        <w:t>Maintaining the</w:t>
      </w:r>
      <w:r w:rsidR="00B64258">
        <w:t xml:space="preserve"> register </w:t>
      </w:r>
      <w:r w:rsidR="00B64258" w:rsidRPr="00B64258">
        <w:t xml:space="preserve">of our </w:t>
      </w:r>
      <w:hyperlink r:id="rId23" w:history="1">
        <w:r w:rsidR="00B64258" w:rsidRPr="000B3181">
          <w:rPr>
            <w:rStyle w:val="Hyperlink"/>
          </w:rPr>
          <w:t>current academic partners</w:t>
        </w:r>
      </w:hyperlink>
      <w:r w:rsidR="000B3181">
        <w:t>, which</w:t>
      </w:r>
      <w:r w:rsidR="00B64258" w:rsidRPr="00B64258">
        <w:t xml:space="preserve"> is published annually on </w:t>
      </w:r>
      <w:r w:rsidR="000B3181">
        <w:t>the GQASC website.</w:t>
      </w:r>
    </w:p>
    <w:p w14:paraId="6A9BF040" w14:textId="19B25BAA" w:rsidR="00074F13" w:rsidRDefault="00074F13" w:rsidP="009D1E49">
      <w:pPr>
        <w:pStyle w:val="ListParagraph"/>
        <w:numPr>
          <w:ilvl w:val="0"/>
          <w:numId w:val="36"/>
        </w:numPr>
        <w:jc w:val="both"/>
      </w:pPr>
      <w:r>
        <w:lastRenderedPageBreak/>
        <w:t>Supporting Site Assessment and Partner Visits as required</w:t>
      </w:r>
      <w:r w:rsidR="00637999">
        <w:t>.</w:t>
      </w:r>
    </w:p>
    <w:p w14:paraId="7B5CCA72" w14:textId="63A876A2" w:rsidR="00074F13" w:rsidRPr="00D3044F" w:rsidRDefault="000B3181" w:rsidP="009D1E49">
      <w:pPr>
        <w:pStyle w:val="ListParagraph"/>
        <w:numPr>
          <w:ilvl w:val="0"/>
          <w:numId w:val="36"/>
        </w:numPr>
        <w:jc w:val="both"/>
      </w:pPr>
      <w:r>
        <w:t>Overseeing the</w:t>
      </w:r>
      <w:r w:rsidR="00074F13" w:rsidRPr="00D3044F">
        <w:t xml:space="preserve"> central repository for Academic Partnership documentation</w:t>
      </w:r>
      <w:r w:rsidR="00074F13">
        <w:t xml:space="preserve"> including contracts.</w:t>
      </w:r>
    </w:p>
    <w:p w14:paraId="7F7A56BA" w14:textId="79782A46" w:rsidR="00074F13" w:rsidRPr="00D3044F" w:rsidRDefault="000B3181" w:rsidP="009D1E49">
      <w:pPr>
        <w:pStyle w:val="ListParagraph"/>
        <w:numPr>
          <w:ilvl w:val="0"/>
          <w:numId w:val="36"/>
        </w:numPr>
        <w:jc w:val="both"/>
      </w:pPr>
      <w:r>
        <w:t>Overseeing</w:t>
      </w:r>
      <w:r w:rsidR="00074F13" w:rsidRPr="00D3044F">
        <w:t xml:space="preserve"> the business</w:t>
      </w:r>
      <w:r w:rsidRPr="00D3044F">
        <w:rPr>
          <w:rStyle w:val="FootnoteReference"/>
        </w:rPr>
        <w:footnoteReference w:id="11"/>
      </w:r>
      <w:r w:rsidR="00074F13" w:rsidRPr="00D3044F">
        <w:t xml:space="preserve"> and academic approval of category C+ partnerships.</w:t>
      </w:r>
    </w:p>
    <w:p w14:paraId="135E08B9" w14:textId="77777777" w:rsidR="00074F13" w:rsidRPr="00D3044F" w:rsidRDefault="00074F13" w:rsidP="009D1E49">
      <w:pPr>
        <w:pStyle w:val="ListParagraph"/>
        <w:numPr>
          <w:ilvl w:val="0"/>
          <w:numId w:val="36"/>
        </w:numPr>
        <w:jc w:val="both"/>
      </w:pPr>
      <w:r w:rsidRPr="00D3044F">
        <w:t>Reporting to Academic Board Committees and the Board of Governors with appropriate updates on the academic partnership portfolio.</w:t>
      </w:r>
    </w:p>
    <w:p w14:paraId="19814B18" w14:textId="77777777" w:rsidR="00074F13" w:rsidRPr="00D3044F" w:rsidRDefault="00074F13" w:rsidP="009D1E49">
      <w:pPr>
        <w:pStyle w:val="ListParagraph"/>
        <w:numPr>
          <w:ilvl w:val="0"/>
          <w:numId w:val="36"/>
        </w:numPr>
        <w:jc w:val="both"/>
      </w:pPr>
      <w:r>
        <w:t>Producing</w:t>
      </w:r>
      <w:r w:rsidRPr="00D3044F">
        <w:t xml:space="preserve"> the Institutional Annual Review Overview Report for Academic Partnerships</w:t>
      </w:r>
      <w:r w:rsidRPr="00D3044F">
        <w:rPr>
          <w:rStyle w:val="FootnoteReference"/>
        </w:rPr>
        <w:footnoteReference w:id="12"/>
      </w:r>
      <w:r>
        <w:t xml:space="preserve"> to provide assurance regarding the ongoing quality and standards of partner provision, and to highlight any risks or institutional action required</w:t>
      </w:r>
      <w:r w:rsidRPr="00D3044F">
        <w:t xml:space="preserve">. </w:t>
      </w:r>
    </w:p>
    <w:p w14:paraId="2337CAC2" w14:textId="2AEAA770" w:rsidR="00802F83" w:rsidRDefault="00074F13" w:rsidP="00A8744D">
      <w:pPr>
        <w:pStyle w:val="ListParagraph"/>
        <w:numPr>
          <w:ilvl w:val="0"/>
          <w:numId w:val="36"/>
        </w:numPr>
        <w:jc w:val="both"/>
      </w:pPr>
      <w:r w:rsidRPr="00D3044F">
        <w:t>Leading on the Annual Process Review</w:t>
      </w:r>
      <w:r w:rsidRPr="00D3044F">
        <w:rPr>
          <w:rStyle w:val="FootnoteReference"/>
        </w:rPr>
        <w:footnoteReference w:id="13"/>
      </w:r>
      <w:r w:rsidRPr="00D3044F">
        <w:t xml:space="preserve"> for this chapter to determine any changes required</w:t>
      </w:r>
      <w:r>
        <w:t xml:space="preserve"> to processes</w:t>
      </w:r>
      <w:r w:rsidRPr="00D3044F">
        <w:t>.</w:t>
      </w:r>
    </w:p>
    <w:p w14:paraId="4E414B45" w14:textId="6D3EB7EE" w:rsidR="00074F13" w:rsidRPr="00B014B6" w:rsidRDefault="00A8744D" w:rsidP="00074F13">
      <w:pPr>
        <w:pStyle w:val="Heading2"/>
      </w:pPr>
      <w:bookmarkStart w:id="17" w:name="_Toc183094939"/>
      <w:r>
        <w:t xml:space="preserve">The </w:t>
      </w:r>
      <w:r w:rsidR="00074F13" w:rsidRPr="00B014B6">
        <w:t xml:space="preserve">International </w:t>
      </w:r>
      <w:r w:rsidR="00D86244">
        <w:t>Office</w:t>
      </w:r>
      <w:bookmarkEnd w:id="17"/>
    </w:p>
    <w:p w14:paraId="39F18111" w14:textId="4AC02B4D" w:rsidR="00074F13" w:rsidRDefault="00E71AFA" w:rsidP="007D77DF">
      <w:pPr>
        <w:jc w:val="both"/>
      </w:pPr>
      <w:r>
        <w:t xml:space="preserve">The International </w:t>
      </w:r>
      <w:r w:rsidR="00D86244">
        <w:t>Office</w:t>
      </w:r>
      <w:r>
        <w:t>, w</w:t>
      </w:r>
      <w:r w:rsidR="00074F13">
        <w:t>orking in conjunction with Faculties</w:t>
      </w:r>
      <w:r>
        <w:t xml:space="preserve">, </w:t>
      </w:r>
      <w:r w:rsidR="00074F13">
        <w:t>support the development and delivery of academic partnership provision and is responsible for:</w:t>
      </w:r>
    </w:p>
    <w:p w14:paraId="00F12B57" w14:textId="77777777" w:rsidR="00074F13" w:rsidRDefault="00074F13" w:rsidP="007D77DF">
      <w:pPr>
        <w:pStyle w:val="ListParagraph"/>
        <w:numPr>
          <w:ilvl w:val="0"/>
          <w:numId w:val="35"/>
        </w:numPr>
        <w:jc w:val="both"/>
      </w:pPr>
      <w:r>
        <w:t>Managing the Study Abroad portfolio and all associated processes.</w:t>
      </w:r>
    </w:p>
    <w:p w14:paraId="3F186AFE" w14:textId="681658DA" w:rsidR="00074F13" w:rsidRDefault="00074F13" w:rsidP="007D77DF">
      <w:pPr>
        <w:pStyle w:val="ListParagraph"/>
        <w:numPr>
          <w:ilvl w:val="0"/>
          <w:numId w:val="35"/>
        </w:numPr>
        <w:jc w:val="both"/>
      </w:pPr>
      <w:r>
        <w:t>Providing expert advice on international contexts, visas, contracts etc. to support the development of new partnerships and monitoring of existing partnerships</w:t>
      </w:r>
      <w:r w:rsidR="00BE06D2">
        <w:t>.</w:t>
      </w:r>
    </w:p>
    <w:p w14:paraId="26CD6991" w14:textId="08014F14" w:rsidR="00074F13" w:rsidRDefault="00074F13" w:rsidP="007D77DF">
      <w:pPr>
        <w:pStyle w:val="ListParagraph"/>
        <w:numPr>
          <w:ilvl w:val="0"/>
          <w:numId w:val="35"/>
        </w:numPr>
        <w:jc w:val="both"/>
      </w:pPr>
      <w:r>
        <w:t>Production of country intelligence reports for overseas approval events</w:t>
      </w:r>
      <w:r w:rsidR="00BE06D2">
        <w:t>.</w:t>
      </w:r>
    </w:p>
    <w:p w14:paraId="3157B612" w14:textId="7AFF2C58" w:rsidR="00074F13" w:rsidRDefault="00074F13" w:rsidP="007D77DF">
      <w:pPr>
        <w:pStyle w:val="ListParagraph"/>
        <w:numPr>
          <w:ilvl w:val="0"/>
          <w:numId w:val="35"/>
        </w:numPr>
        <w:jc w:val="both"/>
      </w:pPr>
      <w:r>
        <w:t xml:space="preserve">Completing </w:t>
      </w:r>
      <w:r w:rsidR="00BA3FCC">
        <w:t>initial</w:t>
      </w:r>
      <w:r>
        <w:t xml:space="preserve"> due diligence checks for international partners</w:t>
      </w:r>
      <w:r w:rsidR="00BA3FCC">
        <w:t xml:space="preserve">, followed by more in-depth and comprehensive due diligence reports at a later stage which explicitly </w:t>
      </w:r>
      <w:r>
        <w:t>identify and categoris</w:t>
      </w:r>
      <w:r w:rsidR="00BA3FCC">
        <w:t>e</w:t>
      </w:r>
      <w:r>
        <w:t xml:space="preserve"> risks</w:t>
      </w:r>
      <w:r w:rsidR="00BE06D2">
        <w:t>.</w:t>
      </w:r>
    </w:p>
    <w:p w14:paraId="0480A28C" w14:textId="719E960D" w:rsidR="00074F13" w:rsidRDefault="00074F13" w:rsidP="00A8744D">
      <w:pPr>
        <w:pStyle w:val="ListParagraph"/>
        <w:numPr>
          <w:ilvl w:val="0"/>
          <w:numId w:val="35"/>
        </w:numPr>
        <w:jc w:val="both"/>
      </w:pPr>
      <w:r>
        <w:t>Supporting Site Assessments as required</w:t>
      </w:r>
      <w:r w:rsidR="00BE06D2">
        <w:t>.</w:t>
      </w:r>
    </w:p>
    <w:p w14:paraId="55E891DA" w14:textId="724D3178" w:rsidR="00074F13" w:rsidRPr="00F00523" w:rsidRDefault="00A8744D" w:rsidP="00C7164B">
      <w:pPr>
        <w:pStyle w:val="Heading2"/>
        <w:jc w:val="both"/>
      </w:pPr>
      <w:bookmarkStart w:id="18" w:name="_Toc183094940"/>
      <w:r>
        <w:t xml:space="preserve">The </w:t>
      </w:r>
      <w:r w:rsidR="00074F13" w:rsidRPr="00F00523">
        <w:t>Compliance Team</w:t>
      </w:r>
      <w:bookmarkEnd w:id="18"/>
    </w:p>
    <w:p w14:paraId="56302C7D" w14:textId="23C2C662" w:rsidR="00074F13" w:rsidRDefault="00074F13" w:rsidP="00C7164B">
      <w:pPr>
        <w:jc w:val="both"/>
      </w:pPr>
      <w:r>
        <w:t>Th</w:t>
      </w:r>
      <w:r w:rsidR="005A138A">
        <w:t>e Compliance Team</w:t>
      </w:r>
      <w:r>
        <w:t>, based in Academic Registry, are responsible for supporting degree and higher apprenticeship provision (category A5). Their specific responsibilities include:</w:t>
      </w:r>
    </w:p>
    <w:p w14:paraId="11279E84" w14:textId="1D920CFA" w:rsidR="00074F13" w:rsidRDefault="00074F13" w:rsidP="00C7164B">
      <w:pPr>
        <w:pStyle w:val="ListParagraph"/>
        <w:numPr>
          <w:ilvl w:val="0"/>
          <w:numId w:val="37"/>
        </w:numPr>
        <w:jc w:val="both"/>
      </w:pPr>
      <w:r>
        <w:t>Ensuring university compliance with the relevant central bodies, including the E</w:t>
      </w:r>
      <w:r w:rsidR="00D93E7E">
        <w:t>ducation and Skills Funding Agency (E</w:t>
      </w:r>
      <w:r>
        <w:t>SFA</w:t>
      </w:r>
      <w:r w:rsidR="00D93E7E">
        <w:t>)</w:t>
      </w:r>
      <w:r w:rsidR="00655970">
        <w:rPr>
          <w:rStyle w:val="FootnoteReference"/>
        </w:rPr>
        <w:footnoteReference w:id="14"/>
      </w:r>
      <w:r w:rsidR="00E123B5">
        <w:t>,</w:t>
      </w:r>
      <w:r>
        <w:t xml:space="preserve"> Ofsted</w:t>
      </w:r>
      <w:r w:rsidR="00E123B5">
        <w:t xml:space="preserve"> and the </w:t>
      </w:r>
      <w:proofErr w:type="spellStart"/>
      <w:r w:rsidR="00E123B5">
        <w:t>OfS</w:t>
      </w:r>
      <w:proofErr w:type="spellEnd"/>
      <w:r>
        <w:t>, in relation to validated apprenticeship provision</w:t>
      </w:r>
      <w:r w:rsidR="00E123B5">
        <w:t>.</w:t>
      </w:r>
    </w:p>
    <w:p w14:paraId="37F8DF08" w14:textId="77C9D3DC" w:rsidR="00074F13" w:rsidRDefault="00074F13" w:rsidP="00C7164B">
      <w:pPr>
        <w:pStyle w:val="ListParagraph"/>
        <w:numPr>
          <w:ilvl w:val="0"/>
          <w:numId w:val="37"/>
        </w:numPr>
        <w:jc w:val="both"/>
      </w:pPr>
      <w:r>
        <w:t xml:space="preserve">Maintaining a central Register of </w:t>
      </w:r>
      <w:r w:rsidR="00135A60">
        <w:t>A</w:t>
      </w:r>
      <w:r>
        <w:t>pprenticeship-</w:t>
      </w:r>
      <w:r w:rsidR="00135A60">
        <w:t>A</w:t>
      </w:r>
      <w:r>
        <w:t xml:space="preserve">pproved </w:t>
      </w:r>
      <w:r w:rsidR="00135A60">
        <w:t>E</w:t>
      </w:r>
      <w:r>
        <w:t>mployers.</w:t>
      </w:r>
    </w:p>
    <w:p w14:paraId="61910EC5" w14:textId="098351D8" w:rsidR="00074F13" w:rsidRDefault="00443CA8" w:rsidP="00C7164B">
      <w:pPr>
        <w:pStyle w:val="ListParagraph"/>
        <w:numPr>
          <w:ilvl w:val="0"/>
          <w:numId w:val="37"/>
        </w:numPr>
        <w:jc w:val="both"/>
      </w:pPr>
      <w:r>
        <w:t xml:space="preserve">In conjunction with </w:t>
      </w:r>
      <w:r w:rsidR="009A4875">
        <w:t>GQASC</w:t>
      </w:r>
      <w:r>
        <w:t>, o</w:t>
      </w:r>
      <w:r w:rsidR="00074F13">
        <w:t>verseeing the approval process for new apprenticeship-approved employers</w:t>
      </w:r>
      <w:r w:rsidR="00E123B5">
        <w:t>.</w:t>
      </w:r>
    </w:p>
    <w:p w14:paraId="14F085BE" w14:textId="4E168A2A" w:rsidR="00074F13" w:rsidRDefault="00443CA8" w:rsidP="00C7164B">
      <w:pPr>
        <w:pStyle w:val="ListParagraph"/>
        <w:numPr>
          <w:ilvl w:val="0"/>
          <w:numId w:val="37"/>
        </w:numPr>
        <w:jc w:val="both"/>
      </w:pPr>
      <w:r>
        <w:t xml:space="preserve">In conjunction with </w:t>
      </w:r>
      <w:r w:rsidR="009A4875">
        <w:t>GQASC</w:t>
      </w:r>
      <w:r>
        <w:t>, o</w:t>
      </w:r>
      <w:r w:rsidR="00361FD6">
        <w:t>verseeing</w:t>
      </w:r>
      <w:r w:rsidR="00074F13">
        <w:t xml:space="preserve"> processes for the monitoring of apprenticeship delivery arrangements.</w:t>
      </w:r>
    </w:p>
    <w:p w14:paraId="6A478C42" w14:textId="1A210CD9" w:rsidR="00074F13" w:rsidRDefault="00074F13" w:rsidP="00C7164B">
      <w:pPr>
        <w:pStyle w:val="ListParagraph"/>
        <w:numPr>
          <w:ilvl w:val="0"/>
          <w:numId w:val="37"/>
        </w:numPr>
        <w:jc w:val="both"/>
      </w:pPr>
      <w:r>
        <w:t xml:space="preserve">Completing the appropriate due diligence checks for potential domestic partners, including </w:t>
      </w:r>
      <w:r w:rsidR="001645E3">
        <w:t>a</w:t>
      </w:r>
      <w:r w:rsidR="007E623F">
        <w:t>pproved Apprenticeship Employer</w:t>
      </w:r>
      <w:r>
        <w:t>s</w:t>
      </w:r>
      <w:r w:rsidR="00C23936">
        <w:t>.</w:t>
      </w:r>
    </w:p>
    <w:p w14:paraId="55DCAFB2" w14:textId="32422B3C" w:rsidR="00074F13" w:rsidRDefault="00074F13" w:rsidP="00C7164B">
      <w:pPr>
        <w:pStyle w:val="ListParagraph"/>
        <w:numPr>
          <w:ilvl w:val="0"/>
          <w:numId w:val="37"/>
        </w:numPr>
        <w:jc w:val="both"/>
      </w:pPr>
      <w:r>
        <w:lastRenderedPageBreak/>
        <w:t>Supporting the Institutional Apprenticeship Group in its operation and implementation of the University Apprenticeship Strategy</w:t>
      </w:r>
      <w:r w:rsidR="00C23936">
        <w:t>.</w:t>
      </w:r>
    </w:p>
    <w:p w14:paraId="3DD8670C" w14:textId="1DCB23F1" w:rsidR="00074F13" w:rsidRPr="00D3044F" w:rsidRDefault="00074F13" w:rsidP="00074F13">
      <w:pPr>
        <w:pStyle w:val="ListParagraph"/>
        <w:numPr>
          <w:ilvl w:val="0"/>
          <w:numId w:val="37"/>
        </w:numPr>
        <w:jc w:val="both"/>
      </w:pPr>
      <w:r>
        <w:t xml:space="preserve">Arranging the completion of relevant contractual and delivery documentation with </w:t>
      </w:r>
      <w:r w:rsidR="007E623F">
        <w:t>Approved Apprenticeship Employer</w:t>
      </w:r>
      <w:r>
        <w:t>s.</w:t>
      </w:r>
    </w:p>
    <w:p w14:paraId="5032FEBA" w14:textId="780B6EEB" w:rsidR="00274A33" w:rsidRPr="00D3044F" w:rsidRDefault="00A8744D" w:rsidP="00A8744D">
      <w:pPr>
        <w:pStyle w:val="Heading1"/>
      </w:pPr>
      <w:bookmarkStart w:id="19" w:name="_Toc183094941"/>
      <w:r>
        <w:t>CATEGORY A PARTNERSHIPS</w:t>
      </w:r>
      <w:bookmarkEnd w:id="19"/>
      <w:r>
        <w:t xml:space="preserve"> </w:t>
      </w:r>
    </w:p>
    <w:tbl>
      <w:tblPr>
        <w:tblStyle w:val="TableGrid"/>
        <w:tblW w:w="0" w:type="auto"/>
        <w:tblLook w:val="04A0" w:firstRow="1" w:lastRow="0" w:firstColumn="1" w:lastColumn="0" w:noHBand="0" w:noVBand="1"/>
      </w:tblPr>
      <w:tblGrid>
        <w:gridCol w:w="1108"/>
        <w:gridCol w:w="1518"/>
        <w:gridCol w:w="1061"/>
        <w:gridCol w:w="5329"/>
      </w:tblGrid>
      <w:tr w:rsidR="00027243" w:rsidRPr="00D3044F" w14:paraId="3D5BA53C" w14:textId="77777777" w:rsidTr="00CB2078">
        <w:trPr>
          <w:trHeight w:val="645"/>
          <w:tblHeader/>
        </w:trPr>
        <w:tc>
          <w:tcPr>
            <w:tcW w:w="1108" w:type="dxa"/>
            <w:vMerge w:val="restart"/>
          </w:tcPr>
          <w:p w14:paraId="4F630986" w14:textId="77777777" w:rsidR="00027243" w:rsidRPr="00D3044F" w:rsidRDefault="00027243" w:rsidP="00A005A2">
            <w:r w:rsidRPr="00D3044F">
              <w:t>A</w:t>
            </w:r>
          </w:p>
        </w:tc>
        <w:tc>
          <w:tcPr>
            <w:tcW w:w="1518" w:type="dxa"/>
            <w:vMerge w:val="restart"/>
          </w:tcPr>
          <w:p w14:paraId="25713F5C" w14:textId="77777777" w:rsidR="00027243" w:rsidRPr="00D3044F" w:rsidRDefault="00027243" w:rsidP="00A005A2">
            <w:r w:rsidRPr="00D3044F">
              <w:t>Placement and Study Abroad</w:t>
            </w:r>
          </w:p>
        </w:tc>
        <w:tc>
          <w:tcPr>
            <w:tcW w:w="1061" w:type="dxa"/>
          </w:tcPr>
          <w:p w14:paraId="0498728F" w14:textId="77777777" w:rsidR="00027243" w:rsidRPr="00D3044F" w:rsidRDefault="00027243" w:rsidP="00A005A2">
            <w:r w:rsidRPr="00D3044F">
              <w:t>A1</w:t>
            </w:r>
          </w:p>
        </w:tc>
        <w:tc>
          <w:tcPr>
            <w:tcW w:w="5329" w:type="dxa"/>
          </w:tcPr>
          <w:p w14:paraId="676F8C06" w14:textId="77777777" w:rsidR="00027243" w:rsidRPr="00D3044F" w:rsidRDefault="00027243" w:rsidP="00A005A2">
            <w:r w:rsidRPr="00D3044F">
              <w:t>School-based training, clinical and other placements (ex-clinical) (UK)</w:t>
            </w:r>
          </w:p>
        </w:tc>
      </w:tr>
      <w:tr w:rsidR="00027243" w:rsidRPr="00D3044F" w14:paraId="07F2CBA6" w14:textId="77777777" w:rsidTr="00CB2078">
        <w:trPr>
          <w:tblHeader/>
        </w:trPr>
        <w:tc>
          <w:tcPr>
            <w:tcW w:w="1108" w:type="dxa"/>
            <w:vMerge/>
          </w:tcPr>
          <w:p w14:paraId="461AA7BB" w14:textId="77777777" w:rsidR="00027243" w:rsidRPr="00D3044F" w:rsidRDefault="00027243" w:rsidP="00A005A2"/>
        </w:tc>
        <w:tc>
          <w:tcPr>
            <w:tcW w:w="1518" w:type="dxa"/>
            <w:vMerge/>
          </w:tcPr>
          <w:p w14:paraId="07A19A5D" w14:textId="77777777" w:rsidR="00027243" w:rsidRPr="00D3044F" w:rsidRDefault="00027243" w:rsidP="00A005A2"/>
        </w:tc>
        <w:tc>
          <w:tcPr>
            <w:tcW w:w="1061" w:type="dxa"/>
          </w:tcPr>
          <w:p w14:paraId="5DAB84B3" w14:textId="77777777" w:rsidR="00027243" w:rsidRPr="00D3044F" w:rsidRDefault="00027243" w:rsidP="00A005A2">
            <w:r w:rsidRPr="00D3044F">
              <w:t>A3</w:t>
            </w:r>
          </w:p>
        </w:tc>
        <w:tc>
          <w:tcPr>
            <w:tcW w:w="5329" w:type="dxa"/>
          </w:tcPr>
          <w:p w14:paraId="180EB998" w14:textId="77777777" w:rsidR="00027243" w:rsidRPr="00D3044F" w:rsidRDefault="00027243" w:rsidP="00A005A2">
            <w:r w:rsidRPr="00D3044F">
              <w:t>Study Abroad and work placements (Overseas)</w:t>
            </w:r>
          </w:p>
        </w:tc>
      </w:tr>
      <w:tr w:rsidR="00027243" w:rsidRPr="00D3044F" w14:paraId="0C0DB0C5" w14:textId="77777777" w:rsidTr="00CB2078">
        <w:trPr>
          <w:tblHeader/>
        </w:trPr>
        <w:tc>
          <w:tcPr>
            <w:tcW w:w="1108" w:type="dxa"/>
            <w:vMerge/>
          </w:tcPr>
          <w:p w14:paraId="087B411A" w14:textId="77777777" w:rsidR="00027243" w:rsidRPr="00D3044F" w:rsidRDefault="00027243" w:rsidP="00A005A2"/>
        </w:tc>
        <w:tc>
          <w:tcPr>
            <w:tcW w:w="1518" w:type="dxa"/>
            <w:vMerge/>
          </w:tcPr>
          <w:p w14:paraId="7B7D32D8" w14:textId="77777777" w:rsidR="00027243" w:rsidRPr="00D3044F" w:rsidRDefault="00027243" w:rsidP="00A005A2"/>
        </w:tc>
        <w:tc>
          <w:tcPr>
            <w:tcW w:w="1061" w:type="dxa"/>
          </w:tcPr>
          <w:p w14:paraId="0D1495B6" w14:textId="77777777" w:rsidR="00027243" w:rsidRPr="00D3044F" w:rsidRDefault="00027243" w:rsidP="00A005A2">
            <w:r w:rsidRPr="00D3044F">
              <w:t>A4</w:t>
            </w:r>
          </w:p>
        </w:tc>
        <w:tc>
          <w:tcPr>
            <w:tcW w:w="5329" w:type="dxa"/>
          </w:tcPr>
          <w:p w14:paraId="69C029BA" w14:textId="77777777" w:rsidR="00027243" w:rsidRPr="00D3044F" w:rsidRDefault="00027243" w:rsidP="00A005A2">
            <w:r w:rsidRPr="00D3044F">
              <w:t>Clinical placements (UK)</w:t>
            </w:r>
          </w:p>
        </w:tc>
      </w:tr>
      <w:tr w:rsidR="00027243" w:rsidRPr="00D3044F" w14:paraId="33B6DFDB" w14:textId="77777777" w:rsidTr="00CB2078">
        <w:trPr>
          <w:tblHeader/>
        </w:trPr>
        <w:tc>
          <w:tcPr>
            <w:tcW w:w="1108" w:type="dxa"/>
            <w:vMerge/>
          </w:tcPr>
          <w:p w14:paraId="7698DA71" w14:textId="77777777" w:rsidR="00027243" w:rsidRPr="00D3044F" w:rsidRDefault="00027243" w:rsidP="00A005A2"/>
        </w:tc>
        <w:tc>
          <w:tcPr>
            <w:tcW w:w="1518" w:type="dxa"/>
            <w:vMerge/>
          </w:tcPr>
          <w:p w14:paraId="61010E12" w14:textId="77777777" w:rsidR="00027243" w:rsidRPr="00D3044F" w:rsidRDefault="00027243" w:rsidP="00A005A2"/>
        </w:tc>
        <w:tc>
          <w:tcPr>
            <w:tcW w:w="1061" w:type="dxa"/>
          </w:tcPr>
          <w:p w14:paraId="0085AD79" w14:textId="402783EF" w:rsidR="00027243" w:rsidRPr="00D3044F" w:rsidRDefault="00027243" w:rsidP="00A005A2">
            <w:r>
              <w:t>A5</w:t>
            </w:r>
          </w:p>
        </w:tc>
        <w:tc>
          <w:tcPr>
            <w:tcW w:w="5329" w:type="dxa"/>
          </w:tcPr>
          <w:p w14:paraId="235CA1C6" w14:textId="1CFFB08E" w:rsidR="00027243" w:rsidRPr="00D3044F" w:rsidRDefault="00027243" w:rsidP="00A005A2">
            <w:r>
              <w:t>Degree and Higher Apprenticeships</w:t>
            </w:r>
          </w:p>
        </w:tc>
      </w:tr>
      <w:tr w:rsidR="00027243" w:rsidRPr="00D3044F" w14:paraId="2488C04B" w14:textId="77777777" w:rsidTr="00C10238">
        <w:trPr>
          <w:tblHeader/>
        </w:trPr>
        <w:tc>
          <w:tcPr>
            <w:tcW w:w="1108" w:type="dxa"/>
            <w:vMerge/>
            <w:tcBorders>
              <w:bottom w:val="single" w:sz="4" w:space="0" w:color="auto"/>
            </w:tcBorders>
          </w:tcPr>
          <w:p w14:paraId="04433423" w14:textId="77777777" w:rsidR="00027243" w:rsidRPr="00D3044F" w:rsidRDefault="00027243" w:rsidP="00027243"/>
        </w:tc>
        <w:tc>
          <w:tcPr>
            <w:tcW w:w="1518" w:type="dxa"/>
            <w:vMerge/>
            <w:tcBorders>
              <w:bottom w:val="single" w:sz="4" w:space="0" w:color="auto"/>
            </w:tcBorders>
          </w:tcPr>
          <w:p w14:paraId="2133C988" w14:textId="77777777" w:rsidR="00027243" w:rsidRPr="00D3044F" w:rsidRDefault="00027243" w:rsidP="00027243"/>
        </w:tc>
        <w:tc>
          <w:tcPr>
            <w:tcW w:w="1061" w:type="dxa"/>
            <w:tcBorders>
              <w:top w:val="single" w:sz="4" w:space="0" w:color="auto"/>
            </w:tcBorders>
          </w:tcPr>
          <w:p w14:paraId="5AC71D54" w14:textId="5A5E5FFA" w:rsidR="00027243" w:rsidRPr="00D3044F" w:rsidRDefault="00027243" w:rsidP="00027243">
            <w:r>
              <w:t>A6</w:t>
            </w:r>
          </w:p>
        </w:tc>
        <w:tc>
          <w:tcPr>
            <w:tcW w:w="5329" w:type="dxa"/>
            <w:tcBorders>
              <w:top w:val="single" w:sz="4" w:space="0" w:color="auto"/>
            </w:tcBorders>
          </w:tcPr>
          <w:p w14:paraId="23BCFED4" w14:textId="7C2A22C0" w:rsidR="00027243" w:rsidRPr="00D3044F" w:rsidRDefault="00027243" w:rsidP="00027243">
            <w:r w:rsidRPr="007A4390">
              <w:rPr>
                <w:color w:val="000000" w:themeColor="text1"/>
              </w:rPr>
              <w:t xml:space="preserve"> PGCE with Lead Partners</w:t>
            </w:r>
          </w:p>
        </w:tc>
      </w:tr>
    </w:tbl>
    <w:p w14:paraId="2D45B658" w14:textId="77777777" w:rsidR="00274A33" w:rsidRPr="00D3044F" w:rsidRDefault="00274A33" w:rsidP="00274A33"/>
    <w:p w14:paraId="6671112D" w14:textId="155512C9" w:rsidR="00274A33" w:rsidRDefault="00274A33" w:rsidP="00C330DE">
      <w:pPr>
        <w:contextualSpacing/>
        <w:jc w:val="both"/>
      </w:pPr>
      <w:r w:rsidRPr="00D3044F">
        <w:t>This category covers placements</w:t>
      </w:r>
      <w:r>
        <w:t>,</w:t>
      </w:r>
      <w:r w:rsidRPr="00D3044F">
        <w:t xml:space="preserve"> Study Abroad</w:t>
      </w:r>
      <w:r>
        <w:t xml:space="preserve"> arrangements</w:t>
      </w:r>
      <w:r w:rsidRPr="00D3044F">
        <w:t>, including sandwich years and student exchanges</w:t>
      </w:r>
      <w:r w:rsidR="0D0E484D">
        <w:t>,</w:t>
      </w:r>
      <w:r>
        <w:t xml:space="preserve"> the delivery of degree and higher apprenticeships (including foundation awards such as the </w:t>
      </w:r>
      <w:proofErr w:type="spellStart"/>
      <w:r>
        <w:t>FDSc</w:t>
      </w:r>
      <w:proofErr w:type="spellEnd"/>
      <w:r>
        <w:t xml:space="preserve"> Nursing Associate programme)</w:t>
      </w:r>
      <w:r w:rsidR="00C23936">
        <w:t xml:space="preserve">, and </w:t>
      </w:r>
      <w:r w:rsidR="00A71727">
        <w:t>the</w:t>
      </w:r>
      <w:r w:rsidR="00BB34C4">
        <w:t xml:space="preserve"> lead partner</w:t>
      </w:r>
      <w:r w:rsidR="004A0E18">
        <w:t xml:space="preserve"> route</w:t>
      </w:r>
      <w:r w:rsidR="00A71727">
        <w:t xml:space="preserve"> to achieve a Postgraduate Certificate of Education (PGCE) with Qualified Teacher Status</w:t>
      </w:r>
      <w:r w:rsidRPr="00D3044F">
        <w:t>. Here the University delegates to a partner organisation limited responsibility for student learning</w:t>
      </w:r>
      <w:r w:rsidR="6C09D5F6">
        <w:t xml:space="preserve">, </w:t>
      </w:r>
      <w:r w:rsidRPr="00D3044F">
        <w:t xml:space="preserve">assessment </w:t>
      </w:r>
      <w:r w:rsidR="6CFACD65">
        <w:t xml:space="preserve">and the student experience </w:t>
      </w:r>
      <w:r w:rsidRPr="00D3044F">
        <w:t>for which Faculties hold significant responsibilities</w:t>
      </w:r>
      <w:r>
        <w:t>. This generally takes place within a work-setting within designated parameters outlined in agreements with the employer</w:t>
      </w:r>
      <w:r w:rsidRPr="00D3044F">
        <w:t>. Responsibility for the determination of appropriate processes for the approval, review and closure of partnerships which fall under category A resides with the Faculties</w:t>
      </w:r>
      <w:r>
        <w:t xml:space="preserve">, </w:t>
      </w:r>
      <w:r w:rsidRPr="00D3044F">
        <w:t xml:space="preserve">International </w:t>
      </w:r>
      <w:r w:rsidR="0E50A751">
        <w:t>Team</w:t>
      </w:r>
      <w:r>
        <w:t xml:space="preserve"> and Compliance Team</w:t>
      </w:r>
      <w:r w:rsidRPr="00D3044F">
        <w:t>.</w:t>
      </w:r>
    </w:p>
    <w:p w14:paraId="4CCF7F43" w14:textId="06121471" w:rsidR="00513A63" w:rsidRDefault="00513A63" w:rsidP="00A70F07">
      <w:pPr>
        <w:pStyle w:val="Heading2"/>
      </w:pPr>
      <w:bookmarkStart w:id="20" w:name="_Toc183094942"/>
      <w:r>
        <w:t>Category A1-4</w:t>
      </w:r>
      <w:r w:rsidR="00027243">
        <w:t xml:space="preserve"> and A6</w:t>
      </w:r>
      <w:r>
        <w:t xml:space="preserve"> </w:t>
      </w:r>
      <w:r w:rsidR="00A8744D">
        <w:t>P</w:t>
      </w:r>
      <w:r w:rsidR="00751A92">
        <w:t>rocesses</w:t>
      </w:r>
      <w:bookmarkEnd w:id="20"/>
    </w:p>
    <w:p w14:paraId="1AACE8EE" w14:textId="1DA5583D" w:rsidR="00274A33" w:rsidRPr="00D3044F" w:rsidRDefault="00274A33" w:rsidP="00274A33">
      <w:pPr>
        <w:pStyle w:val="Heading3"/>
      </w:pPr>
      <w:bookmarkStart w:id="21" w:name="_Toc183094943"/>
      <w:r w:rsidRPr="00D3044F">
        <w:t>Placements</w:t>
      </w:r>
      <w:bookmarkEnd w:id="21"/>
      <w:r>
        <w:t xml:space="preserve"> </w:t>
      </w:r>
    </w:p>
    <w:p w14:paraId="67F247C0" w14:textId="77777777" w:rsidR="00CE787F" w:rsidRDefault="00274A33" w:rsidP="00F9537B">
      <w:pPr>
        <w:contextualSpacing/>
        <w:jc w:val="both"/>
      </w:pPr>
      <w:r w:rsidRPr="00D3044F">
        <w:t xml:space="preserve">Placements form an important part of the University’s curriculum and emphasis upon employability. Many </w:t>
      </w:r>
      <w:r w:rsidR="00DC626D">
        <w:t>awards</w:t>
      </w:r>
      <w:r w:rsidRPr="00D3044F">
        <w:t xml:space="preserve"> provide curricular (credit-bearing) and/ or extra-curricular placements whereby students acquire knowledge and experience that help them to achieve the Programme Learning Outcomes and enhance their employability. </w:t>
      </w:r>
      <w:r w:rsidR="00CE787F">
        <w:t>Examples include:</w:t>
      </w:r>
    </w:p>
    <w:p w14:paraId="62ABE1EE" w14:textId="66422ABB" w:rsidR="00CE787F" w:rsidRDefault="00CE787F" w:rsidP="00CE787F">
      <w:pPr>
        <w:pStyle w:val="ListParagraph"/>
        <w:numPr>
          <w:ilvl w:val="0"/>
          <w:numId w:val="46"/>
        </w:numPr>
        <w:jc w:val="both"/>
      </w:pPr>
      <w:r w:rsidRPr="00604109">
        <w:rPr>
          <w:b/>
          <w:bCs/>
        </w:rPr>
        <w:t>Statutory placements</w:t>
      </w:r>
      <w:r>
        <w:t xml:space="preserve"> </w:t>
      </w:r>
      <w:r w:rsidR="005C1089">
        <w:t>–</w:t>
      </w:r>
      <w:r w:rsidR="00941BA6">
        <w:t xml:space="preserve"> trainee t</w:t>
      </w:r>
      <w:r w:rsidR="00941BA6" w:rsidRPr="00D3044F">
        <w:t>eachers and healthcare practitioners</w:t>
      </w:r>
      <w:r w:rsidR="00941BA6">
        <w:t xml:space="preserve"> complete statutory placements as</w:t>
      </w:r>
      <w:r w:rsidR="00274A33" w:rsidRPr="00D3044F">
        <w:t xml:space="preserve"> part of </w:t>
      </w:r>
      <w:r w:rsidR="00941BA6">
        <w:t xml:space="preserve">their </w:t>
      </w:r>
      <w:r w:rsidR="00274A33" w:rsidRPr="00D3044F">
        <w:t>professional training</w:t>
      </w:r>
      <w:r w:rsidR="00B541C1">
        <w:t>.</w:t>
      </w:r>
    </w:p>
    <w:p w14:paraId="4DB13887" w14:textId="6CB79964" w:rsidR="004B4D97" w:rsidRDefault="00FE7CCF" w:rsidP="00CE787F">
      <w:pPr>
        <w:pStyle w:val="ListParagraph"/>
        <w:numPr>
          <w:ilvl w:val="0"/>
          <w:numId w:val="46"/>
        </w:numPr>
        <w:jc w:val="both"/>
      </w:pPr>
      <w:r>
        <w:rPr>
          <w:b/>
          <w:bCs/>
        </w:rPr>
        <w:t xml:space="preserve">Placement Leaning / </w:t>
      </w:r>
      <w:r w:rsidR="00274A33" w:rsidRPr="00941BA6">
        <w:rPr>
          <w:b/>
          <w:bCs/>
        </w:rPr>
        <w:t>Work-Based Learning (WBL)</w:t>
      </w:r>
      <w:r w:rsidR="00385D88">
        <w:t xml:space="preserve"> </w:t>
      </w:r>
      <w:bookmarkStart w:id="22" w:name="_Hlk86934982"/>
      <w:r w:rsidR="00941BA6">
        <w:t>–</w:t>
      </w:r>
      <w:bookmarkEnd w:id="22"/>
      <w:r w:rsidR="00941BA6">
        <w:t xml:space="preserve"> </w:t>
      </w:r>
      <w:r w:rsidR="000043AB">
        <w:t xml:space="preserve">placements </w:t>
      </w:r>
      <w:r w:rsidR="00274A33" w:rsidRPr="00D3044F">
        <w:t>developed and delivered in association with employers</w:t>
      </w:r>
      <w:r w:rsidR="00774CEC">
        <w:t>,</w:t>
      </w:r>
      <w:r w:rsidR="004B4D97">
        <w:t xml:space="preserve"> and</w:t>
      </w:r>
      <w:r w:rsidR="00274A33" w:rsidRPr="00D3044F">
        <w:t xml:space="preserve"> one of the defining characteristics of </w:t>
      </w:r>
      <w:r w:rsidR="00D13183">
        <w:t xml:space="preserve">some </w:t>
      </w:r>
      <w:r w:rsidR="01CC58BD" w:rsidRPr="00D3044F">
        <w:t>non-professional</w:t>
      </w:r>
      <w:r w:rsidR="00274A33" w:rsidRPr="00D3044F">
        <w:t xml:space="preserve"> </w:t>
      </w:r>
      <w:r w:rsidR="00DE6FC7">
        <w:t>awards</w:t>
      </w:r>
      <w:r w:rsidR="006B5D6D">
        <w:t xml:space="preserve"> such as a </w:t>
      </w:r>
      <w:r w:rsidR="00DE6FC7">
        <w:t>F</w:t>
      </w:r>
      <w:r w:rsidR="006B5D6D">
        <w:t xml:space="preserve">oundation </w:t>
      </w:r>
      <w:r w:rsidR="00DE6FC7">
        <w:t>Degrees</w:t>
      </w:r>
      <w:r w:rsidR="00274A33" w:rsidRPr="00D3044F">
        <w:rPr>
          <w:rStyle w:val="FootnoteReference"/>
        </w:rPr>
        <w:footnoteReference w:id="15"/>
      </w:r>
      <w:r w:rsidR="00DE6FC7">
        <w:t xml:space="preserve">. </w:t>
      </w:r>
    </w:p>
    <w:p w14:paraId="5AB6E57A" w14:textId="3788E4B4" w:rsidR="00B83BA4" w:rsidRDefault="00274A33" w:rsidP="001C2228">
      <w:pPr>
        <w:pStyle w:val="ListParagraph"/>
        <w:numPr>
          <w:ilvl w:val="0"/>
          <w:numId w:val="46"/>
        </w:numPr>
        <w:jc w:val="both"/>
      </w:pPr>
      <w:r w:rsidRPr="004B4D97">
        <w:rPr>
          <w:b/>
          <w:bCs/>
        </w:rPr>
        <w:t>Sandwich Years</w:t>
      </w:r>
      <w:r w:rsidR="004B4D97">
        <w:t xml:space="preserve"> </w:t>
      </w:r>
      <w:r w:rsidR="005C1089">
        <w:t xml:space="preserve">– </w:t>
      </w:r>
      <w:r w:rsidRPr="00D3044F">
        <w:t>enable students to undertake at least 32 weeks of supervised work experience for which they receive academic credit that contributes to their final award</w:t>
      </w:r>
      <w:r w:rsidR="00E255A6" w:rsidRPr="00E255A6">
        <w:t xml:space="preserve"> </w:t>
      </w:r>
      <w:r w:rsidR="00E255A6">
        <w:lastRenderedPageBreak/>
        <w:t xml:space="preserve">See </w:t>
      </w:r>
      <w:hyperlink r:id="rId24" w:history="1">
        <w:r w:rsidR="00E255A6" w:rsidRPr="00F8329D">
          <w:rPr>
            <w:rStyle w:val="Hyperlink"/>
            <w:iCs/>
          </w:rPr>
          <w:t xml:space="preserve">Academic </w:t>
        </w:r>
        <w:r w:rsidR="00E255A6" w:rsidRPr="00F8329D">
          <w:rPr>
            <w:rStyle w:val="Hyperlink"/>
            <w:iCs/>
          </w:rPr>
          <w:t>R</w:t>
        </w:r>
        <w:r w:rsidR="00E255A6" w:rsidRPr="00F8329D">
          <w:rPr>
            <w:rStyle w:val="Hyperlink"/>
            <w:iCs/>
          </w:rPr>
          <w:t>egu</w:t>
        </w:r>
        <w:r w:rsidR="00E255A6" w:rsidRPr="00F8329D">
          <w:rPr>
            <w:rStyle w:val="Hyperlink"/>
            <w:iCs/>
          </w:rPr>
          <w:t>l</w:t>
        </w:r>
        <w:r w:rsidR="00E255A6" w:rsidRPr="00F8329D">
          <w:rPr>
            <w:rStyle w:val="Hyperlink"/>
            <w:iCs/>
          </w:rPr>
          <w:t>ations</w:t>
        </w:r>
      </w:hyperlink>
      <w:r w:rsidR="00E255A6" w:rsidRPr="00D3044F">
        <w:rPr>
          <w:iCs/>
        </w:rPr>
        <w:t xml:space="preserve"> </w:t>
      </w:r>
      <w:r w:rsidR="00E255A6">
        <w:rPr>
          <w:iCs/>
        </w:rPr>
        <w:t>for further details</w:t>
      </w:r>
      <w:r w:rsidRPr="00D3044F">
        <w:t>.</w:t>
      </w:r>
      <w:r w:rsidR="000043AB">
        <w:t xml:space="preserve"> Sandwich years may be added to certain undergraduate</w:t>
      </w:r>
      <w:r w:rsidR="00853660">
        <w:t xml:space="preserve"> degrees using the process described in Chapter 4 of this Handbook.</w:t>
      </w:r>
    </w:p>
    <w:p w14:paraId="415C0668" w14:textId="0232320E" w:rsidR="00274A33" w:rsidRPr="00D3044F" w:rsidRDefault="002A0643" w:rsidP="001C2228">
      <w:pPr>
        <w:jc w:val="both"/>
      </w:pPr>
      <w:r>
        <w:t>P</w:t>
      </w:r>
      <w:r w:rsidR="00274A33" w:rsidRPr="00D3044F">
        <w:t xml:space="preserve">lacement learning and </w:t>
      </w:r>
      <w:r w:rsidR="009706E1">
        <w:t>w</w:t>
      </w:r>
      <w:r w:rsidR="00274A33" w:rsidRPr="00D3044F">
        <w:t>ork-</w:t>
      </w:r>
      <w:r w:rsidR="009706E1">
        <w:t>b</w:t>
      </w:r>
      <w:r w:rsidR="00274A33" w:rsidRPr="00D3044F">
        <w:t xml:space="preserve">ased </w:t>
      </w:r>
      <w:r w:rsidR="009706E1">
        <w:t>l</w:t>
      </w:r>
      <w:r w:rsidR="00274A33" w:rsidRPr="00D3044F">
        <w:t>earning can be differentiated as follows</w:t>
      </w:r>
      <w:r w:rsidR="00274A33" w:rsidRPr="00D3044F">
        <w:rPr>
          <w:rStyle w:val="FootnoteReference"/>
        </w:rPr>
        <w:footnoteReference w:id="16"/>
      </w:r>
      <w:r w:rsidR="00274A33" w:rsidRPr="00D3044F">
        <w:t>:</w:t>
      </w:r>
    </w:p>
    <w:p w14:paraId="026EA5A4" w14:textId="77777777" w:rsidR="00274A33" w:rsidRPr="00D3044F" w:rsidRDefault="00274A33" w:rsidP="001C2228">
      <w:pPr>
        <w:pStyle w:val="ListParagraph"/>
        <w:numPr>
          <w:ilvl w:val="0"/>
          <w:numId w:val="25"/>
        </w:numPr>
        <w:jc w:val="both"/>
      </w:pPr>
      <w:r w:rsidRPr="00F9537B">
        <w:rPr>
          <w:b/>
          <w:bCs/>
          <w:i/>
          <w:iCs/>
        </w:rPr>
        <w:t>Placement learning</w:t>
      </w:r>
      <w:r>
        <w:t xml:space="preserve"> is where the learner might be considered as a student first, employee second; i.e. they came to the placement experience by virtue of their studies.</w:t>
      </w:r>
    </w:p>
    <w:p w14:paraId="69D54098" w14:textId="4CBFA879" w:rsidR="00274A33" w:rsidRPr="00D3044F" w:rsidRDefault="00274A33" w:rsidP="001C2228">
      <w:pPr>
        <w:pStyle w:val="ListParagraph"/>
        <w:numPr>
          <w:ilvl w:val="0"/>
          <w:numId w:val="25"/>
        </w:numPr>
        <w:jc w:val="both"/>
      </w:pPr>
      <w:r w:rsidRPr="00F9537B">
        <w:rPr>
          <w:b/>
          <w:bCs/>
          <w:i/>
          <w:iCs/>
        </w:rPr>
        <w:t>Work-based learning</w:t>
      </w:r>
      <w:r>
        <w:t xml:space="preserve"> is when the learner might be considered as employee first, student second; i.e. they came to the Higher Education experience by virtue of their employment or employer.</w:t>
      </w:r>
    </w:p>
    <w:p w14:paraId="50C65E49" w14:textId="4D6E7D71" w:rsidR="00274A33" w:rsidRPr="00D3044F" w:rsidRDefault="00AD2552" w:rsidP="001C2228">
      <w:pPr>
        <w:jc w:val="both"/>
      </w:pPr>
      <w:r>
        <w:t xml:space="preserve">Despite the above </w:t>
      </w:r>
      <w:r w:rsidR="00FE60A2">
        <w:t>distinction,</w:t>
      </w:r>
      <w:r w:rsidR="00274A33" w:rsidRPr="00D3044F">
        <w:t xml:space="preserve"> for </w:t>
      </w:r>
      <w:r w:rsidR="00C71FBA">
        <w:t>quality assurance purposes</w:t>
      </w:r>
      <w:r w:rsidR="00274A33" w:rsidRPr="00D3044F">
        <w:t xml:space="preserve">, placement learning and </w:t>
      </w:r>
      <w:r w:rsidR="00500652">
        <w:t>w</w:t>
      </w:r>
      <w:r w:rsidR="00274A33" w:rsidRPr="00D3044F">
        <w:t>ork</w:t>
      </w:r>
      <w:r w:rsidR="00500652">
        <w:t>-b</w:t>
      </w:r>
      <w:r w:rsidR="00274A33" w:rsidRPr="00D3044F">
        <w:t xml:space="preserve">ased </w:t>
      </w:r>
      <w:r w:rsidR="00500652">
        <w:t>l</w:t>
      </w:r>
      <w:r w:rsidR="00274A33" w:rsidRPr="00D3044F">
        <w:t xml:space="preserve">earning are considered </w:t>
      </w:r>
      <w:r w:rsidR="002332B6">
        <w:t>collective</w:t>
      </w:r>
      <w:r w:rsidR="00274A33" w:rsidRPr="00D3044F">
        <w:t>ly as a category A placement, sharing the same approval, review and closure processes.</w:t>
      </w:r>
    </w:p>
    <w:p w14:paraId="0C6D2468" w14:textId="3EEA4BFF" w:rsidR="00274A33" w:rsidRPr="00D3044F" w:rsidRDefault="00274A33" w:rsidP="001C2228">
      <w:pPr>
        <w:pStyle w:val="Heading3"/>
        <w:jc w:val="both"/>
      </w:pPr>
      <w:bookmarkStart w:id="23" w:name="_Toc183094944"/>
      <w:r w:rsidRPr="00D3044F">
        <w:t>Study Abroad</w:t>
      </w:r>
      <w:bookmarkEnd w:id="23"/>
      <w:r>
        <w:t xml:space="preserve"> </w:t>
      </w:r>
    </w:p>
    <w:p w14:paraId="521A7349" w14:textId="686FFD44" w:rsidR="00274A33" w:rsidRPr="00D3044F" w:rsidRDefault="00274A33" w:rsidP="001C2228">
      <w:pPr>
        <w:jc w:val="both"/>
      </w:pPr>
      <w:r w:rsidRPr="00D3044F">
        <w:t xml:space="preserve">Undergraduate </w:t>
      </w:r>
      <w:r w:rsidR="00FE7F46">
        <w:t xml:space="preserve">students </w:t>
      </w:r>
      <w:r w:rsidRPr="00D3044F">
        <w:t>may undertake a period of study abroad</w:t>
      </w:r>
      <w:r w:rsidR="008549BB">
        <w:t>,</w:t>
      </w:r>
      <w:r w:rsidRPr="00D3044F">
        <w:t xml:space="preserve"> either through the </w:t>
      </w:r>
      <w:r w:rsidR="47CA3FF7">
        <w:t>university's</w:t>
      </w:r>
      <w:r w:rsidRPr="00D3044F">
        <w:t xml:space="preserve"> exchange programme </w:t>
      </w:r>
      <w:r w:rsidR="00687BB0">
        <w:t xml:space="preserve">or </w:t>
      </w:r>
      <w:r w:rsidR="60ADAF00">
        <w:t>as</w:t>
      </w:r>
      <w:r w:rsidRPr="00D3044F">
        <w:t xml:space="preserve"> negotiated with an individual overseas provider. Study abroad is normally </w:t>
      </w:r>
      <w:r w:rsidR="00EA3639">
        <w:t>undertaken as</w:t>
      </w:r>
      <w:r w:rsidRPr="00D3044F">
        <w:t xml:space="preserve"> an additional year located between levels 5 and 6 </w:t>
      </w:r>
      <w:r w:rsidR="001B18ED" w:rsidRPr="00D3044F">
        <w:t>(</w:t>
      </w:r>
      <w:r w:rsidR="001B18ED">
        <w:t xml:space="preserve">i.e., </w:t>
      </w:r>
      <w:r w:rsidR="001B18ED" w:rsidRPr="00D3044F">
        <w:t xml:space="preserve">third year of four) </w:t>
      </w:r>
      <w:r w:rsidRPr="00D3044F">
        <w:t xml:space="preserve">or exceptionally, a single semester replacing part of </w:t>
      </w:r>
      <w:r w:rsidR="001B18ED">
        <w:t>level 5</w:t>
      </w:r>
      <w:r w:rsidR="00EA3639">
        <w:t>.</w:t>
      </w:r>
      <w:r w:rsidRPr="00D3044F">
        <w:t xml:space="preserve"> Where taken over one year, an additional 120 ungraded level 5 credits are awarded which appear on the student’s transcript but do not contribute to their final degree classification. Where taken as a single semester, study abroad contributes 60 ungraded credits </w:t>
      </w:r>
      <w:r w:rsidR="001A0E9C">
        <w:t>(</w:t>
      </w:r>
      <w:r w:rsidRPr="00D3044F">
        <w:t xml:space="preserve">to the </w:t>
      </w:r>
      <w:r w:rsidR="001A0E9C">
        <w:t>required</w:t>
      </w:r>
      <w:r w:rsidRPr="00D3044F">
        <w:t xml:space="preserve"> 120</w:t>
      </w:r>
      <w:r w:rsidR="00FE7F46">
        <w:t xml:space="preserve">) </w:t>
      </w:r>
      <w:r w:rsidRPr="00D3044F">
        <w:t>and is excluded from the degree classification.</w:t>
      </w:r>
    </w:p>
    <w:p w14:paraId="35D0741F" w14:textId="6DA94772" w:rsidR="00C11630" w:rsidRDefault="00D86244" w:rsidP="00A92BD1">
      <w:pPr>
        <w:contextualSpacing/>
        <w:jc w:val="both"/>
      </w:pPr>
      <w:r w:rsidRPr="005838E4">
        <w:rPr>
          <w:b/>
          <w:bCs/>
        </w:rPr>
        <w:t>Faculties</w:t>
      </w:r>
      <w:r w:rsidR="00282AEE">
        <w:rPr>
          <w:b/>
          <w:bCs/>
        </w:rPr>
        <w:t xml:space="preserve"> </w:t>
      </w:r>
      <w:r w:rsidR="001F738D">
        <w:t xml:space="preserve">are </w:t>
      </w:r>
      <w:r w:rsidR="00FA7E55" w:rsidRPr="00D3044F">
        <w:t>responsible</w:t>
      </w:r>
      <w:r w:rsidR="00274A33" w:rsidRPr="00D3044F">
        <w:t xml:space="preserve"> for developing appropriate processes </w:t>
      </w:r>
      <w:r w:rsidR="00FA7E55">
        <w:t xml:space="preserve">for the consideration and approval of </w:t>
      </w:r>
      <w:r w:rsidR="0005343B">
        <w:t>such</w:t>
      </w:r>
      <w:r w:rsidR="00FA7E55">
        <w:t xml:space="preserve"> partnerships. </w:t>
      </w:r>
      <w:r w:rsidR="00C954A2">
        <w:t>P</w:t>
      </w:r>
      <w:r w:rsidR="0039168B">
        <w:t>rocesses</w:t>
      </w:r>
      <w:r w:rsidR="00FA7E55">
        <w:t xml:space="preserve"> are described</w:t>
      </w:r>
      <w:r w:rsidR="00274A33" w:rsidRPr="00D3044F">
        <w:t xml:space="preserve"> in </w:t>
      </w:r>
      <w:hyperlink r:id="rId25" w:history="1">
        <w:r w:rsidR="00E255A6">
          <w:rPr>
            <w:rStyle w:val="Hyperlink"/>
          </w:rPr>
          <w:t>Faculty Academic Quality Statements</w:t>
        </w:r>
      </w:hyperlink>
      <w:r w:rsidR="00C11630">
        <w:t xml:space="preserve"> </w:t>
      </w:r>
      <w:r w:rsidR="00621CFA">
        <w:t>and</w:t>
      </w:r>
      <w:r w:rsidR="00FD0539">
        <w:t xml:space="preserve"> </w:t>
      </w:r>
      <w:r w:rsidR="00CC7A16">
        <w:t>consider:</w:t>
      </w:r>
      <w:r w:rsidR="00D300BE">
        <w:t xml:space="preserve"> </w:t>
      </w:r>
    </w:p>
    <w:p w14:paraId="1834EF35" w14:textId="04B0ADC8" w:rsidR="00C11630" w:rsidRDefault="00C11630" w:rsidP="00C11630">
      <w:pPr>
        <w:pStyle w:val="ListParagraph"/>
        <w:numPr>
          <w:ilvl w:val="0"/>
          <w:numId w:val="47"/>
        </w:numPr>
        <w:jc w:val="both"/>
      </w:pPr>
      <w:r>
        <w:t>S</w:t>
      </w:r>
      <w:r w:rsidR="00274A33" w:rsidRPr="00D3044F">
        <w:t xml:space="preserve">tudent support </w:t>
      </w:r>
      <w:r>
        <w:t xml:space="preserve">arrangements; </w:t>
      </w:r>
      <w:r w:rsidR="00621CFA">
        <w:t>and,</w:t>
      </w:r>
    </w:p>
    <w:p w14:paraId="01DDF76F" w14:textId="3C1C706B" w:rsidR="00CC7A16" w:rsidRDefault="00C11630" w:rsidP="00C11630">
      <w:pPr>
        <w:pStyle w:val="ListParagraph"/>
        <w:numPr>
          <w:ilvl w:val="0"/>
          <w:numId w:val="47"/>
        </w:numPr>
        <w:jc w:val="both"/>
      </w:pPr>
      <w:r>
        <w:t>C</w:t>
      </w:r>
      <w:r w:rsidR="00274A33" w:rsidRPr="00D3044F">
        <w:t>urriculum alignment</w:t>
      </w:r>
      <w:r w:rsidR="002A4A0D">
        <w:t xml:space="preserve"> between the two HE Providers</w:t>
      </w:r>
      <w:r w:rsidR="00C954A2">
        <w:t>.</w:t>
      </w:r>
    </w:p>
    <w:p w14:paraId="57BF6824" w14:textId="7728058E" w:rsidR="00A92BD1" w:rsidRPr="00D3044F" w:rsidRDefault="004E0BDF" w:rsidP="00A92BD1">
      <w:pPr>
        <w:jc w:val="both"/>
      </w:pPr>
      <w:r>
        <w:rPr>
          <w:b/>
          <w:bCs/>
        </w:rPr>
        <w:t>T</w:t>
      </w:r>
      <w:r w:rsidRPr="004E0BDF">
        <w:rPr>
          <w:b/>
          <w:bCs/>
        </w:rPr>
        <w:t>he International Office</w:t>
      </w:r>
      <w:r w:rsidR="001E5DE6">
        <w:rPr>
          <w:b/>
          <w:bCs/>
        </w:rPr>
        <w:t>,</w:t>
      </w:r>
      <w:r w:rsidRPr="00D3044F">
        <w:t xml:space="preserve"> </w:t>
      </w:r>
      <w:r w:rsidR="001E5DE6">
        <w:t>a</w:t>
      </w:r>
      <w:r w:rsidR="001E5DE6" w:rsidRPr="00D3044F">
        <w:t>s part of its own due diligence</w:t>
      </w:r>
      <w:r w:rsidR="00233E98">
        <w:rPr>
          <w:rStyle w:val="FootnoteReference"/>
        </w:rPr>
        <w:footnoteReference w:id="17"/>
      </w:r>
      <w:r w:rsidR="001E5DE6" w:rsidRPr="00D3044F">
        <w:t>, reviews students’ chosen institutions to ensure that their individual learning needs will be met.</w:t>
      </w:r>
      <w:r w:rsidR="00621CFA">
        <w:t xml:space="preserve"> </w:t>
      </w:r>
    </w:p>
    <w:p w14:paraId="70609DFE" w14:textId="07D17233" w:rsidR="005B0DC7" w:rsidRDefault="00274A33" w:rsidP="003F60CF">
      <w:pPr>
        <w:spacing w:after="0"/>
        <w:contextualSpacing/>
        <w:jc w:val="both"/>
      </w:pPr>
      <w:r w:rsidRPr="00D3044F">
        <w:t>For study abroad within the European Higher Education Area</w:t>
      </w:r>
      <w:r w:rsidR="00233E98">
        <w:t xml:space="preserve"> (EHEA)</w:t>
      </w:r>
      <w:r w:rsidRPr="00D3044F">
        <w:t xml:space="preserve">, the EHEA’s </w:t>
      </w:r>
      <w:hyperlink r:id="rId26" w:history="1">
        <w:r w:rsidRPr="00E255A6">
          <w:rPr>
            <w:rStyle w:val="Hyperlink"/>
          </w:rPr>
          <w:t>First Cycle qualification descriptor</w:t>
        </w:r>
      </w:hyperlink>
      <w:r w:rsidRPr="00D3044F">
        <w:t xml:space="preserve"> provides a reference point for judging an overseas programme’s equivalence to a UK undergraduate degree as defined within the </w:t>
      </w:r>
      <w:hyperlink r:id="rId27" w:history="1">
        <w:r w:rsidRPr="00E255A6">
          <w:rPr>
            <w:rStyle w:val="Hyperlink"/>
          </w:rPr>
          <w:t>Framework for Higher Education Qualifications</w:t>
        </w:r>
      </w:hyperlink>
      <w:r w:rsidR="00E255A6">
        <w:t xml:space="preserve"> </w:t>
      </w:r>
      <w:r w:rsidRPr="00D3044F">
        <w:t xml:space="preserve">(FHEQ). When selecting the modules to be taken abroad the </w:t>
      </w:r>
      <w:r w:rsidR="00A92E21">
        <w:t>academic</w:t>
      </w:r>
      <w:r w:rsidRPr="00D3044F">
        <w:t xml:space="preserve"> department</w:t>
      </w:r>
      <w:r w:rsidR="00C753AA">
        <w:t xml:space="preserve"> </w:t>
      </w:r>
      <w:r w:rsidRPr="00D3044F">
        <w:t xml:space="preserve">determines the stage of the </w:t>
      </w:r>
      <w:r w:rsidR="00A92E21">
        <w:t xml:space="preserve">overseas </w:t>
      </w:r>
      <w:r w:rsidRPr="00D3044F">
        <w:t xml:space="preserve">provider’s programme that equates most closely to the FHEQ level at which the student is to be assessed (typically level 5) and the alignment of module content and learning objectives with the relevant Edge Hill </w:t>
      </w:r>
      <w:r w:rsidRPr="00D3044F">
        <w:lastRenderedPageBreak/>
        <w:t xml:space="preserve">programme aims and learning outcomes. The European Credit Transfer System </w:t>
      </w:r>
      <w:r w:rsidR="003852B6">
        <w:t xml:space="preserve">(ECTS) </w:t>
      </w:r>
      <w:r w:rsidRPr="00D3044F">
        <w:t xml:space="preserve">enables direct transfer of credit from an EHEA awarding institution where 1 ECTS credit equals 2 UK HE credits. </w:t>
      </w:r>
      <w:r w:rsidRPr="00D3044F">
        <w:rPr>
          <w:b/>
          <w:bCs/>
        </w:rPr>
        <w:t>ECTS credit imported from study exchanges does not contribute to degree award classification which negates any requirement for the scaling of marks.</w:t>
      </w:r>
      <w:r w:rsidRPr="00D3044F">
        <w:t xml:space="preserve"> While the default position is to import ungraded ECTS credit directly into students’ profiles, for those who have failed assessment at the partner institution and have since returned to the UK a series of validated ‘shell’ modules of different credit values is available as a vehicle for re-assessment at Edge Hill University. Because the credit gained through </w:t>
      </w:r>
      <w:r w:rsidR="0005343B">
        <w:t>such</w:t>
      </w:r>
      <w:r w:rsidRPr="00D3044F">
        <w:t xml:space="preserve"> exchanges is ungraded and excluded from the calculation of students’ degree classifications, these shell modules are similarly excluded and will be assessed as ‘Pass/ Fail only’.</w:t>
      </w:r>
      <w:r w:rsidR="005B0DC7">
        <w:t xml:space="preserve"> </w:t>
      </w:r>
      <w:bookmarkStart w:id="24" w:name="_Hlk148432259"/>
      <w:r w:rsidR="00E255A6">
        <w:t>It is considered good practice for</w:t>
      </w:r>
      <w:r w:rsidR="005B0DC7">
        <w:t xml:space="preserve"> academic department to consult with the external examiner regarding the modules to select, but this is not a requirement.</w:t>
      </w:r>
      <w:bookmarkEnd w:id="24"/>
    </w:p>
    <w:p w14:paraId="24F883F1" w14:textId="77777777" w:rsidR="005B0DC7" w:rsidRDefault="005B0DC7" w:rsidP="00AD5FD7">
      <w:pPr>
        <w:pStyle w:val="Heading3"/>
        <w:spacing w:before="0"/>
        <w:rPr>
          <w:b w:val="0"/>
          <w:bCs/>
          <w:u w:val="single"/>
        </w:rPr>
      </w:pPr>
    </w:p>
    <w:p w14:paraId="59575610" w14:textId="24351F25" w:rsidR="00274A33" w:rsidRPr="003304B3" w:rsidRDefault="00274A33" w:rsidP="00274A33">
      <w:pPr>
        <w:pStyle w:val="Heading3"/>
        <w:rPr>
          <w:b w:val="0"/>
          <w:bCs/>
          <w:u w:val="single"/>
        </w:rPr>
      </w:pPr>
      <w:bookmarkStart w:id="25" w:name="_Toc183094945"/>
      <w:r w:rsidRPr="003304B3">
        <w:rPr>
          <w:b w:val="0"/>
          <w:bCs/>
          <w:u w:val="single"/>
        </w:rPr>
        <w:t>Study Abroad (other overseas territories) (A3)</w:t>
      </w:r>
      <w:bookmarkEnd w:id="25"/>
    </w:p>
    <w:p w14:paraId="068D999B" w14:textId="00B35CAD" w:rsidR="00274A33" w:rsidRPr="00D3044F" w:rsidRDefault="00274A33" w:rsidP="00260D94">
      <w:pPr>
        <w:contextualSpacing/>
        <w:jc w:val="both"/>
      </w:pPr>
      <w:r w:rsidRPr="00D3044F">
        <w:t xml:space="preserve">For study outside the </w:t>
      </w:r>
      <w:r w:rsidR="00A757AD">
        <w:t>EHEA,</w:t>
      </w:r>
      <w:r w:rsidRPr="00D3044F">
        <w:t xml:space="preserve"> the proposing department assesses the suitability of the placement, accompanied by a health and safety audit. UK </w:t>
      </w:r>
      <w:r>
        <w:t>ENIC</w:t>
      </w:r>
      <w:r w:rsidR="00D93E7E">
        <w:rPr>
          <w:rStyle w:val="FootnoteReference"/>
        </w:rPr>
        <w:footnoteReference w:id="18"/>
      </w:r>
      <w:r w:rsidRPr="00D3044F">
        <w:t xml:space="preserve"> provides a service which compares overseas and UK higher education qualifications, and when selecting the modules to be taken abroad the </w:t>
      </w:r>
      <w:r w:rsidR="00C753AA">
        <w:t>academic</w:t>
      </w:r>
      <w:r w:rsidRPr="00D3044F">
        <w:t xml:space="preserve"> department determines the stage of the </w:t>
      </w:r>
      <w:r w:rsidR="00C753AA">
        <w:t xml:space="preserve">overseas </w:t>
      </w:r>
      <w:r w:rsidRPr="00D3044F">
        <w:t>provider’s programme that equates most closely to the FHEQ level at which the student is to be assessed (typically level 5), and the alignment of module content and learning objectives with the relevant Edge Hill programme aims and learning outcomes. In addition to level, the department establishes broad equivalence between the volume of learning and assessment to be undertaken and the Notional Learning Hours for which Edge Hill credit is to be awarded (where 1 credit = 10 NLHs).</w:t>
      </w:r>
      <w:r w:rsidR="17ACA3B2">
        <w:t xml:space="preserve"> </w:t>
      </w:r>
      <w:r w:rsidR="6844461A" w:rsidRPr="0755090A">
        <w:rPr>
          <w:b/>
          <w:bCs/>
        </w:rPr>
        <w:t>Cr</w:t>
      </w:r>
      <w:r w:rsidR="17ACA3B2" w:rsidRPr="0755090A">
        <w:rPr>
          <w:b/>
          <w:bCs/>
        </w:rPr>
        <w:t xml:space="preserve">edit imported from study </w:t>
      </w:r>
      <w:r w:rsidR="7FBE9DEF" w:rsidRPr="0755090A">
        <w:rPr>
          <w:b/>
          <w:bCs/>
        </w:rPr>
        <w:t xml:space="preserve">abroad </w:t>
      </w:r>
      <w:r w:rsidR="17ACA3B2" w:rsidRPr="0755090A">
        <w:rPr>
          <w:b/>
          <w:bCs/>
        </w:rPr>
        <w:t>exchanges does not contribute to degree award classification which negates any requirement for the scaling of marks.</w:t>
      </w:r>
      <w:r w:rsidR="17ACA3B2">
        <w:t xml:space="preserve"> While the default position is to import ungraded credit directly into students’ profiles, for those who have failed assessment at the partner institution and have since returned to the UK a series of validated ‘shell’ modules of different credit values is available as a vehicle for re-assessment at Edge Hill University. Because the credit gained through exchanges is ungraded and excluded from the calculation of students’ degree classifications, these shell modules are similarly excluded and will be assessed as ‘Pass/ Fail only’.</w:t>
      </w:r>
      <w:r w:rsidR="00E255A6" w:rsidRPr="00E255A6">
        <w:t xml:space="preserve"> </w:t>
      </w:r>
      <w:r w:rsidR="00E255A6">
        <w:t>It is considered good practice for academic department to consult with the external examiner regarding the modules to select, but this is not a requirement.</w:t>
      </w:r>
    </w:p>
    <w:p w14:paraId="014A711B" w14:textId="5645C758" w:rsidR="00274A33" w:rsidRPr="00D3044F" w:rsidRDefault="00274A33" w:rsidP="00274A33">
      <w:pPr>
        <w:pStyle w:val="Heading4"/>
      </w:pPr>
      <w:r w:rsidRPr="00D3044F">
        <w:t>Study Abroad</w:t>
      </w:r>
      <w:r w:rsidR="003F30E5">
        <w:t xml:space="preserve"> - </w:t>
      </w:r>
      <w:r w:rsidR="00C949F4">
        <w:t>A</w:t>
      </w:r>
      <w:r w:rsidRPr="00D3044F">
        <w:t>greements</w:t>
      </w:r>
    </w:p>
    <w:p w14:paraId="1FE1C937" w14:textId="40B3A86C" w:rsidR="00274A33" w:rsidRDefault="00274A33" w:rsidP="00C662F1">
      <w:pPr>
        <w:jc w:val="both"/>
      </w:pPr>
      <w:r w:rsidRPr="00D3044F">
        <w:t xml:space="preserve">Study abroad arrangements are supported by </w:t>
      </w:r>
      <w:r w:rsidRPr="00C949F4">
        <w:rPr>
          <w:b/>
          <w:bCs/>
        </w:rPr>
        <w:t>signed agreements</w:t>
      </w:r>
      <w:r w:rsidRPr="00D3044F">
        <w:t xml:space="preserve"> that describe the roles and responsibilities of the University, overseas provider and EHU student; how the student will be taught, supported and assessed; and how complaints or disciplinary issues</w:t>
      </w:r>
      <w:r w:rsidR="00D21F06">
        <w:t>,</w:t>
      </w:r>
      <w:r w:rsidRPr="00D3044F">
        <w:t xml:space="preserve"> that </w:t>
      </w:r>
      <w:r w:rsidR="00D21F06">
        <w:t xml:space="preserve">may </w:t>
      </w:r>
      <w:r w:rsidRPr="00D3044F">
        <w:t>arise while the student is abroad</w:t>
      </w:r>
      <w:r w:rsidR="00D21F06">
        <w:t>,</w:t>
      </w:r>
      <w:r w:rsidRPr="00D3044F">
        <w:t xml:space="preserve"> will be managed. </w:t>
      </w:r>
      <w:r w:rsidR="0005343B">
        <w:t>A standard</w:t>
      </w:r>
      <w:r w:rsidRPr="00D3044F">
        <w:t xml:space="preserve"> agreement is used which is signed by </w:t>
      </w:r>
      <w:r w:rsidR="00001984">
        <w:t>a member of Directorate</w:t>
      </w:r>
      <w:r w:rsidRPr="00D3044F">
        <w:t xml:space="preserve">, </w:t>
      </w:r>
      <w:r w:rsidR="005B52E5">
        <w:t>additionally</w:t>
      </w:r>
      <w:r w:rsidRPr="00D3044F">
        <w:t xml:space="preserve"> for specific relationships between institutions relating to student mobility</w:t>
      </w:r>
      <w:r w:rsidR="00D21F06">
        <w:t>,</w:t>
      </w:r>
      <w:r w:rsidRPr="00D3044F">
        <w:t xml:space="preserve"> a separate</w:t>
      </w:r>
      <w:r w:rsidR="00001984">
        <w:t xml:space="preserve"> </w:t>
      </w:r>
      <w:r w:rsidR="005B52E5">
        <w:t>learning</w:t>
      </w:r>
      <w:r w:rsidRPr="00D3044F">
        <w:t xml:space="preserve"> agreement is also signed prior to students embarking on any exchanges. Where they occur, study abroad opportunities are evaluated </w:t>
      </w:r>
      <w:r w:rsidRPr="00D3044F">
        <w:lastRenderedPageBreak/>
        <w:t xml:space="preserve">within programme monitoring and as part of departmental annual monitoring and </w:t>
      </w:r>
      <w:r w:rsidR="000C7E1F">
        <w:t>curriculum</w:t>
      </w:r>
      <w:r w:rsidRPr="00D3044F">
        <w:t xml:space="preserve"> review.</w:t>
      </w:r>
    </w:p>
    <w:p w14:paraId="547B87BF" w14:textId="4A0919AD" w:rsidR="00027243" w:rsidRPr="00C36C9E" w:rsidRDefault="00027243" w:rsidP="00027243">
      <w:pPr>
        <w:pStyle w:val="Heading3"/>
      </w:pPr>
      <w:bookmarkStart w:id="26" w:name="_Toc183094946"/>
      <w:r w:rsidRPr="00C36C9E">
        <w:t>PGCE with Lead Partners</w:t>
      </w:r>
      <w:bookmarkEnd w:id="26"/>
    </w:p>
    <w:p w14:paraId="22138D98" w14:textId="1C0C28DF" w:rsidR="00027243" w:rsidRPr="007A4390" w:rsidRDefault="00027243" w:rsidP="00027243">
      <w:pPr>
        <w:pStyle w:val="xxxmsonormal"/>
        <w:rPr>
          <w:sz w:val="24"/>
          <w:szCs w:val="24"/>
        </w:rPr>
      </w:pPr>
      <w:r w:rsidRPr="007A4390">
        <w:rPr>
          <w:sz w:val="24"/>
          <w:szCs w:val="24"/>
        </w:rPr>
        <w:t xml:space="preserve">The University operates </w:t>
      </w:r>
      <w:r w:rsidR="00DF5DA9">
        <w:rPr>
          <w:sz w:val="24"/>
          <w:szCs w:val="24"/>
        </w:rPr>
        <w:t>PGCE</w:t>
      </w:r>
      <w:r w:rsidRPr="007A4390">
        <w:rPr>
          <w:sz w:val="24"/>
          <w:szCs w:val="24"/>
        </w:rPr>
        <w:t xml:space="preserve"> provision with Lead Partners.  The Initial Teacher Education (ITE) curriculum is designed and accredited by Edge Hill University and the University is:</w:t>
      </w:r>
    </w:p>
    <w:p w14:paraId="632BC693" w14:textId="77777777" w:rsidR="00027243" w:rsidRPr="007A4390" w:rsidRDefault="00027243" w:rsidP="00027243">
      <w:pPr>
        <w:pStyle w:val="xxxmsolistparagraph"/>
        <w:numPr>
          <w:ilvl w:val="0"/>
          <w:numId w:val="53"/>
        </w:numPr>
        <w:spacing w:before="0" w:beforeAutospacing="0" w:after="0" w:afterAutospacing="0"/>
        <w:rPr>
          <w:rFonts w:eastAsia="Times New Roman"/>
          <w:sz w:val="24"/>
          <w:szCs w:val="24"/>
        </w:rPr>
      </w:pPr>
      <w:r w:rsidRPr="007A4390">
        <w:rPr>
          <w:rFonts w:eastAsia="Times New Roman"/>
          <w:sz w:val="24"/>
          <w:szCs w:val="24"/>
        </w:rPr>
        <w:t>accountable to professional bodies and external quality assurance</w:t>
      </w:r>
    </w:p>
    <w:p w14:paraId="216DE4BF" w14:textId="77777777" w:rsidR="00027243" w:rsidRPr="007A4390" w:rsidRDefault="00027243" w:rsidP="00027243">
      <w:pPr>
        <w:pStyle w:val="xxxmsolistparagraph"/>
        <w:numPr>
          <w:ilvl w:val="0"/>
          <w:numId w:val="53"/>
        </w:numPr>
        <w:spacing w:before="0" w:beforeAutospacing="0" w:after="0" w:afterAutospacing="0"/>
        <w:rPr>
          <w:rFonts w:eastAsia="Times New Roman"/>
          <w:sz w:val="24"/>
          <w:szCs w:val="24"/>
        </w:rPr>
      </w:pPr>
      <w:r w:rsidRPr="007A4390">
        <w:rPr>
          <w:rFonts w:eastAsia="Times New Roman"/>
          <w:sz w:val="24"/>
          <w:szCs w:val="24"/>
        </w:rPr>
        <w:t>will be the awarding body</w:t>
      </w:r>
    </w:p>
    <w:p w14:paraId="0FED4A15" w14:textId="77777777" w:rsidR="00027243" w:rsidRPr="007A4390" w:rsidRDefault="00027243" w:rsidP="00027243">
      <w:pPr>
        <w:pStyle w:val="xxxmsolistparagraph"/>
        <w:numPr>
          <w:ilvl w:val="0"/>
          <w:numId w:val="53"/>
        </w:numPr>
        <w:spacing w:before="0" w:beforeAutospacing="0" w:after="200" w:afterAutospacing="0"/>
        <w:rPr>
          <w:rFonts w:eastAsia="Times New Roman"/>
          <w:sz w:val="24"/>
          <w:szCs w:val="24"/>
        </w:rPr>
      </w:pPr>
      <w:r w:rsidRPr="007A4390">
        <w:rPr>
          <w:rFonts w:eastAsia="Times New Roman"/>
          <w:sz w:val="24"/>
          <w:szCs w:val="24"/>
        </w:rPr>
        <w:t xml:space="preserve">will make recommendations for Qualified Teacher Status </w:t>
      </w:r>
    </w:p>
    <w:p w14:paraId="1D3FC12D" w14:textId="1F118002" w:rsidR="00027243" w:rsidRDefault="00027243" w:rsidP="00027243">
      <w:pPr>
        <w:pStyle w:val="xxxmsonormal"/>
      </w:pPr>
      <w:r w:rsidRPr="007A4390">
        <w:rPr>
          <w:sz w:val="24"/>
          <w:szCs w:val="24"/>
        </w:rPr>
        <w:t>The IT</w:t>
      </w:r>
      <w:r w:rsidR="005F094C">
        <w:rPr>
          <w:sz w:val="24"/>
          <w:szCs w:val="24"/>
        </w:rPr>
        <w:t>E</w:t>
      </w:r>
      <w:r w:rsidRPr="007A4390">
        <w:rPr>
          <w:sz w:val="24"/>
          <w:szCs w:val="24"/>
        </w:rPr>
        <w:t xml:space="preserve"> curriculum is delivered at the Edge Hill </w:t>
      </w:r>
      <w:r w:rsidR="005F094C">
        <w:rPr>
          <w:sz w:val="24"/>
          <w:szCs w:val="24"/>
        </w:rPr>
        <w:t xml:space="preserve">Ormskirk </w:t>
      </w:r>
      <w:r w:rsidRPr="007A4390">
        <w:rPr>
          <w:sz w:val="24"/>
          <w:szCs w:val="24"/>
        </w:rPr>
        <w:t>campus with a small number of context specific training events taking place with the Lead Partner</w:t>
      </w:r>
      <w:r>
        <w:t>.</w:t>
      </w:r>
    </w:p>
    <w:p w14:paraId="2EFE4E31" w14:textId="77777777" w:rsidR="00027243" w:rsidRDefault="00027243" w:rsidP="00513A63">
      <w:pPr>
        <w:pStyle w:val="Heading3"/>
      </w:pPr>
    </w:p>
    <w:p w14:paraId="53E75E16" w14:textId="6D6AA30E" w:rsidR="007F317A" w:rsidRPr="00D3044F" w:rsidRDefault="00A8744D" w:rsidP="00513A63">
      <w:pPr>
        <w:pStyle w:val="Heading3"/>
      </w:pPr>
      <w:bookmarkStart w:id="27" w:name="_Toc183094947"/>
      <w:r>
        <w:t>A</w:t>
      </w:r>
      <w:r w:rsidR="007F317A">
        <w:t xml:space="preserve">pproval </w:t>
      </w:r>
      <w:r>
        <w:t>P</w:t>
      </w:r>
      <w:r w:rsidR="007F317A">
        <w:t>rocesses</w:t>
      </w:r>
      <w:bookmarkEnd w:id="27"/>
    </w:p>
    <w:p w14:paraId="6E115D83" w14:textId="61A2387C" w:rsidR="007F317A" w:rsidRPr="00D3044F" w:rsidRDefault="007F317A" w:rsidP="00096BAD">
      <w:pPr>
        <w:jc w:val="both"/>
      </w:pPr>
      <w:r w:rsidRPr="00D3044F">
        <w:t xml:space="preserve">For partnerships within </w:t>
      </w:r>
      <w:r>
        <w:t>the sub-</w:t>
      </w:r>
      <w:r w:rsidRPr="00D3044F">
        <w:t>categories</w:t>
      </w:r>
      <w:r w:rsidR="003B3B1B">
        <w:t>,</w:t>
      </w:r>
      <w:r w:rsidRPr="00D3044F">
        <w:t xml:space="preserve"> partner and delivery approval are combined and responsibility for determining these processes resides </w:t>
      </w:r>
      <w:r>
        <w:t xml:space="preserve">mainly </w:t>
      </w:r>
      <w:r w:rsidRPr="00D3044F">
        <w:t>within Faculties</w:t>
      </w:r>
      <w:r w:rsidRPr="00D3044F">
        <w:rPr>
          <w:rStyle w:val="FootnoteReference"/>
        </w:rPr>
        <w:footnoteReference w:id="19"/>
      </w:r>
      <w:r w:rsidRPr="00D3044F">
        <w:t xml:space="preserve"> </w:t>
      </w:r>
      <w:r>
        <w:t>with some responsibilities shared with</w:t>
      </w:r>
      <w:r w:rsidRPr="00D3044F">
        <w:t xml:space="preserve"> the International </w:t>
      </w:r>
      <w:r w:rsidR="00237F4C">
        <w:t>Office</w:t>
      </w:r>
      <w:r w:rsidR="1AF28963" w:rsidRPr="00D3044F">
        <w:t>.</w:t>
      </w:r>
      <w:r w:rsidRPr="00D3044F">
        <w:t xml:space="preserve"> Approval of such arrangements may include:</w:t>
      </w:r>
    </w:p>
    <w:p w14:paraId="2B3D5D88" w14:textId="77777777" w:rsidR="007F317A" w:rsidRPr="00D3044F" w:rsidRDefault="007F317A" w:rsidP="00096BAD">
      <w:pPr>
        <w:pStyle w:val="ListParagraph"/>
        <w:numPr>
          <w:ilvl w:val="0"/>
          <w:numId w:val="7"/>
        </w:numPr>
        <w:jc w:val="both"/>
      </w:pPr>
      <w:r w:rsidRPr="00D3044F">
        <w:t>Due diligence checks; including legal and financial.</w:t>
      </w:r>
    </w:p>
    <w:p w14:paraId="6C39F675" w14:textId="77777777" w:rsidR="007F317A" w:rsidRPr="00D3044F" w:rsidRDefault="007F317A" w:rsidP="00096BAD">
      <w:pPr>
        <w:pStyle w:val="ListParagraph"/>
        <w:numPr>
          <w:ilvl w:val="0"/>
          <w:numId w:val="7"/>
        </w:numPr>
        <w:jc w:val="both"/>
      </w:pPr>
      <w:r w:rsidRPr="00D3044F">
        <w:t>Consideration of any relevant country or partner intelligence.</w:t>
      </w:r>
    </w:p>
    <w:p w14:paraId="06B0CE5C" w14:textId="77777777" w:rsidR="007F317A" w:rsidRDefault="007F317A" w:rsidP="00096BAD">
      <w:pPr>
        <w:pStyle w:val="ListParagraph"/>
        <w:numPr>
          <w:ilvl w:val="0"/>
          <w:numId w:val="7"/>
        </w:numPr>
        <w:jc w:val="both"/>
      </w:pPr>
      <w:r w:rsidRPr="00D3044F">
        <w:t>Consideration of the business case and any appropriate costings.</w:t>
      </w:r>
    </w:p>
    <w:p w14:paraId="47E9499B" w14:textId="77777777" w:rsidR="007F317A" w:rsidRPr="00D3044F" w:rsidRDefault="007F317A" w:rsidP="00096BAD">
      <w:pPr>
        <w:pStyle w:val="ListParagraph"/>
        <w:numPr>
          <w:ilvl w:val="0"/>
          <w:numId w:val="7"/>
        </w:numPr>
        <w:jc w:val="both"/>
      </w:pPr>
      <w:r w:rsidRPr="00D3044F">
        <w:t>Completion of clear, signed agreements with the partner which confirm the responsibilities of each partner.</w:t>
      </w:r>
    </w:p>
    <w:p w14:paraId="5BB9A343" w14:textId="77777777" w:rsidR="007F317A" w:rsidRPr="00D3044F" w:rsidRDefault="007F317A" w:rsidP="00096BAD">
      <w:pPr>
        <w:pStyle w:val="ListParagraph"/>
        <w:numPr>
          <w:ilvl w:val="0"/>
          <w:numId w:val="7"/>
        </w:numPr>
        <w:jc w:val="both"/>
      </w:pPr>
      <w:r w:rsidRPr="00D3044F">
        <w:t>Completion of an appropriate health and safety check or risk assessment of the setting.</w:t>
      </w:r>
    </w:p>
    <w:p w14:paraId="7BB92704" w14:textId="77777777" w:rsidR="007F317A" w:rsidRDefault="007F317A" w:rsidP="00096BAD">
      <w:pPr>
        <w:pStyle w:val="ListParagraph"/>
        <w:numPr>
          <w:ilvl w:val="0"/>
          <w:numId w:val="7"/>
        </w:numPr>
        <w:jc w:val="both"/>
      </w:pPr>
      <w:r w:rsidRPr="00D3044F">
        <w:t xml:space="preserve">(Placements </w:t>
      </w:r>
      <w:r>
        <w:t>and apprenticeships only</w:t>
      </w:r>
      <w:r w:rsidRPr="00D3044F">
        <w:t>) Completion of 3-way learning agreements</w:t>
      </w:r>
      <w:r w:rsidRPr="00D3044F">
        <w:rPr>
          <w:rStyle w:val="FootnoteReference"/>
        </w:rPr>
        <w:footnoteReference w:id="20"/>
      </w:r>
      <w:r w:rsidRPr="00D3044F">
        <w:t xml:space="preserve"> between the student, HE provider and employer, before placements commence.</w:t>
      </w:r>
    </w:p>
    <w:p w14:paraId="091AB0F4" w14:textId="77777777" w:rsidR="007F317A" w:rsidRDefault="007F317A" w:rsidP="00096BAD">
      <w:pPr>
        <w:pStyle w:val="ListParagraph"/>
        <w:numPr>
          <w:ilvl w:val="0"/>
          <w:numId w:val="7"/>
        </w:numPr>
        <w:jc w:val="both"/>
      </w:pPr>
      <w:r>
        <w:t>(Apprenticeships only) Consideration of the extent to which the proposed apprenticeship arrangement aligns with the University Apprenticeship Strategy.</w:t>
      </w:r>
    </w:p>
    <w:p w14:paraId="1C4B99D2" w14:textId="77777777" w:rsidR="00AB16FB" w:rsidRDefault="00AB16FB" w:rsidP="00DB5432">
      <w:pPr>
        <w:jc w:val="both"/>
      </w:pPr>
    </w:p>
    <w:p w14:paraId="5A653ECA" w14:textId="4B627C69" w:rsidR="00096BAD" w:rsidRDefault="00DB5432" w:rsidP="00DB5432">
      <w:pPr>
        <w:jc w:val="both"/>
      </w:pPr>
      <w:r w:rsidRPr="00DB5432">
        <w:t>Category A arrangements are approved for varying periods (between 1-3 years)</w:t>
      </w:r>
      <w:r>
        <w:t>. See Table 3 below.</w:t>
      </w:r>
    </w:p>
    <w:p w14:paraId="010E8445" w14:textId="3387D57F" w:rsidR="00ED74CB" w:rsidRPr="00096BAD" w:rsidRDefault="00ED74CB" w:rsidP="00EF1EED">
      <w:pPr>
        <w:pStyle w:val="Heading3"/>
        <w:spacing w:after="120"/>
        <w:rPr>
          <w:sz w:val="20"/>
          <w:szCs w:val="20"/>
        </w:rPr>
      </w:pPr>
      <w:bookmarkStart w:id="28" w:name="_Toc183094948"/>
      <w:r w:rsidRPr="00096BAD">
        <w:rPr>
          <w:sz w:val="20"/>
          <w:szCs w:val="20"/>
        </w:rPr>
        <w:lastRenderedPageBreak/>
        <w:t>Table 3: Partner approval periods in category A arrangements</w:t>
      </w:r>
      <w:bookmarkEnd w:id="28"/>
    </w:p>
    <w:tbl>
      <w:tblPr>
        <w:tblStyle w:val="TableGrid"/>
        <w:tblW w:w="0" w:type="auto"/>
        <w:tblLook w:val="04A0" w:firstRow="1" w:lastRow="0" w:firstColumn="1" w:lastColumn="0" w:noHBand="0" w:noVBand="1"/>
      </w:tblPr>
      <w:tblGrid>
        <w:gridCol w:w="421"/>
        <w:gridCol w:w="1701"/>
        <w:gridCol w:w="1134"/>
        <w:gridCol w:w="3543"/>
        <w:gridCol w:w="2217"/>
      </w:tblGrid>
      <w:tr w:rsidR="00ED74CB" w:rsidRPr="00E5308E" w14:paraId="1D046A87" w14:textId="77777777" w:rsidTr="009A4875">
        <w:trPr>
          <w:tblHeader/>
        </w:trPr>
        <w:tc>
          <w:tcPr>
            <w:tcW w:w="421" w:type="dxa"/>
            <w:tcBorders>
              <w:top w:val="single" w:sz="4" w:space="0" w:color="auto"/>
              <w:left w:val="single" w:sz="4" w:space="0" w:color="auto"/>
              <w:bottom w:val="single" w:sz="4" w:space="0" w:color="auto"/>
              <w:right w:val="single" w:sz="4" w:space="0" w:color="auto"/>
            </w:tcBorders>
          </w:tcPr>
          <w:p w14:paraId="023E8C9A" w14:textId="77777777" w:rsidR="00ED74CB" w:rsidRPr="00E5308E" w:rsidRDefault="00ED74CB" w:rsidP="009A4875">
            <w:pPr>
              <w:rPr>
                <w:b/>
                <w:szCs w:val="24"/>
              </w:rPr>
            </w:pPr>
          </w:p>
        </w:tc>
        <w:tc>
          <w:tcPr>
            <w:tcW w:w="1701" w:type="dxa"/>
            <w:tcBorders>
              <w:top w:val="single" w:sz="4" w:space="0" w:color="auto"/>
              <w:left w:val="single" w:sz="4" w:space="0" w:color="auto"/>
              <w:bottom w:val="single" w:sz="4" w:space="0" w:color="auto"/>
              <w:right w:val="single" w:sz="4" w:space="0" w:color="auto"/>
            </w:tcBorders>
          </w:tcPr>
          <w:p w14:paraId="34A4915D" w14:textId="77777777" w:rsidR="00ED74CB" w:rsidRPr="00E5308E" w:rsidRDefault="00ED74CB" w:rsidP="009A4875">
            <w:pPr>
              <w:rPr>
                <w:b/>
                <w:szCs w:val="24"/>
              </w:rPr>
            </w:pPr>
            <w:r w:rsidRPr="00E5308E">
              <w:rPr>
                <w:b/>
                <w:szCs w:val="24"/>
              </w:rPr>
              <w:t>Category</w:t>
            </w:r>
          </w:p>
        </w:tc>
        <w:tc>
          <w:tcPr>
            <w:tcW w:w="1134" w:type="dxa"/>
            <w:tcBorders>
              <w:top w:val="single" w:sz="4" w:space="0" w:color="auto"/>
              <w:left w:val="single" w:sz="4" w:space="0" w:color="auto"/>
              <w:bottom w:val="single" w:sz="4" w:space="0" w:color="auto"/>
              <w:right w:val="single" w:sz="4" w:space="0" w:color="auto"/>
            </w:tcBorders>
          </w:tcPr>
          <w:p w14:paraId="28697714" w14:textId="77777777" w:rsidR="00ED74CB" w:rsidRPr="00E5308E" w:rsidRDefault="00ED74CB" w:rsidP="009A4875">
            <w:pPr>
              <w:rPr>
                <w:b/>
                <w:szCs w:val="24"/>
              </w:rPr>
            </w:pPr>
            <w:r w:rsidRPr="00E5308E">
              <w:rPr>
                <w:b/>
                <w:szCs w:val="24"/>
              </w:rPr>
              <w:t>Sub-category</w:t>
            </w:r>
          </w:p>
        </w:tc>
        <w:tc>
          <w:tcPr>
            <w:tcW w:w="3543" w:type="dxa"/>
            <w:tcBorders>
              <w:top w:val="single" w:sz="4" w:space="0" w:color="auto"/>
              <w:left w:val="single" w:sz="4" w:space="0" w:color="auto"/>
              <w:bottom w:val="single" w:sz="4" w:space="0" w:color="auto"/>
              <w:right w:val="single" w:sz="4" w:space="0" w:color="auto"/>
            </w:tcBorders>
          </w:tcPr>
          <w:p w14:paraId="710A0005" w14:textId="77777777" w:rsidR="00ED74CB" w:rsidRPr="00E5308E" w:rsidRDefault="00ED74CB" w:rsidP="009A4875">
            <w:pPr>
              <w:rPr>
                <w:b/>
                <w:szCs w:val="24"/>
              </w:rPr>
            </w:pPr>
          </w:p>
        </w:tc>
        <w:tc>
          <w:tcPr>
            <w:tcW w:w="2217" w:type="dxa"/>
            <w:tcBorders>
              <w:top w:val="single" w:sz="4" w:space="0" w:color="auto"/>
              <w:left w:val="single" w:sz="4" w:space="0" w:color="auto"/>
              <w:bottom w:val="single" w:sz="4" w:space="0" w:color="auto"/>
              <w:right w:val="single" w:sz="4" w:space="0" w:color="auto"/>
            </w:tcBorders>
          </w:tcPr>
          <w:p w14:paraId="27AFC424" w14:textId="77777777" w:rsidR="00ED74CB" w:rsidRPr="00E5308E" w:rsidRDefault="00ED74CB" w:rsidP="009A4875">
            <w:pPr>
              <w:rPr>
                <w:b/>
                <w:szCs w:val="24"/>
              </w:rPr>
            </w:pPr>
            <w:r w:rsidRPr="00E5308E">
              <w:rPr>
                <w:b/>
                <w:szCs w:val="24"/>
              </w:rPr>
              <w:t>Period of Partner Approval</w:t>
            </w:r>
          </w:p>
        </w:tc>
      </w:tr>
      <w:tr w:rsidR="00027243" w:rsidRPr="00E5308E" w14:paraId="3DA41FE5" w14:textId="77777777" w:rsidTr="009A4875">
        <w:trPr>
          <w:trHeight w:val="324"/>
          <w:tblHeader/>
        </w:trPr>
        <w:tc>
          <w:tcPr>
            <w:tcW w:w="421" w:type="dxa"/>
            <w:vMerge w:val="restart"/>
            <w:tcBorders>
              <w:top w:val="single" w:sz="4" w:space="0" w:color="auto"/>
              <w:left w:val="single" w:sz="4" w:space="0" w:color="auto"/>
              <w:right w:val="single" w:sz="4" w:space="0" w:color="auto"/>
            </w:tcBorders>
          </w:tcPr>
          <w:p w14:paraId="4D778187" w14:textId="77777777" w:rsidR="00027243" w:rsidRPr="00E5308E" w:rsidRDefault="00027243" w:rsidP="009A4875">
            <w:pPr>
              <w:rPr>
                <w:b/>
                <w:szCs w:val="24"/>
              </w:rPr>
            </w:pPr>
            <w:r w:rsidRPr="00E5308E">
              <w:rPr>
                <w:b/>
                <w:szCs w:val="24"/>
              </w:rPr>
              <w:t>A</w:t>
            </w:r>
          </w:p>
        </w:tc>
        <w:tc>
          <w:tcPr>
            <w:tcW w:w="1701" w:type="dxa"/>
            <w:vMerge w:val="restart"/>
            <w:tcBorders>
              <w:top w:val="single" w:sz="4" w:space="0" w:color="auto"/>
              <w:left w:val="single" w:sz="4" w:space="0" w:color="auto"/>
              <w:right w:val="single" w:sz="4" w:space="0" w:color="auto"/>
            </w:tcBorders>
          </w:tcPr>
          <w:p w14:paraId="7CB0F2A1" w14:textId="77777777" w:rsidR="00027243" w:rsidRPr="00096BAD" w:rsidRDefault="00027243" w:rsidP="009A4875">
            <w:pPr>
              <w:rPr>
                <w:b/>
                <w:sz w:val="22"/>
              </w:rPr>
            </w:pPr>
            <w:r w:rsidRPr="00096BAD">
              <w:rPr>
                <w:b/>
                <w:sz w:val="22"/>
              </w:rPr>
              <w:t>Placements and Study Abroad</w:t>
            </w:r>
          </w:p>
        </w:tc>
        <w:tc>
          <w:tcPr>
            <w:tcW w:w="1134" w:type="dxa"/>
            <w:tcBorders>
              <w:top w:val="single" w:sz="4" w:space="0" w:color="auto"/>
              <w:left w:val="single" w:sz="4" w:space="0" w:color="auto"/>
              <w:bottom w:val="single" w:sz="4" w:space="0" w:color="auto"/>
              <w:right w:val="single" w:sz="4" w:space="0" w:color="auto"/>
            </w:tcBorders>
          </w:tcPr>
          <w:p w14:paraId="2B58FB7B" w14:textId="77777777" w:rsidR="00027243" w:rsidRPr="00096BAD" w:rsidRDefault="00027243" w:rsidP="009A4875">
            <w:pPr>
              <w:rPr>
                <w:sz w:val="22"/>
              </w:rPr>
            </w:pPr>
            <w:r w:rsidRPr="00096BAD">
              <w:rPr>
                <w:sz w:val="22"/>
              </w:rPr>
              <w:t>A1</w:t>
            </w:r>
          </w:p>
        </w:tc>
        <w:tc>
          <w:tcPr>
            <w:tcW w:w="3543" w:type="dxa"/>
            <w:tcBorders>
              <w:top w:val="single" w:sz="4" w:space="0" w:color="auto"/>
              <w:left w:val="single" w:sz="4" w:space="0" w:color="auto"/>
              <w:bottom w:val="single" w:sz="4" w:space="0" w:color="auto"/>
              <w:right w:val="single" w:sz="4" w:space="0" w:color="auto"/>
            </w:tcBorders>
          </w:tcPr>
          <w:p w14:paraId="0FB4743B" w14:textId="77777777" w:rsidR="00027243" w:rsidRPr="00096BAD" w:rsidRDefault="00027243" w:rsidP="009A4875">
            <w:pPr>
              <w:rPr>
                <w:sz w:val="22"/>
              </w:rPr>
            </w:pPr>
            <w:r w:rsidRPr="00096BAD">
              <w:rPr>
                <w:sz w:val="22"/>
              </w:rPr>
              <w:t>School-based training and other placements (ex. clinical) (UK)</w:t>
            </w:r>
          </w:p>
        </w:tc>
        <w:tc>
          <w:tcPr>
            <w:tcW w:w="2217" w:type="dxa"/>
            <w:tcBorders>
              <w:top w:val="single" w:sz="4" w:space="0" w:color="auto"/>
              <w:left w:val="single" w:sz="4" w:space="0" w:color="auto"/>
              <w:bottom w:val="single" w:sz="4" w:space="0" w:color="auto"/>
              <w:right w:val="single" w:sz="4" w:space="0" w:color="auto"/>
            </w:tcBorders>
          </w:tcPr>
          <w:p w14:paraId="18DBA70B" w14:textId="77777777" w:rsidR="00027243" w:rsidRPr="00096BAD" w:rsidRDefault="00027243" w:rsidP="009A4875">
            <w:pPr>
              <w:jc w:val="center"/>
              <w:rPr>
                <w:sz w:val="22"/>
              </w:rPr>
            </w:pPr>
            <w:r w:rsidRPr="00096BAD">
              <w:rPr>
                <w:sz w:val="22"/>
              </w:rPr>
              <w:t>Up to 3 years per provider</w:t>
            </w:r>
          </w:p>
        </w:tc>
      </w:tr>
      <w:tr w:rsidR="00027243" w:rsidRPr="00E5308E" w14:paraId="29F0800B" w14:textId="77777777" w:rsidTr="009A4875">
        <w:trPr>
          <w:tblHeader/>
        </w:trPr>
        <w:tc>
          <w:tcPr>
            <w:tcW w:w="421" w:type="dxa"/>
            <w:vMerge/>
            <w:tcBorders>
              <w:left w:val="single" w:sz="4" w:space="0" w:color="auto"/>
              <w:right w:val="single" w:sz="4" w:space="0" w:color="auto"/>
            </w:tcBorders>
          </w:tcPr>
          <w:p w14:paraId="73AF1C2F" w14:textId="77777777" w:rsidR="00027243" w:rsidRPr="00E5308E" w:rsidRDefault="00027243" w:rsidP="009A4875">
            <w:pPr>
              <w:rPr>
                <w:b/>
                <w:szCs w:val="24"/>
              </w:rPr>
            </w:pPr>
          </w:p>
        </w:tc>
        <w:tc>
          <w:tcPr>
            <w:tcW w:w="1701" w:type="dxa"/>
            <w:vMerge/>
            <w:tcBorders>
              <w:left w:val="single" w:sz="4" w:space="0" w:color="auto"/>
              <w:right w:val="single" w:sz="4" w:space="0" w:color="auto"/>
            </w:tcBorders>
          </w:tcPr>
          <w:p w14:paraId="1FD93688" w14:textId="77777777" w:rsidR="00027243" w:rsidRPr="00096BAD" w:rsidRDefault="00027243" w:rsidP="009A4875">
            <w:pPr>
              <w:rPr>
                <w:b/>
                <w:sz w:val="22"/>
              </w:rPr>
            </w:pPr>
          </w:p>
        </w:tc>
        <w:tc>
          <w:tcPr>
            <w:tcW w:w="1134" w:type="dxa"/>
            <w:tcBorders>
              <w:top w:val="single" w:sz="4" w:space="0" w:color="auto"/>
              <w:left w:val="single" w:sz="4" w:space="0" w:color="auto"/>
              <w:bottom w:val="single" w:sz="4" w:space="0" w:color="auto"/>
              <w:right w:val="single" w:sz="4" w:space="0" w:color="auto"/>
            </w:tcBorders>
          </w:tcPr>
          <w:p w14:paraId="6B0DB1D5" w14:textId="77777777" w:rsidR="00027243" w:rsidRPr="00096BAD" w:rsidRDefault="00027243" w:rsidP="009A4875">
            <w:pPr>
              <w:rPr>
                <w:sz w:val="22"/>
              </w:rPr>
            </w:pPr>
            <w:r w:rsidRPr="00096BAD">
              <w:rPr>
                <w:sz w:val="22"/>
              </w:rPr>
              <w:t>A3</w:t>
            </w:r>
          </w:p>
        </w:tc>
        <w:tc>
          <w:tcPr>
            <w:tcW w:w="3543" w:type="dxa"/>
            <w:tcBorders>
              <w:top w:val="single" w:sz="4" w:space="0" w:color="auto"/>
              <w:left w:val="single" w:sz="4" w:space="0" w:color="auto"/>
              <w:bottom w:val="single" w:sz="4" w:space="0" w:color="auto"/>
              <w:right w:val="single" w:sz="4" w:space="0" w:color="auto"/>
            </w:tcBorders>
          </w:tcPr>
          <w:p w14:paraId="076C1B96" w14:textId="77777777" w:rsidR="00027243" w:rsidRPr="00096BAD" w:rsidRDefault="00027243" w:rsidP="009A4875">
            <w:pPr>
              <w:rPr>
                <w:sz w:val="22"/>
              </w:rPr>
            </w:pPr>
            <w:r w:rsidRPr="00096BAD">
              <w:rPr>
                <w:sz w:val="22"/>
              </w:rPr>
              <w:t>Study Abroad and work</w:t>
            </w:r>
          </w:p>
          <w:p w14:paraId="596B0FD9" w14:textId="77777777" w:rsidR="00027243" w:rsidRPr="00096BAD" w:rsidRDefault="00027243" w:rsidP="009A4875">
            <w:pPr>
              <w:rPr>
                <w:sz w:val="22"/>
              </w:rPr>
            </w:pPr>
            <w:r w:rsidRPr="00096BAD">
              <w:rPr>
                <w:sz w:val="22"/>
              </w:rPr>
              <w:t>placements (Overseas)</w:t>
            </w:r>
          </w:p>
        </w:tc>
        <w:tc>
          <w:tcPr>
            <w:tcW w:w="2217" w:type="dxa"/>
            <w:tcBorders>
              <w:top w:val="single" w:sz="4" w:space="0" w:color="auto"/>
              <w:left w:val="single" w:sz="4" w:space="0" w:color="auto"/>
              <w:bottom w:val="single" w:sz="4" w:space="0" w:color="auto"/>
              <w:right w:val="single" w:sz="4" w:space="0" w:color="auto"/>
            </w:tcBorders>
          </w:tcPr>
          <w:p w14:paraId="7B4BE72C" w14:textId="77777777" w:rsidR="00027243" w:rsidRPr="00096BAD" w:rsidRDefault="00027243" w:rsidP="009A4875">
            <w:pPr>
              <w:jc w:val="center"/>
              <w:rPr>
                <w:sz w:val="22"/>
              </w:rPr>
            </w:pPr>
            <w:r w:rsidRPr="00096BAD">
              <w:rPr>
                <w:sz w:val="22"/>
              </w:rPr>
              <w:t>1 year</w:t>
            </w:r>
          </w:p>
        </w:tc>
      </w:tr>
      <w:tr w:rsidR="00027243" w:rsidRPr="00E5308E" w14:paraId="2DD5945B" w14:textId="77777777" w:rsidTr="009A4875">
        <w:trPr>
          <w:tblHeader/>
        </w:trPr>
        <w:tc>
          <w:tcPr>
            <w:tcW w:w="421" w:type="dxa"/>
            <w:vMerge/>
            <w:tcBorders>
              <w:left w:val="single" w:sz="4" w:space="0" w:color="auto"/>
              <w:right w:val="single" w:sz="4" w:space="0" w:color="auto"/>
            </w:tcBorders>
          </w:tcPr>
          <w:p w14:paraId="0A6CDF9F" w14:textId="77777777" w:rsidR="00027243" w:rsidRPr="00E5308E" w:rsidRDefault="00027243" w:rsidP="009A4875">
            <w:pPr>
              <w:rPr>
                <w:b/>
                <w:szCs w:val="24"/>
              </w:rPr>
            </w:pPr>
          </w:p>
        </w:tc>
        <w:tc>
          <w:tcPr>
            <w:tcW w:w="1701" w:type="dxa"/>
            <w:vMerge/>
            <w:tcBorders>
              <w:left w:val="single" w:sz="4" w:space="0" w:color="auto"/>
              <w:right w:val="single" w:sz="4" w:space="0" w:color="auto"/>
            </w:tcBorders>
          </w:tcPr>
          <w:p w14:paraId="0DCB7E07" w14:textId="77777777" w:rsidR="00027243" w:rsidRPr="00096BAD" w:rsidRDefault="00027243" w:rsidP="009A4875">
            <w:pPr>
              <w:rPr>
                <w:b/>
                <w:sz w:val="22"/>
              </w:rPr>
            </w:pPr>
          </w:p>
        </w:tc>
        <w:tc>
          <w:tcPr>
            <w:tcW w:w="1134" w:type="dxa"/>
            <w:tcBorders>
              <w:top w:val="single" w:sz="4" w:space="0" w:color="auto"/>
              <w:left w:val="single" w:sz="4" w:space="0" w:color="auto"/>
              <w:bottom w:val="single" w:sz="4" w:space="0" w:color="auto"/>
              <w:right w:val="single" w:sz="4" w:space="0" w:color="auto"/>
            </w:tcBorders>
          </w:tcPr>
          <w:p w14:paraId="52AE8CE9" w14:textId="77777777" w:rsidR="00027243" w:rsidRPr="00096BAD" w:rsidRDefault="00027243" w:rsidP="009A4875">
            <w:pPr>
              <w:rPr>
                <w:sz w:val="22"/>
              </w:rPr>
            </w:pPr>
            <w:r w:rsidRPr="00096BAD">
              <w:rPr>
                <w:sz w:val="22"/>
              </w:rPr>
              <w:t>A4</w:t>
            </w:r>
          </w:p>
        </w:tc>
        <w:tc>
          <w:tcPr>
            <w:tcW w:w="3543" w:type="dxa"/>
            <w:tcBorders>
              <w:top w:val="single" w:sz="4" w:space="0" w:color="auto"/>
              <w:left w:val="single" w:sz="4" w:space="0" w:color="auto"/>
              <w:bottom w:val="single" w:sz="4" w:space="0" w:color="auto"/>
              <w:right w:val="single" w:sz="4" w:space="0" w:color="auto"/>
            </w:tcBorders>
          </w:tcPr>
          <w:p w14:paraId="0D60B398" w14:textId="77777777" w:rsidR="00027243" w:rsidRPr="00096BAD" w:rsidRDefault="00027243" w:rsidP="009A4875">
            <w:pPr>
              <w:rPr>
                <w:sz w:val="22"/>
              </w:rPr>
            </w:pPr>
            <w:r w:rsidRPr="00096BAD">
              <w:rPr>
                <w:sz w:val="22"/>
              </w:rPr>
              <w:t>Clinical placements (UK)</w:t>
            </w:r>
          </w:p>
        </w:tc>
        <w:tc>
          <w:tcPr>
            <w:tcW w:w="2217" w:type="dxa"/>
            <w:tcBorders>
              <w:top w:val="single" w:sz="4" w:space="0" w:color="auto"/>
              <w:left w:val="single" w:sz="4" w:space="0" w:color="auto"/>
              <w:bottom w:val="single" w:sz="4" w:space="0" w:color="auto"/>
              <w:right w:val="single" w:sz="4" w:space="0" w:color="auto"/>
            </w:tcBorders>
          </w:tcPr>
          <w:p w14:paraId="51D685BD" w14:textId="70F44A51" w:rsidR="00027243" w:rsidRPr="00096BAD" w:rsidRDefault="00027243" w:rsidP="009A4875">
            <w:pPr>
              <w:jc w:val="center"/>
              <w:rPr>
                <w:sz w:val="22"/>
              </w:rPr>
            </w:pPr>
            <w:r w:rsidRPr="00096BAD">
              <w:rPr>
                <w:sz w:val="22"/>
              </w:rPr>
              <w:t>Ongoing but subject to 2-yearly review</w:t>
            </w:r>
          </w:p>
        </w:tc>
      </w:tr>
      <w:tr w:rsidR="00027243" w:rsidRPr="00E5308E" w14:paraId="3DDE6C79" w14:textId="77777777" w:rsidTr="00D171D1">
        <w:trPr>
          <w:tblHeader/>
        </w:trPr>
        <w:tc>
          <w:tcPr>
            <w:tcW w:w="421" w:type="dxa"/>
            <w:vMerge/>
            <w:tcBorders>
              <w:left w:val="single" w:sz="4" w:space="0" w:color="auto"/>
              <w:right w:val="single" w:sz="4" w:space="0" w:color="auto"/>
            </w:tcBorders>
          </w:tcPr>
          <w:p w14:paraId="150067CB" w14:textId="77777777" w:rsidR="00027243" w:rsidRPr="00E5308E" w:rsidRDefault="00027243" w:rsidP="00027243">
            <w:pPr>
              <w:rPr>
                <w:b/>
                <w:szCs w:val="24"/>
              </w:rPr>
            </w:pPr>
          </w:p>
        </w:tc>
        <w:tc>
          <w:tcPr>
            <w:tcW w:w="1701" w:type="dxa"/>
            <w:vMerge/>
            <w:tcBorders>
              <w:left w:val="single" w:sz="4" w:space="0" w:color="auto"/>
              <w:right w:val="single" w:sz="4" w:space="0" w:color="auto"/>
            </w:tcBorders>
          </w:tcPr>
          <w:p w14:paraId="4B9A9B88" w14:textId="77777777" w:rsidR="00027243" w:rsidRPr="00096BAD" w:rsidRDefault="00027243" w:rsidP="00027243">
            <w:pPr>
              <w:rPr>
                <w:b/>
                <w:sz w:val="22"/>
              </w:rPr>
            </w:pPr>
          </w:p>
        </w:tc>
        <w:tc>
          <w:tcPr>
            <w:tcW w:w="1134" w:type="dxa"/>
            <w:tcBorders>
              <w:top w:val="single" w:sz="4" w:space="0" w:color="auto"/>
              <w:left w:val="single" w:sz="4" w:space="0" w:color="auto"/>
              <w:bottom w:val="single" w:sz="2" w:space="0" w:color="auto"/>
              <w:right w:val="single" w:sz="4" w:space="0" w:color="auto"/>
            </w:tcBorders>
          </w:tcPr>
          <w:p w14:paraId="054D8082" w14:textId="03D83C47" w:rsidR="00027243" w:rsidRPr="00096BAD" w:rsidRDefault="00027243" w:rsidP="00027243">
            <w:pPr>
              <w:rPr>
                <w:sz w:val="22"/>
              </w:rPr>
            </w:pPr>
            <w:r w:rsidRPr="00096BAD">
              <w:rPr>
                <w:sz w:val="22"/>
              </w:rPr>
              <w:t>A5</w:t>
            </w:r>
          </w:p>
        </w:tc>
        <w:tc>
          <w:tcPr>
            <w:tcW w:w="3543" w:type="dxa"/>
            <w:tcBorders>
              <w:top w:val="single" w:sz="4" w:space="0" w:color="auto"/>
              <w:left w:val="single" w:sz="4" w:space="0" w:color="auto"/>
              <w:bottom w:val="single" w:sz="2" w:space="0" w:color="auto"/>
              <w:right w:val="single" w:sz="4" w:space="0" w:color="auto"/>
            </w:tcBorders>
          </w:tcPr>
          <w:p w14:paraId="0947B560" w14:textId="198D1004" w:rsidR="00027243" w:rsidRPr="00096BAD" w:rsidRDefault="00027243" w:rsidP="00027243">
            <w:pPr>
              <w:rPr>
                <w:sz w:val="22"/>
              </w:rPr>
            </w:pPr>
            <w:r w:rsidRPr="00096BAD">
              <w:rPr>
                <w:sz w:val="22"/>
              </w:rPr>
              <w:t>Degree and Higher Apprenticeships</w:t>
            </w:r>
          </w:p>
        </w:tc>
        <w:tc>
          <w:tcPr>
            <w:tcW w:w="2217" w:type="dxa"/>
            <w:tcBorders>
              <w:top w:val="single" w:sz="4" w:space="0" w:color="auto"/>
              <w:left w:val="single" w:sz="4" w:space="0" w:color="auto"/>
              <w:bottom w:val="single" w:sz="2" w:space="0" w:color="auto"/>
              <w:right w:val="single" w:sz="4" w:space="0" w:color="auto"/>
            </w:tcBorders>
          </w:tcPr>
          <w:p w14:paraId="1F05D58E" w14:textId="53AC20F9" w:rsidR="00027243" w:rsidRPr="00096BAD" w:rsidRDefault="00027243" w:rsidP="00027243">
            <w:pPr>
              <w:jc w:val="center"/>
              <w:rPr>
                <w:sz w:val="22"/>
              </w:rPr>
            </w:pPr>
            <w:r w:rsidRPr="00096BAD">
              <w:rPr>
                <w:sz w:val="22"/>
              </w:rPr>
              <w:t xml:space="preserve"> Ongoing - subject to annual review activity</w:t>
            </w:r>
          </w:p>
        </w:tc>
      </w:tr>
      <w:tr w:rsidR="00027243" w:rsidRPr="00E5308E" w14:paraId="67BC4326" w14:textId="77777777" w:rsidTr="00027243">
        <w:trPr>
          <w:tblHeader/>
        </w:trPr>
        <w:tc>
          <w:tcPr>
            <w:tcW w:w="421" w:type="dxa"/>
            <w:vMerge/>
            <w:tcBorders>
              <w:left w:val="single" w:sz="4" w:space="0" w:color="auto"/>
              <w:bottom w:val="single" w:sz="2" w:space="0" w:color="auto"/>
              <w:right w:val="single" w:sz="4" w:space="0" w:color="auto"/>
            </w:tcBorders>
          </w:tcPr>
          <w:p w14:paraId="75A921B9" w14:textId="77777777" w:rsidR="00027243" w:rsidRPr="00E5308E" w:rsidRDefault="00027243" w:rsidP="00027243">
            <w:pPr>
              <w:rPr>
                <w:b/>
                <w:szCs w:val="24"/>
              </w:rPr>
            </w:pPr>
          </w:p>
        </w:tc>
        <w:tc>
          <w:tcPr>
            <w:tcW w:w="1701" w:type="dxa"/>
            <w:vMerge/>
            <w:tcBorders>
              <w:left w:val="single" w:sz="4" w:space="0" w:color="auto"/>
              <w:bottom w:val="single" w:sz="2" w:space="0" w:color="auto"/>
              <w:right w:val="single" w:sz="4" w:space="0" w:color="auto"/>
            </w:tcBorders>
          </w:tcPr>
          <w:p w14:paraId="747FBF06" w14:textId="77777777" w:rsidR="00027243" w:rsidRPr="00096BAD" w:rsidRDefault="00027243" w:rsidP="00027243">
            <w:pPr>
              <w:rPr>
                <w:b/>
                <w:sz w:val="22"/>
              </w:rPr>
            </w:pPr>
          </w:p>
        </w:tc>
        <w:tc>
          <w:tcPr>
            <w:tcW w:w="1134" w:type="dxa"/>
            <w:tcBorders>
              <w:top w:val="single" w:sz="4" w:space="0" w:color="auto"/>
              <w:left w:val="single" w:sz="4" w:space="0" w:color="auto"/>
              <w:bottom w:val="single" w:sz="2" w:space="0" w:color="auto"/>
              <w:right w:val="single" w:sz="4" w:space="0" w:color="auto"/>
            </w:tcBorders>
          </w:tcPr>
          <w:p w14:paraId="63D03D18" w14:textId="1153B577" w:rsidR="00027243" w:rsidRPr="00096BAD" w:rsidRDefault="00027243" w:rsidP="00027243">
            <w:pPr>
              <w:rPr>
                <w:sz w:val="22"/>
              </w:rPr>
            </w:pPr>
            <w:r w:rsidRPr="00096BAD">
              <w:rPr>
                <w:sz w:val="22"/>
              </w:rPr>
              <w:t>A</w:t>
            </w:r>
            <w:r>
              <w:rPr>
                <w:sz w:val="22"/>
              </w:rPr>
              <w:t>6</w:t>
            </w:r>
          </w:p>
        </w:tc>
        <w:tc>
          <w:tcPr>
            <w:tcW w:w="3543" w:type="dxa"/>
            <w:tcBorders>
              <w:top w:val="single" w:sz="4" w:space="0" w:color="auto"/>
              <w:left w:val="single" w:sz="4" w:space="0" w:color="auto"/>
              <w:bottom w:val="single" w:sz="2" w:space="0" w:color="auto"/>
              <w:right w:val="single" w:sz="4" w:space="0" w:color="auto"/>
            </w:tcBorders>
          </w:tcPr>
          <w:p w14:paraId="46C49B8F" w14:textId="3219333C" w:rsidR="00027243" w:rsidRPr="00096BAD" w:rsidRDefault="00027243" w:rsidP="00027243">
            <w:pPr>
              <w:rPr>
                <w:sz w:val="22"/>
              </w:rPr>
            </w:pPr>
            <w:r>
              <w:rPr>
                <w:sz w:val="22"/>
              </w:rPr>
              <w:t>PGCE with Lead Partner</w:t>
            </w:r>
          </w:p>
        </w:tc>
        <w:tc>
          <w:tcPr>
            <w:tcW w:w="2217" w:type="dxa"/>
            <w:tcBorders>
              <w:top w:val="single" w:sz="4" w:space="0" w:color="auto"/>
              <w:left w:val="single" w:sz="4" w:space="0" w:color="auto"/>
              <w:bottom w:val="single" w:sz="2" w:space="0" w:color="auto"/>
              <w:right w:val="single" w:sz="4" w:space="0" w:color="auto"/>
            </w:tcBorders>
          </w:tcPr>
          <w:p w14:paraId="7F908E9E" w14:textId="77777777" w:rsidR="00027243" w:rsidRPr="00096BAD" w:rsidRDefault="00027243" w:rsidP="00027243">
            <w:pPr>
              <w:jc w:val="center"/>
              <w:rPr>
                <w:sz w:val="22"/>
              </w:rPr>
            </w:pPr>
            <w:r w:rsidRPr="00096BAD">
              <w:rPr>
                <w:sz w:val="22"/>
              </w:rPr>
              <w:t xml:space="preserve"> Ongoing - subject to annual review activity</w:t>
            </w:r>
          </w:p>
        </w:tc>
      </w:tr>
    </w:tbl>
    <w:p w14:paraId="3C68FD78" w14:textId="77777777" w:rsidR="00ED74CB" w:rsidRDefault="00ED74CB" w:rsidP="00ED74CB"/>
    <w:p w14:paraId="600334B7" w14:textId="7926B2EE" w:rsidR="007F317A" w:rsidRPr="00B75A89" w:rsidRDefault="007F317A" w:rsidP="0009506B">
      <w:pPr>
        <w:spacing w:after="0"/>
        <w:contextualSpacing/>
        <w:jc w:val="both"/>
      </w:pPr>
      <w:r w:rsidRPr="00B75A89">
        <w:t>When approving programmes containing either work-based or placement learning, the following guidance may be utilised:</w:t>
      </w:r>
    </w:p>
    <w:p w14:paraId="760A3388" w14:textId="77777777" w:rsidR="007F317A" w:rsidRPr="00B75A89" w:rsidRDefault="007F317A" w:rsidP="0009506B">
      <w:pPr>
        <w:numPr>
          <w:ilvl w:val="0"/>
          <w:numId w:val="26"/>
        </w:numPr>
        <w:spacing w:after="0"/>
        <w:contextualSpacing/>
        <w:jc w:val="both"/>
      </w:pPr>
      <w:r w:rsidRPr="00B75A89">
        <w:t>(Where the student is not already in relevant employment) The identification of placement opportunities which offer a learning experience that meets the needs and expectations of students and enables achievement of the relevant learning outcomes. Validation panels consider whether students will source their own placements (with support) or have placements provided for them and where such responsibility is located.</w:t>
      </w:r>
    </w:p>
    <w:p w14:paraId="24DC45B8" w14:textId="77777777" w:rsidR="00C41C7C" w:rsidRDefault="000A5D3F" w:rsidP="00C41C7C">
      <w:pPr>
        <w:spacing w:after="0"/>
        <w:ind w:left="720"/>
        <w:contextualSpacing/>
        <w:jc w:val="both"/>
      </w:pPr>
      <w:r w:rsidRPr="000A5D3F">
        <w:rPr>
          <w:iCs/>
          <w:noProof/>
        </w:rPr>
        <mc:AlternateContent>
          <mc:Choice Requires="wps">
            <w:drawing>
              <wp:inline distT="0" distB="0" distL="0" distR="0" wp14:anchorId="7F804015" wp14:editId="1E3ED475">
                <wp:extent cx="5715000" cy="1685290"/>
                <wp:effectExtent l="0" t="0" r="1905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85677"/>
                        </a:xfrm>
                        <a:prstGeom prst="rect">
                          <a:avLst/>
                        </a:prstGeom>
                        <a:solidFill>
                          <a:srgbClr val="FFFFFF"/>
                        </a:solidFill>
                        <a:ln w="9525">
                          <a:solidFill>
                            <a:srgbClr val="000000"/>
                          </a:solidFill>
                          <a:miter lim="800000"/>
                          <a:headEnd/>
                          <a:tailEnd/>
                        </a:ln>
                      </wps:spPr>
                      <wps:txbx>
                        <w:txbxContent>
                          <w:p w14:paraId="17635D76" w14:textId="5C695AE5" w:rsidR="00CB2078" w:rsidRPr="00A8744D" w:rsidRDefault="00CB2078" w:rsidP="000A5D3F">
                            <w:pPr>
                              <w:contextualSpacing/>
                              <w:jc w:val="both"/>
                              <w:rPr>
                                <w:i/>
                                <w:sz w:val="22"/>
                              </w:rPr>
                            </w:pPr>
                            <w:r w:rsidRPr="00A8744D">
                              <w:rPr>
                                <w:i/>
                                <w:sz w:val="22"/>
                              </w:rPr>
                              <w:t>Possible questions:</w:t>
                            </w:r>
                          </w:p>
                          <w:p w14:paraId="5A054544" w14:textId="77777777" w:rsidR="00CB2078" w:rsidRPr="00A8744D" w:rsidRDefault="00CB2078" w:rsidP="000A5D3F">
                            <w:pPr>
                              <w:numPr>
                                <w:ilvl w:val="0"/>
                                <w:numId w:val="8"/>
                              </w:numPr>
                              <w:contextualSpacing/>
                              <w:jc w:val="both"/>
                              <w:rPr>
                                <w:sz w:val="22"/>
                              </w:rPr>
                            </w:pPr>
                            <w:r w:rsidRPr="00A8744D">
                              <w:rPr>
                                <w:sz w:val="22"/>
                              </w:rPr>
                              <w:t>Who sources or organises the placements?</w:t>
                            </w:r>
                          </w:p>
                          <w:p w14:paraId="173F33E6" w14:textId="77777777" w:rsidR="00CB2078" w:rsidRPr="00A8744D" w:rsidRDefault="00CB2078" w:rsidP="000A5D3F">
                            <w:pPr>
                              <w:numPr>
                                <w:ilvl w:val="0"/>
                                <w:numId w:val="8"/>
                              </w:numPr>
                              <w:contextualSpacing/>
                              <w:jc w:val="both"/>
                              <w:rPr>
                                <w:sz w:val="22"/>
                              </w:rPr>
                            </w:pPr>
                            <w:r w:rsidRPr="00A8744D">
                              <w:rPr>
                                <w:sz w:val="22"/>
                              </w:rPr>
                              <w:t>What is the structure and duration of the placement?</w:t>
                            </w:r>
                          </w:p>
                          <w:p w14:paraId="6EB6AB22" w14:textId="15567A88" w:rsidR="00CB2078" w:rsidRPr="00A8744D" w:rsidRDefault="00CB2078" w:rsidP="000A5D3F">
                            <w:pPr>
                              <w:numPr>
                                <w:ilvl w:val="0"/>
                                <w:numId w:val="8"/>
                              </w:numPr>
                              <w:contextualSpacing/>
                              <w:jc w:val="both"/>
                              <w:rPr>
                                <w:sz w:val="22"/>
                              </w:rPr>
                            </w:pPr>
                            <w:r w:rsidRPr="00A8744D">
                              <w:rPr>
                                <w:sz w:val="22"/>
                              </w:rPr>
                              <w:t>What is the purpose of the placement (e.g.</w:t>
                            </w:r>
                            <w:r w:rsidR="00FE2116">
                              <w:rPr>
                                <w:sz w:val="22"/>
                              </w:rPr>
                              <w:t>,</w:t>
                            </w:r>
                            <w:r w:rsidRPr="00A8744D">
                              <w:rPr>
                                <w:sz w:val="22"/>
                              </w:rPr>
                              <w:t xml:space="preserve"> to meet compulsory requirements of the programme; an employability opportunity; to develop certain skills/ to gain certain experience)?</w:t>
                            </w:r>
                          </w:p>
                          <w:p w14:paraId="70D03A79" w14:textId="77777777" w:rsidR="00CB2078" w:rsidRPr="00A8744D" w:rsidRDefault="00CB2078" w:rsidP="000A5D3F">
                            <w:pPr>
                              <w:numPr>
                                <w:ilvl w:val="0"/>
                                <w:numId w:val="8"/>
                              </w:numPr>
                              <w:contextualSpacing/>
                              <w:jc w:val="both"/>
                              <w:rPr>
                                <w:sz w:val="22"/>
                              </w:rPr>
                            </w:pPr>
                            <w:r w:rsidRPr="00A8744D">
                              <w:rPr>
                                <w:sz w:val="22"/>
                              </w:rPr>
                              <w:t>Is credit attached to the placement/ is the student assessed for competency?</w:t>
                            </w:r>
                          </w:p>
                          <w:p w14:paraId="7F602F5C" w14:textId="77777777" w:rsidR="00CB2078" w:rsidRPr="00A8744D" w:rsidRDefault="00CB2078" w:rsidP="000A5D3F">
                            <w:pPr>
                              <w:numPr>
                                <w:ilvl w:val="0"/>
                                <w:numId w:val="8"/>
                              </w:numPr>
                              <w:contextualSpacing/>
                              <w:jc w:val="both"/>
                              <w:rPr>
                                <w:sz w:val="22"/>
                              </w:rPr>
                            </w:pPr>
                            <w:r w:rsidRPr="00A8744D">
                              <w:rPr>
                                <w:sz w:val="22"/>
                              </w:rPr>
                              <w:t>Details of potential placement partners, including any overseas arrangement.</w:t>
                            </w:r>
                          </w:p>
                          <w:p w14:paraId="771771CF" w14:textId="1626DDD8" w:rsidR="00CB2078" w:rsidRPr="00A8744D" w:rsidRDefault="00CB2078" w:rsidP="00A8744D">
                            <w:pPr>
                              <w:numPr>
                                <w:ilvl w:val="0"/>
                                <w:numId w:val="8"/>
                              </w:numPr>
                              <w:contextualSpacing/>
                              <w:jc w:val="both"/>
                              <w:rPr>
                                <w:sz w:val="22"/>
                              </w:rPr>
                            </w:pPr>
                            <w:r w:rsidRPr="00A8744D">
                              <w:rPr>
                                <w:sz w:val="22"/>
                              </w:rPr>
                              <w:t>What funding is provided for the placement provider?</w:t>
                            </w:r>
                          </w:p>
                        </w:txbxContent>
                      </wps:txbx>
                      <wps:bodyPr rot="0" vert="horz" wrap="square" lIns="91440" tIns="45720" rIns="91440" bIns="45720" anchor="t" anchorCtr="0">
                        <a:noAutofit/>
                      </wps:bodyPr>
                    </wps:wsp>
                  </a:graphicData>
                </a:graphic>
              </wp:inline>
            </w:drawing>
          </mc:Choice>
          <mc:Fallback>
            <w:pict>
              <v:shape w14:anchorId="7F804015" id="Text Box 2" o:spid="_x0000_s1030" type="#_x0000_t202" style="width:450pt;height:1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">
                <v:textbox>
                  <w:txbxContent>
                    <w:p w14:paraId="17635D76" w14:textId="5C695AE5" w:rsidR="00CB2078" w:rsidRPr="00A8744D" w:rsidRDefault="00CB2078" w:rsidP="000A5D3F">
                      <w:pPr>
                        <w:contextualSpacing/>
                        <w:jc w:val="both"/>
                        <w:rPr>
                          <w:i/>
                          <w:sz w:val="22"/>
                        </w:rPr>
                      </w:pPr>
                      <w:r w:rsidRPr="00A8744D">
                        <w:rPr>
                          <w:i/>
                          <w:sz w:val="22"/>
                        </w:rPr>
                        <w:t>Possible questions:</w:t>
                      </w:r>
                    </w:p>
                    <w:p w14:paraId="5A054544" w14:textId="77777777" w:rsidR="00CB2078" w:rsidRPr="00A8744D" w:rsidRDefault="00CB2078" w:rsidP="000A5D3F">
                      <w:pPr>
                        <w:numPr>
                          <w:ilvl w:val="0"/>
                          <w:numId w:val="8"/>
                        </w:numPr>
                        <w:contextualSpacing/>
                        <w:jc w:val="both"/>
                        <w:rPr>
                          <w:sz w:val="22"/>
                        </w:rPr>
                      </w:pPr>
                      <w:r w:rsidRPr="00A8744D">
                        <w:rPr>
                          <w:sz w:val="22"/>
                        </w:rPr>
                        <w:t>Who sources or organises the placements?</w:t>
                      </w:r>
                    </w:p>
                    <w:p w14:paraId="173F33E6" w14:textId="77777777" w:rsidR="00CB2078" w:rsidRPr="00A8744D" w:rsidRDefault="00CB2078" w:rsidP="000A5D3F">
                      <w:pPr>
                        <w:numPr>
                          <w:ilvl w:val="0"/>
                          <w:numId w:val="8"/>
                        </w:numPr>
                        <w:contextualSpacing/>
                        <w:jc w:val="both"/>
                        <w:rPr>
                          <w:sz w:val="22"/>
                        </w:rPr>
                      </w:pPr>
                      <w:r w:rsidRPr="00A8744D">
                        <w:rPr>
                          <w:sz w:val="22"/>
                        </w:rPr>
                        <w:t>What is the structure and duration of the placement?</w:t>
                      </w:r>
                    </w:p>
                    <w:p w14:paraId="6EB6AB22" w14:textId="15567A88" w:rsidR="00CB2078" w:rsidRPr="00A8744D" w:rsidRDefault="00CB2078" w:rsidP="000A5D3F">
                      <w:pPr>
                        <w:numPr>
                          <w:ilvl w:val="0"/>
                          <w:numId w:val="8"/>
                        </w:numPr>
                        <w:contextualSpacing/>
                        <w:jc w:val="both"/>
                        <w:rPr>
                          <w:sz w:val="22"/>
                        </w:rPr>
                      </w:pPr>
                      <w:r w:rsidRPr="00A8744D">
                        <w:rPr>
                          <w:sz w:val="22"/>
                        </w:rPr>
                        <w:t>What is the purpose of the placement (e.g.</w:t>
                      </w:r>
                      <w:r w:rsidR="00FE2116">
                        <w:rPr>
                          <w:sz w:val="22"/>
                        </w:rPr>
                        <w:t>,</w:t>
                      </w:r>
                      <w:r w:rsidRPr="00A8744D">
                        <w:rPr>
                          <w:sz w:val="22"/>
                        </w:rPr>
                        <w:t xml:space="preserve"> to meet compulsory requirements of the programme; an employability opportunity; to develop certain skills/ to gain certain experience)?</w:t>
                      </w:r>
                    </w:p>
                    <w:p w14:paraId="70D03A79" w14:textId="77777777" w:rsidR="00CB2078" w:rsidRPr="00A8744D" w:rsidRDefault="00CB2078" w:rsidP="000A5D3F">
                      <w:pPr>
                        <w:numPr>
                          <w:ilvl w:val="0"/>
                          <w:numId w:val="8"/>
                        </w:numPr>
                        <w:contextualSpacing/>
                        <w:jc w:val="both"/>
                        <w:rPr>
                          <w:sz w:val="22"/>
                        </w:rPr>
                      </w:pPr>
                      <w:r w:rsidRPr="00A8744D">
                        <w:rPr>
                          <w:sz w:val="22"/>
                        </w:rPr>
                        <w:t>Is credit attached to the placement/ is the student assessed for competency?</w:t>
                      </w:r>
                    </w:p>
                    <w:p w14:paraId="7F602F5C" w14:textId="77777777" w:rsidR="00CB2078" w:rsidRPr="00A8744D" w:rsidRDefault="00CB2078" w:rsidP="000A5D3F">
                      <w:pPr>
                        <w:numPr>
                          <w:ilvl w:val="0"/>
                          <w:numId w:val="8"/>
                        </w:numPr>
                        <w:contextualSpacing/>
                        <w:jc w:val="both"/>
                        <w:rPr>
                          <w:sz w:val="22"/>
                        </w:rPr>
                      </w:pPr>
                      <w:r w:rsidRPr="00A8744D">
                        <w:rPr>
                          <w:sz w:val="22"/>
                        </w:rPr>
                        <w:t>Details of potential placement partners, including any overseas arrangement.</w:t>
                      </w:r>
                    </w:p>
                    <w:p w14:paraId="771771CF" w14:textId="1626DDD8" w:rsidR="00CB2078" w:rsidRPr="00A8744D" w:rsidRDefault="00CB2078" w:rsidP="00A8744D">
                      <w:pPr>
                        <w:numPr>
                          <w:ilvl w:val="0"/>
                          <w:numId w:val="8"/>
                        </w:numPr>
                        <w:contextualSpacing/>
                        <w:jc w:val="both"/>
                        <w:rPr>
                          <w:sz w:val="22"/>
                        </w:rPr>
                      </w:pPr>
                      <w:r w:rsidRPr="00A8744D">
                        <w:rPr>
                          <w:sz w:val="22"/>
                        </w:rPr>
                        <w:t>What funding is provided for the placement provider?</w:t>
                      </w:r>
                    </w:p>
                  </w:txbxContent>
                </v:textbox>
                <w10:anchorlock/>
              </v:shape>
            </w:pict>
          </mc:Fallback>
        </mc:AlternateContent>
      </w:r>
    </w:p>
    <w:p w14:paraId="1E12AEB0" w14:textId="7C2155DF" w:rsidR="007F317A" w:rsidRPr="00B75A89" w:rsidRDefault="007F317A" w:rsidP="00C41C7C">
      <w:pPr>
        <w:pStyle w:val="ListParagraph"/>
        <w:numPr>
          <w:ilvl w:val="0"/>
          <w:numId w:val="26"/>
        </w:numPr>
        <w:spacing w:after="0"/>
        <w:jc w:val="both"/>
      </w:pPr>
      <w:r w:rsidRPr="00B75A89">
        <w:t>(Where the student is already in employment) How the appropriateness of the student’s own work setting to the learning aims and outcomes is established</w:t>
      </w:r>
      <w:r w:rsidR="0009506B">
        <w:t>.</w:t>
      </w:r>
    </w:p>
    <w:p w14:paraId="51366055" w14:textId="77777777" w:rsidR="00C41C7C" w:rsidRDefault="000A5D3F" w:rsidP="00C41C7C">
      <w:pPr>
        <w:spacing w:after="0"/>
        <w:ind w:left="720"/>
        <w:contextualSpacing/>
        <w:jc w:val="both"/>
      </w:pPr>
      <w:r>
        <w:rPr>
          <w:noProof/>
        </w:rPr>
        <mc:AlternateContent>
          <mc:Choice Requires="wps">
            <w:drawing>
              <wp:inline distT="0" distB="0" distL="0" distR="0" wp14:anchorId="08E0936D" wp14:editId="3FF0900C">
                <wp:extent cx="5708650" cy="1685290"/>
                <wp:effectExtent l="0" t="0" r="2540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685677"/>
                        </a:xfrm>
                        <a:prstGeom prst="rect">
                          <a:avLst/>
                        </a:prstGeom>
                        <a:solidFill>
                          <a:srgbClr val="FFFFFF"/>
                        </a:solidFill>
                        <a:ln w="9525">
                          <a:solidFill>
                            <a:srgbClr val="000000"/>
                          </a:solidFill>
                          <a:miter lim="800000"/>
                          <a:headEnd/>
                          <a:tailEnd/>
                        </a:ln>
                      </wps:spPr>
                      <wps:txbx>
                        <w:txbxContent>
                          <w:p w14:paraId="1C55C7B0" w14:textId="312F6FF0" w:rsidR="00CB2078" w:rsidRPr="00A8744D" w:rsidRDefault="00CB2078" w:rsidP="000A5D3F">
                            <w:pPr>
                              <w:contextualSpacing/>
                              <w:jc w:val="both"/>
                              <w:rPr>
                                <w:i/>
                                <w:sz w:val="22"/>
                              </w:rPr>
                            </w:pPr>
                            <w:r w:rsidRPr="00A8744D">
                              <w:rPr>
                                <w:i/>
                                <w:sz w:val="22"/>
                              </w:rPr>
                              <w:t>Possible questions:</w:t>
                            </w:r>
                          </w:p>
                          <w:p w14:paraId="21DA6B74" w14:textId="77777777" w:rsidR="00CB2078" w:rsidRPr="00A8744D" w:rsidRDefault="00CB2078" w:rsidP="000A5D3F">
                            <w:pPr>
                              <w:numPr>
                                <w:ilvl w:val="0"/>
                                <w:numId w:val="9"/>
                              </w:numPr>
                              <w:contextualSpacing/>
                              <w:jc w:val="both"/>
                              <w:rPr>
                                <w:sz w:val="22"/>
                              </w:rPr>
                            </w:pPr>
                            <w:r w:rsidRPr="00A8744D">
                              <w:rPr>
                                <w:sz w:val="22"/>
                              </w:rPr>
                              <w:t>Who has responsibility for identifying and organising placement opportunity?</w:t>
                            </w:r>
                          </w:p>
                          <w:p w14:paraId="535903AD" w14:textId="77777777" w:rsidR="00CB2078" w:rsidRPr="00A8744D" w:rsidRDefault="00CB2078" w:rsidP="000A5D3F">
                            <w:pPr>
                              <w:numPr>
                                <w:ilvl w:val="0"/>
                                <w:numId w:val="9"/>
                              </w:numPr>
                              <w:contextualSpacing/>
                              <w:jc w:val="both"/>
                              <w:rPr>
                                <w:sz w:val="22"/>
                              </w:rPr>
                            </w:pPr>
                            <w:r w:rsidRPr="00A8744D">
                              <w:rPr>
                                <w:sz w:val="22"/>
                              </w:rPr>
                              <w:t>Who approves this?</w:t>
                            </w:r>
                          </w:p>
                          <w:p w14:paraId="18EEE914" w14:textId="77777777" w:rsidR="00CB2078" w:rsidRPr="00A8744D" w:rsidRDefault="00CB2078" w:rsidP="000A5D3F">
                            <w:pPr>
                              <w:numPr>
                                <w:ilvl w:val="0"/>
                                <w:numId w:val="9"/>
                              </w:numPr>
                              <w:contextualSpacing/>
                              <w:jc w:val="both"/>
                              <w:rPr>
                                <w:sz w:val="22"/>
                              </w:rPr>
                            </w:pPr>
                            <w:r w:rsidRPr="00A8744D">
                              <w:rPr>
                                <w:sz w:val="22"/>
                              </w:rPr>
                              <w:t>Who monitors and evaluates the placement?</w:t>
                            </w:r>
                          </w:p>
                          <w:p w14:paraId="207066F4" w14:textId="77777777" w:rsidR="00CB2078" w:rsidRPr="00A8744D" w:rsidRDefault="00CB2078" w:rsidP="000A5D3F">
                            <w:pPr>
                              <w:numPr>
                                <w:ilvl w:val="0"/>
                                <w:numId w:val="9"/>
                              </w:numPr>
                              <w:contextualSpacing/>
                              <w:jc w:val="both"/>
                              <w:rPr>
                                <w:sz w:val="22"/>
                              </w:rPr>
                            </w:pPr>
                            <w:r w:rsidRPr="00A8744D">
                              <w:rPr>
                                <w:sz w:val="22"/>
                              </w:rPr>
                              <w:t>If overseas, is there clear process outlining the relationship between the International Team and Faculty?</w:t>
                            </w:r>
                          </w:p>
                          <w:p w14:paraId="132A6B72" w14:textId="77777777" w:rsidR="00CB2078" w:rsidRPr="00A8744D" w:rsidRDefault="00CB2078" w:rsidP="000A5D3F">
                            <w:pPr>
                              <w:numPr>
                                <w:ilvl w:val="0"/>
                                <w:numId w:val="9"/>
                              </w:numPr>
                              <w:contextualSpacing/>
                              <w:jc w:val="both"/>
                              <w:rPr>
                                <w:sz w:val="22"/>
                              </w:rPr>
                            </w:pPr>
                            <w:r w:rsidRPr="00A8744D">
                              <w:rPr>
                                <w:sz w:val="22"/>
                              </w:rPr>
                              <w:t>How do different role holders liaise and share information?</w:t>
                            </w:r>
                          </w:p>
                          <w:p w14:paraId="5D68AEDB" w14:textId="77777777" w:rsidR="00CB2078" w:rsidRPr="00A8744D" w:rsidRDefault="00CB2078" w:rsidP="000A5D3F">
                            <w:pPr>
                              <w:numPr>
                                <w:ilvl w:val="0"/>
                                <w:numId w:val="9"/>
                              </w:numPr>
                              <w:contextualSpacing/>
                              <w:jc w:val="both"/>
                              <w:rPr>
                                <w:sz w:val="22"/>
                              </w:rPr>
                            </w:pPr>
                            <w:r w:rsidRPr="00A8744D">
                              <w:rPr>
                                <w:sz w:val="22"/>
                              </w:rPr>
                              <w:t>Are there clear definitions of who has responsibility for different parts of the process?</w:t>
                            </w:r>
                          </w:p>
                          <w:p w14:paraId="1408FB7A" w14:textId="77777777" w:rsidR="00CB2078" w:rsidRPr="00A8744D" w:rsidRDefault="00CB2078" w:rsidP="000A5D3F">
                            <w:pPr>
                              <w:numPr>
                                <w:ilvl w:val="0"/>
                                <w:numId w:val="9"/>
                              </w:numPr>
                              <w:contextualSpacing/>
                              <w:jc w:val="both"/>
                              <w:rPr>
                                <w:sz w:val="22"/>
                              </w:rPr>
                            </w:pPr>
                            <w:r w:rsidRPr="00A8744D">
                              <w:rPr>
                                <w:sz w:val="22"/>
                              </w:rPr>
                              <w:t>Is a risk assessment necessary? By whom is it conducted?</w:t>
                            </w:r>
                          </w:p>
                          <w:p w14:paraId="2AC632E1" w14:textId="799A5803" w:rsidR="00CB2078" w:rsidRDefault="00CB2078"/>
                        </w:txbxContent>
                      </wps:txbx>
                      <wps:bodyPr rot="0" vert="horz" wrap="square" lIns="91440" tIns="45720" rIns="91440" bIns="45720" anchor="t" anchorCtr="0">
                        <a:noAutofit/>
                      </wps:bodyPr>
                    </wps:wsp>
                  </a:graphicData>
                </a:graphic>
              </wp:inline>
            </w:drawing>
          </mc:Choice>
          <mc:Fallback>
            <w:pict>
              <v:shape w14:anchorId="08E0936D" id="_x0000_s1031" type="#_x0000_t202" style="width:449.5pt;height:1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KNFgIAACcEAAAOAAAAZHJzL2Uyb0RvYy54bWysU81u2zAMvg/YOwi6L3ayOEmNOEWXLsOA&#10;7gdo9wCyLMfCZFGTlNjZ05eS3TTrtsswHQRSpD6SH8n1dd8qchTWSdAFnU5SSoTmUEm9L+i3h92b&#10;F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">
                <v:textbox>
                  <w:txbxContent>
                    <w:p w14:paraId="1C55C7B0" w14:textId="312F6FF0" w:rsidR="00CB2078" w:rsidRPr="00A8744D" w:rsidRDefault="00CB2078" w:rsidP="000A5D3F">
                      <w:pPr>
                        <w:contextualSpacing/>
                        <w:jc w:val="both"/>
                        <w:rPr>
                          <w:i/>
                          <w:sz w:val="22"/>
                        </w:rPr>
                      </w:pPr>
                      <w:r w:rsidRPr="00A8744D">
                        <w:rPr>
                          <w:i/>
                          <w:sz w:val="22"/>
                        </w:rPr>
                        <w:t>Possible questions:</w:t>
                      </w:r>
                    </w:p>
                    <w:p w14:paraId="21DA6B74" w14:textId="77777777" w:rsidR="00CB2078" w:rsidRPr="00A8744D" w:rsidRDefault="00CB2078" w:rsidP="000A5D3F">
                      <w:pPr>
                        <w:numPr>
                          <w:ilvl w:val="0"/>
                          <w:numId w:val="9"/>
                        </w:numPr>
                        <w:contextualSpacing/>
                        <w:jc w:val="both"/>
                        <w:rPr>
                          <w:sz w:val="22"/>
                        </w:rPr>
                      </w:pPr>
                      <w:r w:rsidRPr="00A8744D">
                        <w:rPr>
                          <w:sz w:val="22"/>
                        </w:rPr>
                        <w:t>Who has responsibility for identifying and organising placement opportunity?</w:t>
                      </w:r>
                    </w:p>
                    <w:p w14:paraId="535903AD" w14:textId="77777777" w:rsidR="00CB2078" w:rsidRPr="00A8744D" w:rsidRDefault="00CB2078" w:rsidP="000A5D3F">
                      <w:pPr>
                        <w:numPr>
                          <w:ilvl w:val="0"/>
                          <w:numId w:val="9"/>
                        </w:numPr>
                        <w:contextualSpacing/>
                        <w:jc w:val="both"/>
                        <w:rPr>
                          <w:sz w:val="22"/>
                        </w:rPr>
                      </w:pPr>
                      <w:r w:rsidRPr="00A8744D">
                        <w:rPr>
                          <w:sz w:val="22"/>
                        </w:rPr>
                        <w:t>Who approves this?</w:t>
                      </w:r>
                    </w:p>
                    <w:p w14:paraId="18EEE914" w14:textId="77777777" w:rsidR="00CB2078" w:rsidRPr="00A8744D" w:rsidRDefault="00CB2078" w:rsidP="000A5D3F">
                      <w:pPr>
                        <w:numPr>
                          <w:ilvl w:val="0"/>
                          <w:numId w:val="9"/>
                        </w:numPr>
                        <w:contextualSpacing/>
                        <w:jc w:val="both"/>
                        <w:rPr>
                          <w:sz w:val="22"/>
                        </w:rPr>
                      </w:pPr>
                      <w:r w:rsidRPr="00A8744D">
                        <w:rPr>
                          <w:sz w:val="22"/>
                        </w:rPr>
                        <w:t>Who monitors and evaluates the placement?</w:t>
                      </w:r>
                    </w:p>
                    <w:p w14:paraId="207066F4" w14:textId="77777777" w:rsidR="00CB2078" w:rsidRPr="00A8744D" w:rsidRDefault="00CB2078" w:rsidP="000A5D3F">
                      <w:pPr>
                        <w:numPr>
                          <w:ilvl w:val="0"/>
                          <w:numId w:val="9"/>
                        </w:numPr>
                        <w:contextualSpacing/>
                        <w:jc w:val="both"/>
                        <w:rPr>
                          <w:sz w:val="22"/>
                        </w:rPr>
                      </w:pPr>
                      <w:r w:rsidRPr="00A8744D">
                        <w:rPr>
                          <w:sz w:val="22"/>
                        </w:rPr>
                        <w:t>If overseas, is there clear process outlining the relationship between the International Team and Faculty?</w:t>
                      </w:r>
                    </w:p>
                    <w:p w14:paraId="132A6B72" w14:textId="77777777" w:rsidR="00CB2078" w:rsidRPr="00A8744D" w:rsidRDefault="00CB2078" w:rsidP="000A5D3F">
                      <w:pPr>
                        <w:numPr>
                          <w:ilvl w:val="0"/>
                          <w:numId w:val="9"/>
                        </w:numPr>
                        <w:contextualSpacing/>
                        <w:jc w:val="both"/>
                        <w:rPr>
                          <w:sz w:val="22"/>
                        </w:rPr>
                      </w:pPr>
                      <w:r w:rsidRPr="00A8744D">
                        <w:rPr>
                          <w:sz w:val="22"/>
                        </w:rPr>
                        <w:t>How do different role holders liaise and share information?</w:t>
                      </w:r>
                    </w:p>
                    <w:p w14:paraId="5D68AEDB" w14:textId="77777777" w:rsidR="00CB2078" w:rsidRPr="00A8744D" w:rsidRDefault="00CB2078" w:rsidP="000A5D3F">
                      <w:pPr>
                        <w:numPr>
                          <w:ilvl w:val="0"/>
                          <w:numId w:val="9"/>
                        </w:numPr>
                        <w:contextualSpacing/>
                        <w:jc w:val="both"/>
                        <w:rPr>
                          <w:sz w:val="22"/>
                        </w:rPr>
                      </w:pPr>
                      <w:r w:rsidRPr="00A8744D">
                        <w:rPr>
                          <w:sz w:val="22"/>
                        </w:rPr>
                        <w:t>Are there clear definitions of who has responsibility for different parts of the process?</w:t>
                      </w:r>
                    </w:p>
                    <w:p w14:paraId="1408FB7A" w14:textId="77777777" w:rsidR="00CB2078" w:rsidRPr="00A8744D" w:rsidRDefault="00CB2078" w:rsidP="000A5D3F">
                      <w:pPr>
                        <w:numPr>
                          <w:ilvl w:val="0"/>
                          <w:numId w:val="9"/>
                        </w:numPr>
                        <w:contextualSpacing/>
                        <w:jc w:val="both"/>
                        <w:rPr>
                          <w:sz w:val="22"/>
                        </w:rPr>
                      </w:pPr>
                      <w:r w:rsidRPr="00A8744D">
                        <w:rPr>
                          <w:sz w:val="22"/>
                        </w:rPr>
                        <w:t>Is a risk assessment necessary? By whom is it conducted?</w:t>
                      </w:r>
                    </w:p>
                    <w:p w14:paraId="2AC632E1" w14:textId="799A5803" w:rsidR="00CB2078" w:rsidRDefault="00CB2078"/>
                  </w:txbxContent>
                </v:textbox>
                <w10:anchorlock/>
              </v:shape>
            </w:pict>
          </mc:Fallback>
        </mc:AlternateContent>
      </w:r>
    </w:p>
    <w:p w14:paraId="2E1A7A77" w14:textId="77777777" w:rsidR="00C41C7C" w:rsidRDefault="00C41C7C" w:rsidP="00C41C7C">
      <w:pPr>
        <w:pStyle w:val="ListParagraph"/>
      </w:pPr>
    </w:p>
    <w:p w14:paraId="5D309B2C" w14:textId="77777777" w:rsidR="00C41C7C" w:rsidRDefault="00C41C7C" w:rsidP="00C41C7C">
      <w:pPr>
        <w:pStyle w:val="ListParagraph"/>
      </w:pPr>
    </w:p>
    <w:p w14:paraId="4F7A912E" w14:textId="6712AE0F" w:rsidR="007F317A" w:rsidRPr="00B75A89" w:rsidRDefault="007F317A" w:rsidP="000A5D3F">
      <w:pPr>
        <w:pStyle w:val="ListParagraph"/>
        <w:numPr>
          <w:ilvl w:val="0"/>
          <w:numId w:val="26"/>
        </w:numPr>
        <w:spacing w:after="0"/>
        <w:jc w:val="both"/>
      </w:pPr>
      <w:r w:rsidRPr="00B75A89">
        <w:lastRenderedPageBreak/>
        <w:t>Quality assurance and risk assessment of placement settings and formal agreements with placement providers.</w:t>
      </w:r>
    </w:p>
    <w:p w14:paraId="06C00E0F" w14:textId="41938957" w:rsidR="00C41C7C" w:rsidRDefault="000A5D3F" w:rsidP="00C41C7C">
      <w:pPr>
        <w:spacing w:after="0"/>
        <w:ind w:left="720"/>
      </w:pPr>
      <w:r>
        <w:rPr>
          <w:noProof/>
        </w:rPr>
        <mc:AlternateContent>
          <mc:Choice Requires="wps">
            <w:drawing>
              <wp:inline distT="0" distB="0" distL="0" distR="0" wp14:anchorId="7F55AA63" wp14:editId="5744F657">
                <wp:extent cx="5708650" cy="850900"/>
                <wp:effectExtent l="0" t="0" r="25400"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50900"/>
                        </a:xfrm>
                        <a:prstGeom prst="rect">
                          <a:avLst/>
                        </a:prstGeom>
                        <a:solidFill>
                          <a:srgbClr val="FFFFFF"/>
                        </a:solidFill>
                        <a:ln w="9525">
                          <a:solidFill>
                            <a:srgbClr val="000000"/>
                          </a:solidFill>
                          <a:miter lim="800000"/>
                          <a:headEnd/>
                          <a:tailEnd/>
                        </a:ln>
                      </wps:spPr>
                      <wps:txbx>
                        <w:txbxContent>
                          <w:p w14:paraId="553B61B9" w14:textId="71203745" w:rsidR="00CB2078" w:rsidRPr="00A8744D" w:rsidRDefault="00CB2078" w:rsidP="000A5D3F">
                            <w:pPr>
                              <w:spacing w:after="0"/>
                              <w:rPr>
                                <w:i/>
                                <w:sz w:val="22"/>
                              </w:rPr>
                            </w:pPr>
                            <w:r w:rsidRPr="00A8744D">
                              <w:rPr>
                                <w:i/>
                                <w:sz w:val="22"/>
                              </w:rPr>
                              <w:t>Possible questions:</w:t>
                            </w:r>
                          </w:p>
                          <w:p w14:paraId="6220E194" w14:textId="77777777" w:rsidR="00CB2078" w:rsidRPr="00A8744D" w:rsidRDefault="00CB2078" w:rsidP="000A5D3F">
                            <w:pPr>
                              <w:numPr>
                                <w:ilvl w:val="0"/>
                                <w:numId w:val="10"/>
                              </w:numPr>
                              <w:spacing w:after="0"/>
                              <w:rPr>
                                <w:sz w:val="22"/>
                              </w:rPr>
                            </w:pPr>
                            <w:r w:rsidRPr="00A8744D">
                              <w:rPr>
                                <w:sz w:val="22"/>
                              </w:rPr>
                              <w:t>How are students prepared in advance of the placement commencing?</w:t>
                            </w:r>
                          </w:p>
                          <w:p w14:paraId="227ACFC5" w14:textId="77777777" w:rsidR="00CB2078" w:rsidRPr="00A8744D" w:rsidRDefault="00CB2078" w:rsidP="000A5D3F">
                            <w:pPr>
                              <w:numPr>
                                <w:ilvl w:val="0"/>
                                <w:numId w:val="10"/>
                              </w:numPr>
                              <w:spacing w:after="0"/>
                              <w:rPr>
                                <w:sz w:val="22"/>
                              </w:rPr>
                            </w:pPr>
                            <w:r w:rsidRPr="00A8744D">
                              <w:rPr>
                                <w:sz w:val="22"/>
                              </w:rPr>
                              <w:t>What support is available to students during the placement, both from EHU and placement provider?</w:t>
                            </w:r>
                          </w:p>
                          <w:p w14:paraId="3DFB5F70" w14:textId="25D4D5F1" w:rsidR="00CB2078" w:rsidRDefault="00CB2078"/>
                        </w:txbxContent>
                      </wps:txbx>
                      <wps:bodyPr rot="0" vert="horz" wrap="square" lIns="91440" tIns="45720" rIns="91440" bIns="45720" anchor="t" anchorCtr="0">
                        <a:noAutofit/>
                      </wps:bodyPr>
                    </wps:wsp>
                  </a:graphicData>
                </a:graphic>
              </wp:inline>
            </w:drawing>
          </mc:Choice>
          <mc:Fallback>
            <w:pict>
              <v:shape w14:anchorId="7F55AA63" id="_x0000_s1032" type="#_x0000_t202" style="width:44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v3EwIAACYEAAAOAAAAZHJzL2Uyb0RvYy54bWysU81u2zAMvg/YOwi6L3aCpG2MOEWXLsOA&#10;7gfo9gCyLMfCZFGjlNjZ04+S0zTotsswHQRSpD6SH8nV7dAZdlDoNdiSTyc5Z8pKqLXdlfzb1+2b&#10;G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">
                <v:textbox>
                  <w:txbxContent>
                    <w:p w14:paraId="553B61B9" w14:textId="71203745" w:rsidR="00CB2078" w:rsidRPr="00A8744D" w:rsidRDefault="00CB2078" w:rsidP="000A5D3F">
                      <w:pPr>
                        <w:spacing w:after="0"/>
                        <w:rPr>
                          <w:i/>
                          <w:sz w:val="22"/>
                        </w:rPr>
                      </w:pPr>
                      <w:r w:rsidRPr="00A8744D">
                        <w:rPr>
                          <w:i/>
                          <w:sz w:val="22"/>
                        </w:rPr>
                        <w:t>Possible questions:</w:t>
                      </w:r>
                    </w:p>
                    <w:p w14:paraId="6220E194" w14:textId="77777777" w:rsidR="00CB2078" w:rsidRPr="00A8744D" w:rsidRDefault="00CB2078" w:rsidP="000A5D3F">
                      <w:pPr>
                        <w:numPr>
                          <w:ilvl w:val="0"/>
                          <w:numId w:val="10"/>
                        </w:numPr>
                        <w:spacing w:after="0"/>
                        <w:rPr>
                          <w:sz w:val="22"/>
                        </w:rPr>
                      </w:pPr>
                      <w:r w:rsidRPr="00A8744D">
                        <w:rPr>
                          <w:sz w:val="22"/>
                        </w:rPr>
                        <w:t>How are students prepared in advance of the placement commencing?</w:t>
                      </w:r>
                    </w:p>
                    <w:p w14:paraId="227ACFC5" w14:textId="77777777" w:rsidR="00CB2078" w:rsidRPr="00A8744D" w:rsidRDefault="00CB2078" w:rsidP="000A5D3F">
                      <w:pPr>
                        <w:numPr>
                          <w:ilvl w:val="0"/>
                          <w:numId w:val="10"/>
                        </w:numPr>
                        <w:spacing w:after="0"/>
                        <w:rPr>
                          <w:sz w:val="22"/>
                        </w:rPr>
                      </w:pPr>
                      <w:r w:rsidRPr="00A8744D">
                        <w:rPr>
                          <w:sz w:val="22"/>
                        </w:rPr>
                        <w:t>What support is available to students during the placement, both from EHU and placement provider?</w:t>
                      </w:r>
                    </w:p>
                    <w:p w14:paraId="3DFB5F70" w14:textId="25D4D5F1" w:rsidR="00CB2078" w:rsidRDefault="00CB2078"/>
                  </w:txbxContent>
                </v:textbox>
                <w10:anchorlock/>
              </v:shape>
            </w:pict>
          </mc:Fallback>
        </mc:AlternateContent>
      </w:r>
    </w:p>
    <w:p w14:paraId="75883256" w14:textId="1C47266F" w:rsidR="007F317A" w:rsidRDefault="007F317A" w:rsidP="00C41C7C">
      <w:pPr>
        <w:pStyle w:val="ListParagraph"/>
        <w:numPr>
          <w:ilvl w:val="0"/>
          <w:numId w:val="26"/>
        </w:numPr>
        <w:spacing w:after="0"/>
      </w:pPr>
      <w:r w:rsidRPr="00B75A89">
        <w:t>Preparation and support for students before, during and after their placements.</w:t>
      </w:r>
    </w:p>
    <w:p w14:paraId="61B48EFB" w14:textId="77777777" w:rsidR="007F317A" w:rsidRPr="00B75A89" w:rsidRDefault="007F317A" w:rsidP="000A5D3F">
      <w:pPr>
        <w:numPr>
          <w:ilvl w:val="0"/>
          <w:numId w:val="26"/>
        </w:numPr>
        <w:spacing w:after="0"/>
        <w:ind w:left="714" w:hanging="357"/>
        <w:contextualSpacing/>
        <w:jc w:val="both"/>
      </w:pPr>
      <w:r w:rsidRPr="00B75A89">
        <w:t>Assessment and evaluation of placements.</w:t>
      </w:r>
    </w:p>
    <w:p w14:paraId="66DE0B72" w14:textId="77777777" w:rsidR="007F317A" w:rsidRPr="00B75A89" w:rsidRDefault="007F317A" w:rsidP="000A5D3F">
      <w:pPr>
        <w:numPr>
          <w:ilvl w:val="0"/>
          <w:numId w:val="26"/>
        </w:numPr>
        <w:spacing w:after="0"/>
        <w:ind w:left="714" w:hanging="357"/>
        <w:contextualSpacing/>
        <w:jc w:val="both"/>
      </w:pPr>
      <w:r w:rsidRPr="00B75A89">
        <w:t>Recruitment, development and support of employer-mentors including their preparation for assessment (where this applies).</w:t>
      </w:r>
    </w:p>
    <w:p w14:paraId="6F6A1391" w14:textId="77777777" w:rsidR="007F317A" w:rsidRPr="00B75A89" w:rsidRDefault="007F317A" w:rsidP="000A5D3F">
      <w:pPr>
        <w:numPr>
          <w:ilvl w:val="0"/>
          <w:numId w:val="26"/>
        </w:numPr>
        <w:spacing w:after="0"/>
        <w:ind w:left="714" w:hanging="357"/>
        <w:contextualSpacing/>
        <w:jc w:val="both"/>
      </w:pPr>
      <w:r w:rsidRPr="00B75A89">
        <w:t>Arrangements for managing incomplete or unsatisfactory placement experiences</w:t>
      </w:r>
      <w:r w:rsidRPr="00B75A89">
        <w:rPr>
          <w:vertAlign w:val="superscript"/>
        </w:rPr>
        <w:footnoteReference w:id="21"/>
      </w:r>
      <w:r w:rsidRPr="00B75A89">
        <w:t>.</w:t>
      </w:r>
    </w:p>
    <w:p w14:paraId="63C10820" w14:textId="77777777" w:rsidR="00C41C7C" w:rsidRDefault="000A5D3F" w:rsidP="00C41C7C">
      <w:pPr>
        <w:spacing w:after="0"/>
        <w:ind w:left="714"/>
        <w:contextualSpacing/>
        <w:jc w:val="both"/>
      </w:pPr>
      <w:r>
        <w:rPr>
          <w:noProof/>
        </w:rPr>
        <mc:AlternateContent>
          <mc:Choice Requires="wps">
            <w:drawing>
              <wp:inline distT="0" distB="0" distL="0" distR="0" wp14:anchorId="4A0C45F5" wp14:editId="45FA2D11">
                <wp:extent cx="5715000" cy="1693545"/>
                <wp:effectExtent l="0" t="0" r="19050" b="209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93628"/>
                        </a:xfrm>
                        <a:prstGeom prst="rect">
                          <a:avLst/>
                        </a:prstGeom>
                        <a:solidFill>
                          <a:srgbClr val="FFFFFF"/>
                        </a:solidFill>
                        <a:ln w="9525">
                          <a:solidFill>
                            <a:srgbClr val="000000"/>
                          </a:solidFill>
                          <a:miter lim="800000"/>
                          <a:headEnd/>
                          <a:tailEnd/>
                        </a:ln>
                      </wps:spPr>
                      <wps:txbx>
                        <w:txbxContent>
                          <w:p w14:paraId="709753C9" w14:textId="6D394F7B" w:rsidR="00CB2078" w:rsidRPr="00A8744D" w:rsidRDefault="00CB2078" w:rsidP="000A5D3F">
                            <w:pPr>
                              <w:spacing w:after="0"/>
                              <w:rPr>
                                <w:i/>
                                <w:sz w:val="22"/>
                              </w:rPr>
                            </w:pPr>
                            <w:r w:rsidRPr="00A8744D">
                              <w:rPr>
                                <w:i/>
                                <w:sz w:val="22"/>
                              </w:rPr>
                              <w:t>Possible questions</w:t>
                            </w:r>
                          </w:p>
                          <w:p w14:paraId="78764804" w14:textId="77777777" w:rsidR="00CB2078" w:rsidRPr="00A8744D" w:rsidRDefault="00CB2078" w:rsidP="000A5D3F">
                            <w:pPr>
                              <w:numPr>
                                <w:ilvl w:val="0"/>
                                <w:numId w:val="11"/>
                              </w:numPr>
                              <w:spacing w:after="0"/>
                              <w:rPr>
                                <w:sz w:val="22"/>
                              </w:rPr>
                            </w:pPr>
                            <w:r w:rsidRPr="00A8744D">
                              <w:rPr>
                                <w:sz w:val="22"/>
                              </w:rPr>
                              <w:t>How is assessment carried out? Who is responsible for this?</w:t>
                            </w:r>
                          </w:p>
                          <w:p w14:paraId="6CB5C759" w14:textId="77777777" w:rsidR="00CB2078" w:rsidRPr="00A8744D" w:rsidRDefault="00CB2078" w:rsidP="000A5D3F">
                            <w:pPr>
                              <w:numPr>
                                <w:ilvl w:val="0"/>
                                <w:numId w:val="11"/>
                              </w:numPr>
                              <w:spacing w:after="0"/>
                              <w:rPr>
                                <w:sz w:val="22"/>
                              </w:rPr>
                            </w:pPr>
                            <w:r w:rsidRPr="00A8744D">
                              <w:rPr>
                                <w:sz w:val="22"/>
                              </w:rPr>
                              <w:t>How do the students evaluate their experience and articulate skills acquired?</w:t>
                            </w:r>
                          </w:p>
                          <w:p w14:paraId="14AD91F4" w14:textId="77777777" w:rsidR="00CB2078" w:rsidRPr="00A8744D" w:rsidRDefault="00CB2078" w:rsidP="000A5D3F">
                            <w:pPr>
                              <w:numPr>
                                <w:ilvl w:val="0"/>
                                <w:numId w:val="11"/>
                              </w:numPr>
                              <w:spacing w:after="0"/>
                              <w:rPr>
                                <w:sz w:val="22"/>
                              </w:rPr>
                            </w:pPr>
                            <w:r w:rsidRPr="00A8744D">
                              <w:rPr>
                                <w:sz w:val="22"/>
                              </w:rPr>
                              <w:t>How is feedback gathered from the placement provider on the student?</w:t>
                            </w:r>
                          </w:p>
                          <w:p w14:paraId="61C4F16A" w14:textId="77777777" w:rsidR="00CB2078" w:rsidRPr="00A8744D" w:rsidRDefault="00CB2078" w:rsidP="000A5D3F">
                            <w:pPr>
                              <w:numPr>
                                <w:ilvl w:val="0"/>
                                <w:numId w:val="11"/>
                              </w:numPr>
                              <w:spacing w:after="0"/>
                              <w:rPr>
                                <w:sz w:val="22"/>
                              </w:rPr>
                            </w:pPr>
                            <w:r w:rsidRPr="00A8744D">
                              <w:rPr>
                                <w:sz w:val="22"/>
                              </w:rPr>
                              <w:t>How is feedback gathered from the placement provider on Edge Hill’s placement management?</w:t>
                            </w:r>
                          </w:p>
                          <w:p w14:paraId="5B6E5D0D" w14:textId="77777777" w:rsidR="00CB2078" w:rsidRPr="00A8744D" w:rsidRDefault="00CB2078" w:rsidP="000A5D3F">
                            <w:pPr>
                              <w:numPr>
                                <w:ilvl w:val="0"/>
                                <w:numId w:val="11"/>
                              </w:numPr>
                              <w:spacing w:after="0"/>
                              <w:rPr>
                                <w:sz w:val="22"/>
                              </w:rPr>
                            </w:pPr>
                            <w:r w:rsidRPr="00A8744D">
                              <w:rPr>
                                <w:sz w:val="22"/>
                              </w:rPr>
                              <w:t>Does feedback go to a committee or panel?</w:t>
                            </w:r>
                          </w:p>
                          <w:p w14:paraId="33F4AAFE" w14:textId="77777777" w:rsidR="00CB2078" w:rsidRPr="00A8744D" w:rsidRDefault="00CB2078" w:rsidP="000A5D3F">
                            <w:pPr>
                              <w:numPr>
                                <w:ilvl w:val="0"/>
                                <w:numId w:val="11"/>
                              </w:numPr>
                              <w:spacing w:after="0"/>
                              <w:rPr>
                                <w:sz w:val="22"/>
                              </w:rPr>
                            </w:pPr>
                            <w:r w:rsidRPr="00A8744D">
                              <w:rPr>
                                <w:sz w:val="22"/>
                              </w:rPr>
                              <w:t>How is the feedback loop closed?</w:t>
                            </w:r>
                          </w:p>
                          <w:p w14:paraId="4C50A1FF" w14:textId="77777777" w:rsidR="00CB2078" w:rsidRPr="00A8744D" w:rsidRDefault="00CB2078" w:rsidP="000A5D3F">
                            <w:pPr>
                              <w:numPr>
                                <w:ilvl w:val="0"/>
                                <w:numId w:val="11"/>
                              </w:numPr>
                              <w:spacing w:after="0"/>
                              <w:rPr>
                                <w:sz w:val="22"/>
                              </w:rPr>
                            </w:pPr>
                            <w:r w:rsidRPr="00A8744D">
                              <w:rPr>
                                <w:sz w:val="22"/>
                              </w:rPr>
                              <w:t>How does this evaluation feed into planning for next year?</w:t>
                            </w:r>
                          </w:p>
                          <w:p w14:paraId="4A3B32C1" w14:textId="2EBEEA90" w:rsidR="00CB2078" w:rsidRDefault="00CB2078"/>
                        </w:txbxContent>
                      </wps:txbx>
                      <wps:bodyPr rot="0" vert="horz" wrap="square" lIns="91440" tIns="45720" rIns="91440" bIns="45720" anchor="t" anchorCtr="0">
                        <a:noAutofit/>
                      </wps:bodyPr>
                    </wps:wsp>
                  </a:graphicData>
                </a:graphic>
              </wp:inline>
            </w:drawing>
          </mc:Choice>
          <mc:Fallback>
            <w:pict>
              <v:shape w14:anchorId="4A0C45F5" id="_x0000_s1033" type="#_x0000_t202" style="width:450pt;height:1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">
                <v:textbox>
                  <w:txbxContent>
                    <w:p w14:paraId="709753C9" w14:textId="6D394F7B" w:rsidR="00CB2078" w:rsidRPr="00A8744D" w:rsidRDefault="00CB2078" w:rsidP="000A5D3F">
                      <w:pPr>
                        <w:spacing w:after="0"/>
                        <w:rPr>
                          <w:i/>
                          <w:sz w:val="22"/>
                        </w:rPr>
                      </w:pPr>
                      <w:r w:rsidRPr="00A8744D">
                        <w:rPr>
                          <w:i/>
                          <w:sz w:val="22"/>
                        </w:rPr>
                        <w:t>Possible questions</w:t>
                      </w:r>
                    </w:p>
                    <w:p w14:paraId="78764804" w14:textId="77777777" w:rsidR="00CB2078" w:rsidRPr="00A8744D" w:rsidRDefault="00CB2078" w:rsidP="000A5D3F">
                      <w:pPr>
                        <w:numPr>
                          <w:ilvl w:val="0"/>
                          <w:numId w:val="11"/>
                        </w:numPr>
                        <w:spacing w:after="0"/>
                        <w:rPr>
                          <w:sz w:val="22"/>
                        </w:rPr>
                      </w:pPr>
                      <w:r w:rsidRPr="00A8744D">
                        <w:rPr>
                          <w:sz w:val="22"/>
                        </w:rPr>
                        <w:t>How is assessment carried out? Who is responsible for this?</w:t>
                      </w:r>
                    </w:p>
                    <w:p w14:paraId="6CB5C759" w14:textId="77777777" w:rsidR="00CB2078" w:rsidRPr="00A8744D" w:rsidRDefault="00CB2078" w:rsidP="000A5D3F">
                      <w:pPr>
                        <w:numPr>
                          <w:ilvl w:val="0"/>
                          <w:numId w:val="11"/>
                        </w:numPr>
                        <w:spacing w:after="0"/>
                        <w:rPr>
                          <w:sz w:val="22"/>
                        </w:rPr>
                      </w:pPr>
                      <w:r w:rsidRPr="00A8744D">
                        <w:rPr>
                          <w:sz w:val="22"/>
                        </w:rPr>
                        <w:t>How do the students evaluate their experience and articulate skills acquired?</w:t>
                      </w:r>
                    </w:p>
                    <w:p w14:paraId="14AD91F4" w14:textId="77777777" w:rsidR="00CB2078" w:rsidRPr="00A8744D" w:rsidRDefault="00CB2078" w:rsidP="000A5D3F">
                      <w:pPr>
                        <w:numPr>
                          <w:ilvl w:val="0"/>
                          <w:numId w:val="11"/>
                        </w:numPr>
                        <w:spacing w:after="0"/>
                        <w:rPr>
                          <w:sz w:val="22"/>
                        </w:rPr>
                      </w:pPr>
                      <w:r w:rsidRPr="00A8744D">
                        <w:rPr>
                          <w:sz w:val="22"/>
                        </w:rPr>
                        <w:t>How is feedback gathered from the placement provider on the student?</w:t>
                      </w:r>
                    </w:p>
                    <w:p w14:paraId="61C4F16A" w14:textId="77777777" w:rsidR="00CB2078" w:rsidRPr="00A8744D" w:rsidRDefault="00CB2078" w:rsidP="000A5D3F">
                      <w:pPr>
                        <w:numPr>
                          <w:ilvl w:val="0"/>
                          <w:numId w:val="11"/>
                        </w:numPr>
                        <w:spacing w:after="0"/>
                        <w:rPr>
                          <w:sz w:val="22"/>
                        </w:rPr>
                      </w:pPr>
                      <w:r w:rsidRPr="00A8744D">
                        <w:rPr>
                          <w:sz w:val="22"/>
                        </w:rPr>
                        <w:t>How is feedback gathered from the placement provider on Edge Hill’s placement management?</w:t>
                      </w:r>
                    </w:p>
                    <w:p w14:paraId="5B6E5D0D" w14:textId="77777777" w:rsidR="00CB2078" w:rsidRPr="00A8744D" w:rsidRDefault="00CB2078" w:rsidP="000A5D3F">
                      <w:pPr>
                        <w:numPr>
                          <w:ilvl w:val="0"/>
                          <w:numId w:val="11"/>
                        </w:numPr>
                        <w:spacing w:after="0"/>
                        <w:rPr>
                          <w:sz w:val="22"/>
                        </w:rPr>
                      </w:pPr>
                      <w:r w:rsidRPr="00A8744D">
                        <w:rPr>
                          <w:sz w:val="22"/>
                        </w:rPr>
                        <w:t>Does feedback go to a committee or panel?</w:t>
                      </w:r>
                    </w:p>
                    <w:p w14:paraId="33F4AAFE" w14:textId="77777777" w:rsidR="00CB2078" w:rsidRPr="00A8744D" w:rsidRDefault="00CB2078" w:rsidP="000A5D3F">
                      <w:pPr>
                        <w:numPr>
                          <w:ilvl w:val="0"/>
                          <w:numId w:val="11"/>
                        </w:numPr>
                        <w:spacing w:after="0"/>
                        <w:rPr>
                          <w:sz w:val="22"/>
                        </w:rPr>
                      </w:pPr>
                      <w:r w:rsidRPr="00A8744D">
                        <w:rPr>
                          <w:sz w:val="22"/>
                        </w:rPr>
                        <w:t>How is the feedback loop closed?</w:t>
                      </w:r>
                    </w:p>
                    <w:p w14:paraId="4C50A1FF" w14:textId="77777777" w:rsidR="00CB2078" w:rsidRPr="00A8744D" w:rsidRDefault="00CB2078" w:rsidP="000A5D3F">
                      <w:pPr>
                        <w:numPr>
                          <w:ilvl w:val="0"/>
                          <w:numId w:val="11"/>
                        </w:numPr>
                        <w:spacing w:after="0"/>
                        <w:rPr>
                          <w:sz w:val="22"/>
                        </w:rPr>
                      </w:pPr>
                      <w:r w:rsidRPr="00A8744D">
                        <w:rPr>
                          <w:sz w:val="22"/>
                        </w:rPr>
                        <w:t>How does this evaluation feed into planning for next year?</w:t>
                      </w:r>
                    </w:p>
                    <w:p w14:paraId="4A3B32C1" w14:textId="2EBEEA90" w:rsidR="00CB2078" w:rsidRDefault="00CB2078"/>
                  </w:txbxContent>
                </v:textbox>
                <w10:anchorlock/>
              </v:shape>
            </w:pict>
          </mc:Fallback>
        </mc:AlternateContent>
      </w:r>
    </w:p>
    <w:p w14:paraId="537D84E1" w14:textId="709A1FC0" w:rsidR="007F317A" w:rsidRDefault="007F317A" w:rsidP="000A5D3F">
      <w:pPr>
        <w:numPr>
          <w:ilvl w:val="0"/>
          <w:numId w:val="26"/>
        </w:numPr>
        <w:spacing w:after="0"/>
        <w:ind w:left="714" w:hanging="357"/>
        <w:contextualSpacing/>
        <w:jc w:val="both"/>
      </w:pPr>
      <w:r w:rsidRPr="00B75A89">
        <w:t>Managing student or employer complaints or disciplinary issues that arise whilst a student is on placement.</w:t>
      </w:r>
    </w:p>
    <w:p w14:paraId="4B635929" w14:textId="77777777" w:rsidR="002D14FE" w:rsidRPr="00D3044F" w:rsidRDefault="002D14FE" w:rsidP="002D14FE">
      <w:pPr>
        <w:spacing w:after="0"/>
      </w:pPr>
    </w:p>
    <w:p w14:paraId="3D6063FE" w14:textId="4ECABD20" w:rsidR="002D14FE" w:rsidRPr="00D3044F" w:rsidRDefault="002D14FE" w:rsidP="00513A63">
      <w:pPr>
        <w:pStyle w:val="Heading3"/>
      </w:pPr>
      <w:bookmarkStart w:id="29" w:name="_Toc183094949"/>
      <w:r w:rsidRPr="00D3044F">
        <w:t>Review</w:t>
      </w:r>
      <w:r>
        <w:t xml:space="preserve"> </w:t>
      </w:r>
      <w:r w:rsidR="00A8744D">
        <w:t>P</w:t>
      </w:r>
      <w:r>
        <w:t>rocesses</w:t>
      </w:r>
      <w:r w:rsidR="00513A63">
        <w:t xml:space="preserve"> for </w:t>
      </w:r>
      <w:bookmarkStart w:id="30" w:name="_Hlk86940259"/>
      <w:r w:rsidR="00A8744D">
        <w:t>C</w:t>
      </w:r>
      <w:r w:rsidR="00513A63">
        <w:t>ategory A1-4</w:t>
      </w:r>
      <w:r w:rsidR="00FE205B">
        <w:t xml:space="preserve"> and A6</w:t>
      </w:r>
      <w:r w:rsidR="00513A63">
        <w:t xml:space="preserve"> </w:t>
      </w:r>
      <w:r w:rsidR="00A8744D">
        <w:t>P</w:t>
      </w:r>
      <w:r w:rsidR="00513A63">
        <w:t>artnerships</w:t>
      </w:r>
      <w:bookmarkEnd w:id="30"/>
      <w:bookmarkEnd w:id="29"/>
    </w:p>
    <w:p w14:paraId="039755E5" w14:textId="56C3C515" w:rsidR="00513A63" w:rsidRPr="009D6590" w:rsidRDefault="00C457D6" w:rsidP="00DE2B6F">
      <w:pPr>
        <w:contextualSpacing/>
        <w:jc w:val="both"/>
        <w:rPr>
          <w:rStyle w:val="Hyperlink"/>
        </w:rPr>
      </w:pPr>
      <w:r w:rsidRPr="00D3044F">
        <w:t xml:space="preserve">Faculties </w:t>
      </w:r>
      <w:r>
        <w:t>are</w:t>
      </w:r>
      <w:r w:rsidRPr="00D3044F">
        <w:t xml:space="preserve"> responsible for maintaining a database of approved placement providers</w:t>
      </w:r>
      <w:r w:rsidR="00FE205B">
        <w:t xml:space="preserve"> and PGCE Lead Partners</w:t>
      </w:r>
      <w:r w:rsidRPr="00D3044F">
        <w:t>,</w:t>
      </w:r>
      <w:r>
        <w:t xml:space="preserve"> whilst the International Team is responsible for maintaining a register of study abroad respectively. These records </w:t>
      </w:r>
      <w:r w:rsidRPr="00D3044F">
        <w:t>include their period of approval</w:t>
      </w:r>
      <w:r>
        <w:t xml:space="preserve"> and </w:t>
      </w:r>
      <w:r w:rsidRPr="00D3044F">
        <w:t>expiry for review purposes.</w:t>
      </w:r>
      <w:r>
        <w:t xml:space="preserve"> </w:t>
      </w:r>
      <w:r w:rsidR="002D14FE" w:rsidRPr="00D3044F">
        <w:t xml:space="preserve">Faculties describe </w:t>
      </w:r>
      <w:r w:rsidR="00EE42A1">
        <w:t xml:space="preserve">their </w:t>
      </w:r>
      <w:r w:rsidR="002D14FE">
        <w:t xml:space="preserve">processes for the review </w:t>
      </w:r>
      <w:r w:rsidR="00EE42A1">
        <w:t xml:space="preserve">of </w:t>
      </w:r>
      <w:r w:rsidR="003B3B1B">
        <w:t xml:space="preserve">these </w:t>
      </w:r>
      <w:r w:rsidR="00EE42A1">
        <w:t>partnerships</w:t>
      </w:r>
      <w:r w:rsidR="00EE42A1" w:rsidRPr="00D3044F">
        <w:t xml:space="preserve"> </w:t>
      </w:r>
      <w:r w:rsidR="002D14FE" w:rsidRPr="00D3044F">
        <w:t xml:space="preserve">in their </w:t>
      </w:r>
      <w:r w:rsidR="009D6590">
        <w:fldChar w:fldCharType="begin"/>
      </w:r>
      <w:r w:rsidR="009D6590">
        <w:instrText>HYPERLINK "https://edgehill.sharepoint.com/sites/agqa/SitePages/Faculty-Quality-Processes-and-Responsibilities.aspx"</w:instrText>
      </w:r>
      <w:r w:rsidR="009D6590">
        <w:fldChar w:fldCharType="separate"/>
      </w:r>
      <w:r w:rsidR="00BE6DD8" w:rsidRPr="009D6590">
        <w:rPr>
          <w:rStyle w:val="Hyperlink"/>
        </w:rPr>
        <w:t>Faculty Academic Quality Statements</w:t>
      </w:r>
      <w:r w:rsidR="002D14FE" w:rsidRPr="009D6590">
        <w:rPr>
          <w:rStyle w:val="Hyperlink"/>
        </w:rPr>
        <w:t xml:space="preserve">. </w:t>
      </w:r>
    </w:p>
    <w:p w14:paraId="4C45325B" w14:textId="44D2383C" w:rsidR="00DE2B6F" w:rsidRDefault="009D6590" w:rsidP="00DE2B6F">
      <w:pPr>
        <w:contextualSpacing/>
        <w:jc w:val="both"/>
      </w:pPr>
      <w:r>
        <w:fldChar w:fldCharType="end"/>
      </w:r>
    </w:p>
    <w:p w14:paraId="35E8E8E8" w14:textId="207BE677" w:rsidR="002D14FE" w:rsidRDefault="00234F97" w:rsidP="00DE2B6F">
      <w:pPr>
        <w:contextualSpacing/>
        <w:jc w:val="both"/>
      </w:pPr>
      <w:r>
        <w:t xml:space="preserve">The </w:t>
      </w:r>
      <w:r w:rsidR="00DE2B6F">
        <w:t xml:space="preserve">outputs of the </w:t>
      </w:r>
      <w:r>
        <w:t>r</w:t>
      </w:r>
      <w:r w:rsidR="002D14FE">
        <w:t>eview activity</w:t>
      </w:r>
      <w:r>
        <w:t xml:space="preserve"> undertaken</w:t>
      </w:r>
      <w:r w:rsidR="002D14FE">
        <w:t xml:space="preserve"> is </w:t>
      </w:r>
      <w:r>
        <w:t>considered</w:t>
      </w:r>
      <w:r w:rsidR="002D14FE">
        <w:t xml:space="preserve"> </w:t>
      </w:r>
      <w:r>
        <w:t>by</w:t>
      </w:r>
      <w:r w:rsidR="002D14FE">
        <w:t xml:space="preserve"> the relevant </w:t>
      </w:r>
      <w:r>
        <w:t xml:space="preserve">Faculty </w:t>
      </w:r>
      <w:r w:rsidR="002D14FE">
        <w:t>committee, the purpose of which is to identify any risk for discussion, and to provide assurance of the ongoing quality of category A arrangements.</w:t>
      </w:r>
    </w:p>
    <w:p w14:paraId="433BD9C2" w14:textId="24F1D9F5" w:rsidR="002D14FE" w:rsidRPr="00D3044F" w:rsidRDefault="002D14FE" w:rsidP="00513A63">
      <w:pPr>
        <w:pStyle w:val="Heading3"/>
      </w:pPr>
      <w:bookmarkStart w:id="31" w:name="_Toc183094950"/>
      <w:r w:rsidRPr="00D3044F">
        <w:t>Closure</w:t>
      </w:r>
      <w:r>
        <w:t xml:space="preserve"> </w:t>
      </w:r>
      <w:r w:rsidR="00A8744D">
        <w:t>P</w:t>
      </w:r>
      <w:r>
        <w:t>rocesses</w:t>
      </w:r>
      <w:r w:rsidR="00513A63">
        <w:t xml:space="preserve"> for </w:t>
      </w:r>
      <w:r w:rsidR="00A8744D">
        <w:t>C</w:t>
      </w:r>
      <w:r w:rsidR="00513A63">
        <w:t xml:space="preserve">ategory A1-4 </w:t>
      </w:r>
      <w:r w:rsidR="00FE205B">
        <w:t xml:space="preserve">and A6 </w:t>
      </w:r>
      <w:r w:rsidR="00A8744D">
        <w:t>P</w:t>
      </w:r>
      <w:r w:rsidR="00513A63">
        <w:t>artnerships</w:t>
      </w:r>
      <w:bookmarkEnd w:id="31"/>
    </w:p>
    <w:p w14:paraId="14352CA0" w14:textId="321FCC85" w:rsidR="00A70F07" w:rsidRDefault="002D14FE" w:rsidP="005A6E3A">
      <w:pPr>
        <w:contextualSpacing/>
        <w:jc w:val="both"/>
      </w:pPr>
      <w:r w:rsidRPr="00D3044F">
        <w:t>Appropriate arrangements for the termination of placement arrangements</w:t>
      </w:r>
      <w:r w:rsidR="00FE205B">
        <w:t xml:space="preserve">, </w:t>
      </w:r>
      <w:r w:rsidRPr="00D3044F">
        <w:t xml:space="preserve">study abroad agreements </w:t>
      </w:r>
      <w:r w:rsidR="00FE205B">
        <w:t xml:space="preserve">and agreements with PGCE Lead Partners </w:t>
      </w:r>
      <w:r>
        <w:t xml:space="preserve">are </w:t>
      </w:r>
      <w:r w:rsidRPr="00D3044F">
        <w:t>determined by the Faculty</w:t>
      </w:r>
      <w:r>
        <w:t xml:space="preserve"> or </w:t>
      </w:r>
      <w:r w:rsidRPr="00D3044F">
        <w:t xml:space="preserve">International </w:t>
      </w:r>
      <w:r w:rsidR="63B0319C" w:rsidRPr="00D3044F">
        <w:t>Team</w:t>
      </w:r>
      <w:r>
        <w:t>, depending on who is responsible for the arrangement (see Table 2</w:t>
      </w:r>
      <w:r w:rsidR="009567AE">
        <w:t xml:space="preserve"> above</w:t>
      </w:r>
      <w:r>
        <w:t>)</w:t>
      </w:r>
      <w:r w:rsidRPr="00D3044F">
        <w:t xml:space="preserve">. These processes </w:t>
      </w:r>
      <w:r>
        <w:t>however must</w:t>
      </w:r>
      <w:r w:rsidRPr="00D3044F">
        <w:t xml:space="preserve"> include consideration of the University </w:t>
      </w:r>
      <w:hyperlink r:id="rId28" w:history="1">
        <w:r w:rsidRPr="00BE6DD8">
          <w:rPr>
            <w:rStyle w:val="Hyperlink"/>
          </w:rPr>
          <w:t xml:space="preserve">Student </w:t>
        </w:r>
        <w:r w:rsidRPr="00BE6DD8">
          <w:rPr>
            <w:rStyle w:val="Hyperlink"/>
          </w:rPr>
          <w:lastRenderedPageBreak/>
          <w:t>Protection Plan</w:t>
        </w:r>
      </w:hyperlink>
      <w:r w:rsidRPr="00D3044F">
        <w:t>, adherence to the Office fo</w:t>
      </w:r>
      <w:r w:rsidR="00CD6878">
        <w:t xml:space="preserve">r </w:t>
      </w:r>
      <w:r w:rsidR="00CD6878" w:rsidRPr="00D3044F">
        <w:t xml:space="preserve">Students’ </w:t>
      </w:r>
      <w:hyperlink r:id="rId29" w:history="1">
        <w:r w:rsidR="00CD6878" w:rsidRPr="00BE6DD8">
          <w:rPr>
            <w:rStyle w:val="Hyperlink"/>
          </w:rPr>
          <w:t>Conditions of Registration C1-3</w:t>
        </w:r>
      </w:hyperlink>
      <w:r w:rsidR="00CD6878" w:rsidRPr="00D3044F">
        <w:t xml:space="preserve"> related to student protection and any implications for the student experience during teach out</w:t>
      </w:r>
      <w:r w:rsidR="00CD6878" w:rsidRPr="00D3044F">
        <w:rPr>
          <w:rStyle w:val="FootnoteReference"/>
        </w:rPr>
        <w:footnoteReference w:id="22"/>
      </w:r>
      <w:r w:rsidR="00CD6878" w:rsidRPr="00D3044F">
        <w:t>.</w:t>
      </w:r>
    </w:p>
    <w:p w14:paraId="2EBEFEFC" w14:textId="133EDE33" w:rsidR="00A70F07" w:rsidRDefault="00A8744D" w:rsidP="00A70F07">
      <w:pPr>
        <w:pStyle w:val="Heading2"/>
      </w:pPr>
      <w:bookmarkStart w:id="32" w:name="_Toc183094951"/>
      <w:r>
        <w:t xml:space="preserve">Category </w:t>
      </w:r>
      <w:r w:rsidR="00A70F07" w:rsidRPr="00A8744D">
        <w:t xml:space="preserve">A5 </w:t>
      </w:r>
      <w:r w:rsidRPr="00A8744D">
        <w:t>P</w:t>
      </w:r>
      <w:r w:rsidR="00A70F07" w:rsidRPr="00A8744D">
        <w:t>rocesses</w:t>
      </w:r>
      <w:bookmarkEnd w:id="32"/>
      <w:r w:rsidRPr="00A8744D">
        <w:t xml:space="preserve"> </w:t>
      </w:r>
    </w:p>
    <w:p w14:paraId="6DDEF921" w14:textId="530C7D38" w:rsidR="00A8744D" w:rsidRPr="00A8744D" w:rsidRDefault="00A8744D" w:rsidP="00A8744D">
      <w:pPr>
        <w:pStyle w:val="Heading3"/>
      </w:pPr>
      <w:bookmarkStart w:id="33" w:name="_Toc183094952"/>
      <w:r w:rsidRPr="00A8744D">
        <w:t>Degree and Higher Apprenticeship</w:t>
      </w:r>
      <w:r w:rsidR="005A6E3A">
        <w:t>s</w:t>
      </w:r>
      <w:bookmarkEnd w:id="33"/>
    </w:p>
    <w:p w14:paraId="2C49C79F" w14:textId="48DA30B5" w:rsidR="00AC544F" w:rsidRDefault="00AC544F" w:rsidP="002445B6">
      <w:pPr>
        <w:jc w:val="both"/>
      </w:pPr>
      <w:r w:rsidRPr="00AC544F">
        <w:t xml:space="preserve">Apprenticeships integrate work and learning and </w:t>
      </w:r>
      <w:r w:rsidR="005A6E3A">
        <w:t xml:space="preserve">typically </w:t>
      </w:r>
      <w:r w:rsidRPr="00AC544F">
        <w:t xml:space="preserve">lead to a qualification; some </w:t>
      </w:r>
      <w:r w:rsidR="005A6E3A">
        <w:t>may</w:t>
      </w:r>
      <w:r w:rsidRPr="00AC544F">
        <w:t xml:space="preserve"> also lead to recognition by one or more professional bodies. Apprenticeships are a key vehicle by which the UK is seeking to ensure that public and private sector employers </w:t>
      </w:r>
      <w:r w:rsidR="005A6E3A" w:rsidRPr="00AC544F">
        <w:t>can</w:t>
      </w:r>
      <w:r w:rsidRPr="00AC544F">
        <w:t xml:space="preserve"> recruit and develop the workforce they need. </w:t>
      </w:r>
      <w:r>
        <w:t>Requirements and specifications for Apprenticeships are set out in Apprenticeship Standards</w:t>
      </w:r>
      <w:r w:rsidR="00CE7072" w:rsidRPr="00D3044F">
        <w:rPr>
          <w:rStyle w:val="FootnoteReference"/>
        </w:rPr>
        <w:footnoteReference w:id="23"/>
      </w:r>
      <w:r w:rsidR="005A6E3A">
        <w:t>,</w:t>
      </w:r>
      <w:r w:rsidRPr="00AC544F">
        <w:t xml:space="preserve"> </w:t>
      </w:r>
      <w:r>
        <w:t>developed by</w:t>
      </w:r>
      <w:r w:rsidRPr="00AC544F">
        <w:t xml:space="preserve"> the </w:t>
      </w:r>
      <w:hyperlink r:id="rId30" w:history="1">
        <w:r w:rsidRPr="00BE6DD8">
          <w:rPr>
            <w:rStyle w:val="Hyperlink"/>
          </w:rPr>
          <w:t>Institute for Apprenticeships and Technical Education</w:t>
        </w:r>
      </w:hyperlink>
      <w:r w:rsidRPr="00AC544F">
        <w:t xml:space="preserve"> (</w:t>
      </w:r>
      <w:proofErr w:type="spellStart"/>
      <w:r w:rsidRPr="00AC544F">
        <w:t>IfATE</w:t>
      </w:r>
      <w:proofErr w:type="spellEnd"/>
      <w:r w:rsidRPr="00AC544F">
        <w:t>)</w:t>
      </w:r>
      <w:r>
        <w:t>.</w:t>
      </w:r>
    </w:p>
    <w:p w14:paraId="074F0679" w14:textId="212CA9F5" w:rsidR="00E170DC" w:rsidRDefault="00274A33" w:rsidP="002445B6">
      <w:pPr>
        <w:jc w:val="both"/>
      </w:pPr>
      <w:r>
        <w:t xml:space="preserve">Programmes for delivery as </w:t>
      </w:r>
      <w:r w:rsidRPr="78182183">
        <w:rPr>
          <w:b/>
          <w:bCs/>
        </w:rPr>
        <w:t>Higher Apprenticeships</w:t>
      </w:r>
      <w:r>
        <w:t xml:space="preserve"> terminate in a FHEQ level 5 or 6 award, e.g.</w:t>
      </w:r>
      <w:r w:rsidR="005A6E3A">
        <w:t>,</w:t>
      </w:r>
      <w:r>
        <w:t xml:space="preserve"> Foundation Degree or Graduate Certificate, whilst </w:t>
      </w:r>
      <w:r w:rsidRPr="78182183">
        <w:rPr>
          <w:b/>
          <w:bCs/>
        </w:rPr>
        <w:t>Degree Apprenticeships</w:t>
      </w:r>
      <w:r>
        <w:t xml:space="preserve"> terminate at levels 6 &amp; 7, i.e.</w:t>
      </w:r>
      <w:r w:rsidR="005A6E3A">
        <w:t>,</w:t>
      </w:r>
      <w:r>
        <w:t xml:space="preserve"> Undergraduate and Masters Degrees. Under these arrangements, </w:t>
      </w:r>
      <w:r w:rsidR="007E623F">
        <w:t>Approved Apprenticeship Employer</w:t>
      </w:r>
      <w:r>
        <w:t xml:space="preserve">s work with </w:t>
      </w:r>
      <w:r w:rsidR="005A6E3A">
        <w:t>the</w:t>
      </w:r>
      <w:r>
        <w:t xml:space="preserve"> University to deliver an apprenticeship programme to their employees, who then become designated as apprentices. Delivery by the </w:t>
      </w:r>
      <w:r w:rsidR="007E623F">
        <w:t>Approved Apprenticeship Employer</w:t>
      </w:r>
      <w:r>
        <w:t xml:space="preserve"> is very limited to areas such as supervision within the workplace environment and limited involvement in some assessed elements</w:t>
      </w:r>
      <w:r w:rsidR="005A6E3A">
        <w:t>. The</w:t>
      </w:r>
      <w:r>
        <w:t xml:space="preserve"> University is responsible for all other aspects of the apprenticeship programme delivery.</w:t>
      </w:r>
      <w:r w:rsidR="00C5530F">
        <w:t xml:space="preserve"> </w:t>
      </w:r>
    </w:p>
    <w:p w14:paraId="3AC2C826" w14:textId="5410052E" w:rsidR="00B75A89" w:rsidRDefault="00C5530F" w:rsidP="002445B6">
      <w:pPr>
        <w:jc w:val="both"/>
      </w:pPr>
      <w:r>
        <w:t>The university utilises the QAA</w:t>
      </w:r>
      <w:r w:rsidR="00BE6DD8">
        <w:t>’s</w:t>
      </w:r>
      <w:r>
        <w:t xml:space="preserve"> </w:t>
      </w:r>
      <w:hyperlink r:id="rId31" w:history="1">
        <w:r w:rsidRPr="00BE6DD8">
          <w:rPr>
            <w:rStyle w:val="Hyperlink"/>
          </w:rPr>
          <w:t>Characteristics Statement for Higher Education in Apprenticeships</w:t>
        </w:r>
      </w:hyperlink>
      <w:r w:rsidR="005A6E3A">
        <w:t xml:space="preserve"> (J</w:t>
      </w:r>
      <w:r w:rsidR="00AD0DF9">
        <w:t>une 2022</w:t>
      </w:r>
      <w:r w:rsidR="005A6E3A">
        <w:t>)</w:t>
      </w:r>
      <w:r>
        <w:t xml:space="preserve"> as part of its </w:t>
      </w:r>
      <w:r w:rsidR="00F32B5D">
        <w:t xml:space="preserve">design of new apprenticeship programmes; for more </w:t>
      </w:r>
      <w:r w:rsidR="00CE7072">
        <w:t>information,</w:t>
      </w:r>
      <w:r w:rsidR="00F32B5D">
        <w:t xml:space="preserve"> please </w:t>
      </w:r>
      <w:r w:rsidR="00CE7072">
        <w:t>see</w:t>
      </w:r>
      <w:r w:rsidR="00F32B5D">
        <w:t xml:space="preserve"> Chapter 4 of this handbook.</w:t>
      </w:r>
    </w:p>
    <w:p w14:paraId="38C3CB2D" w14:textId="586DCF05" w:rsidR="00274A33" w:rsidRDefault="007F317A" w:rsidP="002445B6">
      <w:pPr>
        <w:pStyle w:val="Heading3"/>
        <w:jc w:val="both"/>
      </w:pPr>
      <w:bookmarkStart w:id="34" w:name="_Toc183094953"/>
      <w:r>
        <w:t>Approval of</w:t>
      </w:r>
      <w:r w:rsidR="00903AC4">
        <w:t xml:space="preserve"> </w:t>
      </w:r>
      <w:r w:rsidR="005A6E3A">
        <w:t>A</w:t>
      </w:r>
      <w:r w:rsidR="00903AC4">
        <w:t>pprenticeships</w:t>
      </w:r>
      <w:bookmarkEnd w:id="34"/>
    </w:p>
    <w:p w14:paraId="37B9CB2C" w14:textId="540235DD" w:rsidR="00274A33" w:rsidRPr="00D3044F" w:rsidRDefault="00274A33" w:rsidP="002445B6">
      <w:pPr>
        <w:jc w:val="both"/>
      </w:pPr>
      <w:r w:rsidRPr="00D3044F">
        <w:t xml:space="preserve">Programmes </w:t>
      </w:r>
      <w:r w:rsidR="00CE7072">
        <w:t xml:space="preserve">intended </w:t>
      </w:r>
      <w:r w:rsidRPr="00D3044F">
        <w:t xml:space="preserve">for delivery as </w:t>
      </w:r>
      <w:r w:rsidRPr="00D3044F">
        <w:rPr>
          <w:b/>
        </w:rPr>
        <w:t>Higher Apprenticeships</w:t>
      </w:r>
      <w:r w:rsidRPr="00D3044F">
        <w:t xml:space="preserve"> and </w:t>
      </w:r>
      <w:r w:rsidRPr="00D3044F">
        <w:rPr>
          <w:b/>
        </w:rPr>
        <w:t>Degree Apprenticeships</w:t>
      </w:r>
      <w:r w:rsidRPr="00D3044F">
        <w:t xml:space="preserve"> </w:t>
      </w:r>
      <w:r>
        <w:t xml:space="preserve">are validated </w:t>
      </w:r>
      <w:r w:rsidR="00CE7072">
        <w:t>using the approval</w:t>
      </w:r>
      <w:r>
        <w:t xml:space="preserve"> processes described in Chapter 4 of </w:t>
      </w:r>
      <w:r w:rsidR="005A6E3A">
        <w:t>this</w:t>
      </w:r>
      <w:r>
        <w:t xml:space="preserve"> Handbook. However, in addition to the standard validation questions, panels also consider whether there is</w:t>
      </w:r>
      <w:r w:rsidRPr="00D3044F">
        <w:t>:</w:t>
      </w:r>
    </w:p>
    <w:p w14:paraId="6DB418D8" w14:textId="5D18943F" w:rsidR="00274A33" w:rsidRPr="00D3044F" w:rsidRDefault="00274A33" w:rsidP="002445B6">
      <w:pPr>
        <w:pStyle w:val="ListParagraph"/>
        <w:numPr>
          <w:ilvl w:val="0"/>
          <w:numId w:val="22"/>
        </w:numPr>
        <w:spacing w:after="0"/>
        <w:jc w:val="both"/>
      </w:pPr>
      <w:r w:rsidRPr="00D3044F">
        <w:t>Demonstrable alignment with the relevant Apprenticeship Standards</w:t>
      </w:r>
      <w:r>
        <w:t xml:space="preserve"> through m</w:t>
      </w:r>
      <w:r w:rsidRPr="00D3044F">
        <w:t xml:space="preserve">apping of Programme Learning Outcomes and content (modules) to the Knowledge, Skills and Behaviours </w:t>
      </w:r>
      <w:r w:rsidR="00FE2116">
        <w:t xml:space="preserve">(KSBs) </w:t>
      </w:r>
      <w:r w:rsidRPr="00D3044F">
        <w:t>of the relevant Apprenticeship Standard.</w:t>
      </w:r>
    </w:p>
    <w:p w14:paraId="312A09B6" w14:textId="16C789A5" w:rsidR="00274A33" w:rsidRPr="00D3044F" w:rsidRDefault="00274A33" w:rsidP="002445B6">
      <w:pPr>
        <w:pStyle w:val="ListParagraph"/>
        <w:numPr>
          <w:ilvl w:val="0"/>
          <w:numId w:val="21"/>
        </w:numPr>
        <w:jc w:val="both"/>
      </w:pPr>
      <w:r w:rsidRPr="00D3044F">
        <w:t>A</w:t>
      </w:r>
      <w:r>
        <w:t>n a</w:t>
      </w:r>
      <w:r w:rsidRPr="00D3044F">
        <w:t>ppropriate balance of 'on-the-job' and 'off-the-job' learning</w:t>
      </w:r>
      <w:r w:rsidRPr="00D3044F">
        <w:rPr>
          <w:rStyle w:val="FootnoteReference"/>
        </w:rPr>
        <w:footnoteReference w:id="24"/>
      </w:r>
      <w:r w:rsidR="00FA6CE8">
        <w:t>.</w:t>
      </w:r>
    </w:p>
    <w:p w14:paraId="34C34CAE" w14:textId="2574F675" w:rsidR="00274A33" w:rsidRDefault="00274A33" w:rsidP="002445B6">
      <w:pPr>
        <w:pStyle w:val="ListParagraph"/>
        <w:numPr>
          <w:ilvl w:val="0"/>
          <w:numId w:val="21"/>
        </w:numPr>
        <w:jc w:val="both"/>
      </w:pPr>
      <w:r>
        <w:t>An appropriate a</w:t>
      </w:r>
      <w:r w:rsidRPr="00D3044F">
        <w:t>rrangement for programme monitoring</w:t>
      </w:r>
      <w:r w:rsidR="00C86999" w:rsidRPr="00D3044F">
        <w:rPr>
          <w:rStyle w:val="FootnoteReference"/>
        </w:rPr>
        <w:footnoteReference w:id="25"/>
      </w:r>
      <w:r w:rsidRPr="00D3044F">
        <w:t xml:space="preserve"> and review that also consider</w:t>
      </w:r>
      <w:r w:rsidR="00CE7072">
        <w:t>s</w:t>
      </w:r>
      <w:r w:rsidRPr="00D3044F">
        <w:t xml:space="preserve"> the progress of individual </w:t>
      </w:r>
      <w:r w:rsidR="0094050E">
        <w:t>learners</w:t>
      </w:r>
      <w:r w:rsidR="00E22A3C">
        <w:t>.</w:t>
      </w:r>
    </w:p>
    <w:p w14:paraId="43618694" w14:textId="6A038E3F" w:rsidR="00274A33" w:rsidRPr="00D3044F" w:rsidRDefault="00274A33" w:rsidP="002445B6">
      <w:pPr>
        <w:pStyle w:val="ListParagraph"/>
        <w:numPr>
          <w:ilvl w:val="0"/>
          <w:numId w:val="21"/>
        </w:numPr>
        <w:jc w:val="both"/>
      </w:pPr>
      <w:r w:rsidRPr="00D3044F">
        <w:t xml:space="preserve">Evidence of </w:t>
      </w:r>
      <w:r>
        <w:t>employer</w:t>
      </w:r>
      <w:r w:rsidRPr="00D3044F">
        <w:t xml:space="preserve"> involvement in programme design and development.</w:t>
      </w:r>
    </w:p>
    <w:p w14:paraId="0F74ADAA" w14:textId="77777777" w:rsidR="00274A33" w:rsidRPr="00D3044F" w:rsidRDefault="00274A33" w:rsidP="002445B6">
      <w:pPr>
        <w:pStyle w:val="ListParagraph"/>
        <w:numPr>
          <w:ilvl w:val="0"/>
          <w:numId w:val="22"/>
        </w:numPr>
        <w:spacing w:after="0"/>
        <w:jc w:val="both"/>
      </w:pPr>
      <w:r>
        <w:lastRenderedPageBreak/>
        <w:t xml:space="preserve">Assurance </w:t>
      </w:r>
      <w:r w:rsidRPr="00D3044F">
        <w:t>that programme admission processes satisfy the entry requirements set within the relevant Apprenticeship Standard and the University’s own minimum entry requirements, including any opportunity for Recognition of Prior Learning (RPL)</w:t>
      </w:r>
      <w:r w:rsidRPr="00D3044F">
        <w:rPr>
          <w:rStyle w:val="FootnoteReference"/>
        </w:rPr>
        <w:footnoteReference w:id="26"/>
      </w:r>
      <w:r w:rsidRPr="00D3044F">
        <w:t>.</w:t>
      </w:r>
    </w:p>
    <w:p w14:paraId="0A371AB1" w14:textId="58516D55" w:rsidR="00274A33" w:rsidRPr="00D3044F" w:rsidRDefault="00274A33" w:rsidP="002445B6">
      <w:pPr>
        <w:pStyle w:val="ListParagraph"/>
        <w:numPr>
          <w:ilvl w:val="0"/>
          <w:numId w:val="22"/>
        </w:numPr>
        <w:spacing w:after="0"/>
        <w:jc w:val="both"/>
      </w:pPr>
      <w:r w:rsidRPr="00D3044F">
        <w:t xml:space="preserve">Evidence of how programme delivery and assessment schedules will accommodate the circumstances of </w:t>
      </w:r>
      <w:r w:rsidR="0094050E">
        <w:t>learner</w:t>
      </w:r>
      <w:r w:rsidRPr="00D3044F">
        <w:t>s in the specific employment setting (</w:t>
      </w:r>
      <w:r w:rsidR="00FE2116">
        <w:t xml:space="preserve">in the </w:t>
      </w:r>
      <w:r w:rsidRPr="00D3044F">
        <w:t>‘Student Learning Journey’</w:t>
      </w:r>
      <w:r w:rsidR="00FE2116">
        <w:t xml:space="preserve"> section of the programme specification</w:t>
      </w:r>
      <w:r w:rsidRPr="00D3044F">
        <w:t>), with a minimum of 20% 'off-the-job' learning.</w:t>
      </w:r>
    </w:p>
    <w:p w14:paraId="7F07BA29" w14:textId="1A31EBC3" w:rsidR="00274A33" w:rsidRPr="00D3044F" w:rsidRDefault="00274A33" w:rsidP="002445B6">
      <w:pPr>
        <w:pStyle w:val="ListParagraph"/>
        <w:numPr>
          <w:ilvl w:val="0"/>
          <w:numId w:val="22"/>
        </w:numPr>
        <w:jc w:val="both"/>
      </w:pPr>
      <w:r w:rsidRPr="00D3044F">
        <w:t xml:space="preserve">Compliance with the relevant </w:t>
      </w:r>
      <w:r w:rsidRPr="00D21F06">
        <w:rPr>
          <w:b/>
          <w:bCs/>
        </w:rPr>
        <w:t>Apprenticeship Assessment Plan</w:t>
      </w:r>
      <w:r w:rsidRPr="00D3044F">
        <w:rPr>
          <w:rStyle w:val="FootnoteReference"/>
        </w:rPr>
        <w:footnoteReference w:id="27"/>
      </w:r>
      <w:r w:rsidR="00FA6CE8">
        <w:t>.</w:t>
      </w:r>
      <w:r w:rsidRPr="00BD0267">
        <w:t xml:space="preserve"> </w:t>
      </w:r>
    </w:p>
    <w:p w14:paraId="2329A84E" w14:textId="30569179" w:rsidR="0015680E" w:rsidRDefault="00894A76" w:rsidP="0015680E">
      <w:pPr>
        <w:pStyle w:val="ListParagraph"/>
        <w:numPr>
          <w:ilvl w:val="0"/>
          <w:numId w:val="22"/>
        </w:numPr>
        <w:spacing w:after="0"/>
        <w:jc w:val="both"/>
      </w:pPr>
      <w:r>
        <w:t>A confirmed arrangement for an End-Point Assessment (EPA), in accordance with the relevant Apprenticeship Assessment Plan, i.e. integrated within the programme or non-integrated. The latter being conducted by a third-party End-Point Assessment Organisation (EPAO), endorsed by the employer and supported by a separate agreement between the University and EPAO. Where EPA is non-integrated, proposers must be registered with the Apprenticeship Provider and Assessment Register (APAR) which confirms they are able to prepare and support students to undertake the relevant apprenticeship.</w:t>
      </w:r>
      <w:r w:rsidR="0015680E">
        <w:t xml:space="preserve"> Lead p</w:t>
      </w:r>
      <w:r w:rsidR="0015680E" w:rsidRPr="00D3044F">
        <w:t xml:space="preserve">roposers </w:t>
      </w:r>
      <w:r w:rsidR="0015680E">
        <w:t xml:space="preserve">will be expected to </w:t>
      </w:r>
      <w:r w:rsidR="0015680E" w:rsidRPr="00D3044F">
        <w:t>describe how students will be prepared and supported to undertake</w:t>
      </w:r>
      <w:r w:rsidR="0015680E">
        <w:t xml:space="preserve"> EPA</w:t>
      </w:r>
      <w:r w:rsidR="0015680E" w:rsidRPr="00D3044F">
        <w:t xml:space="preserve">. </w:t>
      </w:r>
      <w:r>
        <w:t>For integrated degree apprenticeships, the degree and EPA must be delivered by the same organisation as part of the same programme.  The EPA must be integrated with the degree, therefore they must be completed, passed and awarded together.  The provider must be registered as an EPAO on APAR for the relevant apprenticeship in order to deliver the EPA part of the programme and confirm they are able to provide the EPA in line with the assessment plan requirement.</w:t>
      </w:r>
      <w:r w:rsidR="0015680E" w:rsidRPr="0015680E">
        <w:t xml:space="preserve"> </w:t>
      </w:r>
      <w:r w:rsidR="0015680E">
        <w:t>Lead p</w:t>
      </w:r>
      <w:r w:rsidR="0015680E" w:rsidRPr="00D3044F">
        <w:t xml:space="preserve">roposers </w:t>
      </w:r>
      <w:r w:rsidR="0015680E">
        <w:t xml:space="preserve">should </w:t>
      </w:r>
      <w:r w:rsidR="0015680E" w:rsidRPr="00D3044F">
        <w:t>evidence relevant practice-based expertise and experience among academic delivery staff and external examiners</w:t>
      </w:r>
      <w:r w:rsidR="0015680E">
        <w:t>, a</w:t>
      </w:r>
      <w:r w:rsidR="0015680E" w:rsidRPr="0015680E">
        <w:t>s stipulated by the relevant Apprenticeship Assessment Plan</w:t>
      </w:r>
      <w:r w:rsidR="0015680E" w:rsidRPr="00D3044F">
        <w:t>.</w:t>
      </w:r>
      <w:r w:rsidR="0015680E">
        <w:t xml:space="preserve"> </w:t>
      </w:r>
      <w:r>
        <w:t>For integrated degree apprenticeships where the occupation has a professional regulator, the EPA is integrated with the regulators assessment process</w:t>
      </w:r>
      <w:r w:rsidR="0015680E">
        <w:rPr>
          <w:rStyle w:val="FootnoteReference"/>
        </w:rPr>
        <w:footnoteReference w:id="28"/>
      </w:r>
      <w:r>
        <w:t>.</w:t>
      </w:r>
    </w:p>
    <w:p w14:paraId="5C09ECB9" w14:textId="77777777" w:rsidR="002819D0" w:rsidRDefault="002819D0" w:rsidP="002445B6">
      <w:pPr>
        <w:spacing w:after="0"/>
        <w:ind w:left="360"/>
        <w:jc w:val="both"/>
      </w:pPr>
    </w:p>
    <w:p w14:paraId="31CDF529" w14:textId="73825800" w:rsidR="00274A33" w:rsidRDefault="00274A33" w:rsidP="002445B6">
      <w:pPr>
        <w:spacing w:after="0"/>
        <w:jc w:val="both"/>
      </w:pPr>
      <w:r>
        <w:t>The approval of a new apprenticeship programme and its associated curriculum is subject to final approval by AQEC, as per standard validations. Following approval</w:t>
      </w:r>
      <w:r w:rsidR="00CE7072">
        <w:t>,</w:t>
      </w:r>
      <w:r>
        <w:t xml:space="preserve"> </w:t>
      </w:r>
      <w:r w:rsidRPr="00D3044F">
        <w:t xml:space="preserve">the </w:t>
      </w:r>
      <w:r>
        <w:t>Compliance Team</w:t>
      </w:r>
      <w:r w:rsidRPr="00D3044F">
        <w:t xml:space="preserve"> submits a completed </w:t>
      </w:r>
      <w:r w:rsidRPr="00D21F06">
        <w:rPr>
          <w:b/>
          <w:bCs/>
        </w:rPr>
        <w:t>Higher Education Learning Aim Request Form</w:t>
      </w:r>
      <w:r w:rsidRPr="00D3044F">
        <w:t xml:space="preserve"> to the </w:t>
      </w:r>
      <w:r w:rsidR="00D21F06">
        <w:t xml:space="preserve">ESFA </w:t>
      </w:r>
      <w:r w:rsidRPr="00D3044F">
        <w:t xml:space="preserve">accompanied by a letter, signed by the Chair of </w:t>
      </w:r>
      <w:r>
        <w:t>the Validation and Audit Standing Panel</w:t>
      </w:r>
      <w:r w:rsidRPr="00D3044F">
        <w:t xml:space="preserve"> confirming that the qualification has completed internal validation and authorising it to be included within the </w:t>
      </w:r>
      <w:r w:rsidRPr="00D21F06">
        <w:rPr>
          <w:b/>
          <w:bCs/>
        </w:rPr>
        <w:t>Learning Aims Reference Service</w:t>
      </w:r>
      <w:r w:rsidRPr="00D3044F">
        <w:t xml:space="preserve"> (LARS) for prescribed Higher Education qualifications.</w:t>
      </w:r>
    </w:p>
    <w:p w14:paraId="4542F7F1" w14:textId="77777777" w:rsidR="00274A33" w:rsidRDefault="00274A33" w:rsidP="002445B6">
      <w:pPr>
        <w:spacing w:after="0"/>
        <w:jc w:val="both"/>
      </w:pPr>
    </w:p>
    <w:p w14:paraId="352EAE6B" w14:textId="3871267B" w:rsidR="00274A33" w:rsidRDefault="00274A33" w:rsidP="002445B6">
      <w:pPr>
        <w:jc w:val="both"/>
      </w:pPr>
      <w:r>
        <w:t xml:space="preserve">Where an employer expresses an interest in having the University deliver its apprenticeships to their employees, this is </w:t>
      </w:r>
      <w:r w:rsidR="0046301D">
        <w:t xml:space="preserve">detailed in an </w:t>
      </w:r>
      <w:r w:rsidRPr="00FE2116">
        <w:rPr>
          <w:b/>
          <w:bCs/>
        </w:rPr>
        <w:t>Apprenticeship Proposal form</w:t>
      </w:r>
      <w:r>
        <w:t xml:space="preserve">. This form provides details regarding the proposed employer, the apprenticeship programmes (and standards) </w:t>
      </w:r>
      <w:r>
        <w:lastRenderedPageBreak/>
        <w:t>for delivery, the timescales</w:t>
      </w:r>
      <w:r w:rsidR="008B4392">
        <w:t xml:space="preserve"> and rationale for the delivery with this new employer. </w:t>
      </w:r>
      <w:r>
        <w:t xml:space="preserve">Any risks or concerns identified from the Due Diligence Report shall also be </w:t>
      </w:r>
      <w:r w:rsidR="008B4392">
        <w:t>included in this Proposal form</w:t>
      </w:r>
      <w:r w:rsidR="00781645">
        <w:t xml:space="preserve">. The Due Diligence Report and Apprenticeship Proposal form are submitted to the </w:t>
      </w:r>
      <w:r w:rsidR="00C86999" w:rsidRPr="00C86999">
        <w:rPr>
          <w:b/>
          <w:bCs/>
        </w:rPr>
        <w:t xml:space="preserve">Partnership Advisory Sub-Group of PMG </w:t>
      </w:r>
      <w:r w:rsidR="00C86999">
        <w:t>for</w:t>
      </w:r>
      <w:r w:rsidR="00781645">
        <w:t xml:space="preserve"> business approval before submission to the Chair of the Institutional Apprenticeship Group.</w:t>
      </w:r>
      <w:r>
        <w:t xml:space="preserve"> </w:t>
      </w:r>
      <w:r w:rsidR="00781645">
        <w:t>The decision regarding where apprenticeship programmes shall be delivered and which employers wish to engage with the university on our apprenticeship programmes, resides with the Institutional Apprenticeship Group.</w:t>
      </w:r>
      <w:r w:rsidR="00B70D0B">
        <w:t xml:space="preserve"> Once approved by the Chair, contracts and compliance activity will take place to arrange delivery with the employers.</w:t>
      </w:r>
    </w:p>
    <w:p w14:paraId="5057AAB6" w14:textId="05D8F6D5" w:rsidR="00781645" w:rsidRDefault="00781645" w:rsidP="00FE2116">
      <w:pPr>
        <w:jc w:val="both"/>
      </w:pPr>
      <w:r>
        <w:t>Any existing Approved Apprenticeship Employers who wish to add additional programmes to those they already receive from us are agreed through the same process described above. However</w:t>
      </w:r>
      <w:r w:rsidR="002445B6">
        <w:t>,</w:t>
      </w:r>
      <w:r>
        <w:t xml:space="preserve"> w</w:t>
      </w:r>
      <w:r w:rsidRPr="00D3044F">
        <w:t>here additional cohorts are to be added to an existing apprenticeship programme, no separate academic approval process is necessary</w:t>
      </w:r>
      <w:r w:rsidR="002445B6">
        <w:t>,</w:t>
      </w:r>
      <w:r w:rsidRPr="00D3044F">
        <w:t xml:space="preserve"> although the </w:t>
      </w:r>
      <w:r>
        <w:t>Chair of the Institutional Apprenticeship Group</w:t>
      </w:r>
      <w:r w:rsidRPr="00D3044F">
        <w:t xml:space="preserve"> must be consulted in advance and </w:t>
      </w:r>
      <w:r>
        <w:t>any additional</w:t>
      </w:r>
      <w:r w:rsidRPr="00D3044F">
        <w:t xml:space="preserve"> Apprenticeship Programme agreements must be executed.</w:t>
      </w:r>
    </w:p>
    <w:p w14:paraId="28CB45DD" w14:textId="25F4233B" w:rsidR="00ED74CB" w:rsidRPr="00D3044F" w:rsidRDefault="00ED74CB" w:rsidP="00FE2116">
      <w:pPr>
        <w:jc w:val="both"/>
      </w:pPr>
      <w:r>
        <w:t>As referenced in Table 3, approval periods for apprenticeship partners are ongoing and this is refreshed through the annual review activity. This provides regular opportunity to identify any issues with the partnership or delivery with a partner</w:t>
      </w:r>
      <w:r w:rsidR="00714207">
        <w:t xml:space="preserve"> which can then be addressed. </w:t>
      </w:r>
    </w:p>
    <w:p w14:paraId="3B2E95E1" w14:textId="77777777" w:rsidR="00FE2116" w:rsidRDefault="00274A33" w:rsidP="00FE2116">
      <w:pPr>
        <w:jc w:val="both"/>
      </w:pPr>
      <w:r>
        <w:t>All apprenticeship delivery is underpinned by f</w:t>
      </w:r>
      <w:r w:rsidRPr="00D3044F">
        <w:t xml:space="preserve">ormal written </w:t>
      </w:r>
      <w:r>
        <w:t>contracts (</w:t>
      </w:r>
      <w:r w:rsidRPr="00D3044F">
        <w:t>agreements</w:t>
      </w:r>
      <w:r>
        <w:t>)</w:t>
      </w:r>
      <w:r w:rsidRPr="00D3044F">
        <w:t xml:space="preserve"> between</w:t>
      </w:r>
      <w:r w:rsidR="00FE2116">
        <w:t>:</w:t>
      </w:r>
    </w:p>
    <w:p w14:paraId="58CD84B2" w14:textId="550EF493" w:rsidR="00FE2116" w:rsidRDefault="00FE2116" w:rsidP="00FE2116">
      <w:pPr>
        <w:pStyle w:val="ListParagraph"/>
        <w:numPr>
          <w:ilvl w:val="0"/>
          <w:numId w:val="48"/>
        </w:numPr>
        <w:jc w:val="both"/>
      </w:pPr>
      <w:r>
        <w:t>T</w:t>
      </w:r>
      <w:r w:rsidR="00274A33" w:rsidRPr="00D3044F">
        <w:t xml:space="preserve">he University (Provider) and </w:t>
      </w:r>
      <w:r w:rsidR="00274A33">
        <w:t xml:space="preserve">the </w:t>
      </w:r>
      <w:r w:rsidR="007E623F">
        <w:t>Approved Apprenticeship Employer</w:t>
      </w:r>
      <w:r>
        <w:t>;</w:t>
      </w:r>
      <w:r w:rsidR="00274A33" w:rsidRPr="00D3044F">
        <w:t xml:space="preserve"> </w:t>
      </w:r>
    </w:p>
    <w:p w14:paraId="5352E002" w14:textId="483AB2BC" w:rsidR="00FE2116" w:rsidRDefault="00FE2116" w:rsidP="00FE2116">
      <w:pPr>
        <w:pStyle w:val="ListParagraph"/>
        <w:numPr>
          <w:ilvl w:val="0"/>
          <w:numId w:val="48"/>
        </w:numPr>
        <w:jc w:val="both"/>
      </w:pPr>
      <w:r>
        <w:t>T</w:t>
      </w:r>
      <w:r w:rsidR="00274A33" w:rsidRPr="00D3044F">
        <w:t xml:space="preserve">he </w:t>
      </w:r>
      <w:r w:rsidR="007E623F">
        <w:t>Approved Apprenticeship Employer</w:t>
      </w:r>
      <w:r w:rsidR="00274A33" w:rsidRPr="00D3044F">
        <w:t xml:space="preserve"> and the </w:t>
      </w:r>
      <w:r w:rsidR="0094050E">
        <w:t>learner</w:t>
      </w:r>
      <w:r>
        <w:t>;</w:t>
      </w:r>
    </w:p>
    <w:p w14:paraId="3AE39A02" w14:textId="39C97BF3" w:rsidR="00FE2116" w:rsidRDefault="00FE2116" w:rsidP="00FE2116">
      <w:pPr>
        <w:pStyle w:val="ListParagraph"/>
        <w:numPr>
          <w:ilvl w:val="0"/>
          <w:numId w:val="48"/>
        </w:numPr>
        <w:jc w:val="both"/>
      </w:pPr>
      <w:r>
        <w:t>T</w:t>
      </w:r>
      <w:r w:rsidR="00274A33" w:rsidRPr="00D3044F">
        <w:t>he University and an</w:t>
      </w:r>
      <w:r w:rsidR="00274A33">
        <w:t>y</w:t>
      </w:r>
      <w:r w:rsidR="00274A33" w:rsidRPr="00D3044F">
        <w:t xml:space="preserve"> </w:t>
      </w:r>
      <w:r>
        <w:t>EPAO;</w:t>
      </w:r>
      <w:r w:rsidR="00274A33" w:rsidRPr="00D3044F">
        <w:t xml:space="preserve"> and</w:t>
      </w:r>
      <w:r>
        <w:t>,</w:t>
      </w:r>
      <w:r w:rsidR="00274A33" w:rsidRPr="00D3044F">
        <w:t xml:space="preserve"> </w:t>
      </w:r>
    </w:p>
    <w:p w14:paraId="5AE61EDA" w14:textId="3193A61D" w:rsidR="00274A33" w:rsidRPr="00D3044F" w:rsidRDefault="00FE2116" w:rsidP="00FE2116">
      <w:pPr>
        <w:pStyle w:val="ListParagraph"/>
        <w:numPr>
          <w:ilvl w:val="0"/>
          <w:numId w:val="48"/>
        </w:numPr>
        <w:jc w:val="both"/>
      </w:pPr>
      <w:r>
        <w:t>A</w:t>
      </w:r>
      <w:r w:rsidR="00274A33" w:rsidRPr="00D3044F">
        <w:t xml:space="preserve"> tripartite agreement between the University, the</w:t>
      </w:r>
      <w:r w:rsidR="00274A33">
        <w:t xml:space="preserve"> </w:t>
      </w:r>
      <w:r w:rsidR="007E623F">
        <w:t>Approved Apprenticeship Employer</w:t>
      </w:r>
      <w:r w:rsidR="00274A33" w:rsidRPr="00D3044F">
        <w:t xml:space="preserve"> and the Apprentice (</w:t>
      </w:r>
      <w:r w:rsidR="00274A33">
        <w:t xml:space="preserve">referred to as a </w:t>
      </w:r>
      <w:r w:rsidR="00274A33" w:rsidRPr="00FE2116">
        <w:rPr>
          <w:b/>
          <w:bCs/>
        </w:rPr>
        <w:t>Commitment Statement</w:t>
      </w:r>
      <w:r w:rsidR="00274A33" w:rsidRPr="00D3044F">
        <w:t>).</w:t>
      </w:r>
      <w:r w:rsidR="00E373C3">
        <w:t xml:space="preserve"> These contracts run for a period of five years and will be renewed or terminated after this date.</w:t>
      </w:r>
    </w:p>
    <w:p w14:paraId="493A852F" w14:textId="191AAB28" w:rsidR="00274A33" w:rsidRDefault="00274A33" w:rsidP="00FE2116">
      <w:pPr>
        <w:spacing w:after="0"/>
        <w:jc w:val="both"/>
      </w:pPr>
      <w:r>
        <w:t xml:space="preserve">A central record of all apprenticeship arrangements is maintained </w:t>
      </w:r>
      <w:r w:rsidR="00FE2116">
        <w:t>by</w:t>
      </w:r>
      <w:r>
        <w:t xml:space="preserve"> the Compliance Team. </w:t>
      </w:r>
    </w:p>
    <w:p w14:paraId="65363D79" w14:textId="46A1EE9C" w:rsidR="00274A33" w:rsidRPr="00D3044F" w:rsidRDefault="00274A33" w:rsidP="00274A33">
      <w:pPr>
        <w:spacing w:after="0"/>
      </w:pPr>
    </w:p>
    <w:p w14:paraId="4D4BAB57" w14:textId="3E3280D1" w:rsidR="00601D22" w:rsidRDefault="00601D22" w:rsidP="00601D22">
      <w:pPr>
        <w:pStyle w:val="Heading3"/>
      </w:pPr>
      <w:bookmarkStart w:id="35" w:name="_Toc183094954"/>
      <w:r>
        <w:t xml:space="preserve">Reviewing </w:t>
      </w:r>
      <w:r w:rsidR="00D21F06">
        <w:t>A</w:t>
      </w:r>
      <w:r>
        <w:t xml:space="preserve">pprenticeship </w:t>
      </w:r>
      <w:r w:rsidR="00D21F06">
        <w:t>P</w:t>
      </w:r>
      <w:r>
        <w:t xml:space="preserve">rogrammes and </w:t>
      </w:r>
      <w:r w:rsidR="00D21F06">
        <w:t>D</w:t>
      </w:r>
      <w:r>
        <w:t xml:space="preserve">elivery </w:t>
      </w:r>
      <w:r w:rsidR="00D21F06">
        <w:t>A</w:t>
      </w:r>
      <w:r>
        <w:t>rrangements</w:t>
      </w:r>
      <w:bookmarkEnd w:id="35"/>
    </w:p>
    <w:p w14:paraId="6C9613B2" w14:textId="12BC3423" w:rsidR="00CC4D86" w:rsidRDefault="00274A33" w:rsidP="00D21F06">
      <w:pPr>
        <w:contextualSpacing/>
        <w:jc w:val="both"/>
      </w:pPr>
      <w:r>
        <w:t xml:space="preserve">Category A5 (degree and higher apprenticeships) are subject to a full review of the apprenticeship programme’s performance and this includes delivery with the various </w:t>
      </w:r>
      <w:r w:rsidR="00B70D0B">
        <w:t>a</w:t>
      </w:r>
      <w:r w:rsidR="007E623F">
        <w:t>pproved Apprenticeship Employer</w:t>
      </w:r>
      <w:r>
        <w:t xml:space="preserve">s. The </w:t>
      </w:r>
      <w:r w:rsidR="00B70D0B" w:rsidRPr="00DB0EB4">
        <w:rPr>
          <w:b/>
          <w:bCs/>
        </w:rPr>
        <w:t xml:space="preserve">Apprenticeship Programme </w:t>
      </w:r>
      <w:r w:rsidR="00DB0EB4" w:rsidRPr="00DB0EB4">
        <w:rPr>
          <w:b/>
          <w:bCs/>
        </w:rPr>
        <w:t>Review</w:t>
      </w:r>
      <w:r w:rsidR="00DB0EB4">
        <w:t xml:space="preserve"> </w:t>
      </w:r>
      <w:r>
        <w:t xml:space="preserve">forms provide an opportunity to assess the health of the partnership arrangement as well as the ongoing student experience for the </w:t>
      </w:r>
      <w:r w:rsidR="0094050E">
        <w:t>learner</w:t>
      </w:r>
      <w:r>
        <w:t xml:space="preserve">s. </w:t>
      </w:r>
      <w:r w:rsidR="00DB0EB4">
        <w:t xml:space="preserve">They collect programme-level information and evaluate the effectiveness of the apprenticeship programme through scrutiny of a host of data and evidence (as per standard partner Annual Reviews). </w:t>
      </w:r>
    </w:p>
    <w:p w14:paraId="3C6364CD" w14:textId="77777777" w:rsidR="00D21F06" w:rsidRDefault="00D21F06" w:rsidP="00D21F06">
      <w:pPr>
        <w:contextualSpacing/>
        <w:jc w:val="both"/>
      </w:pPr>
    </w:p>
    <w:p w14:paraId="1BB429D8" w14:textId="19ADD224" w:rsidR="00274A33" w:rsidRDefault="00DB0EB4" w:rsidP="00D21F06">
      <w:pPr>
        <w:contextualSpacing/>
        <w:jc w:val="both"/>
      </w:pPr>
      <w:r>
        <w:t xml:space="preserve">The content of the reviews ultimately </w:t>
      </w:r>
      <w:r w:rsidR="00D21F06">
        <w:t>informs</w:t>
      </w:r>
      <w:r>
        <w:t xml:space="preserve"> the </w:t>
      </w:r>
      <w:r w:rsidRPr="00D21F06">
        <w:rPr>
          <w:b/>
          <w:bCs/>
        </w:rPr>
        <w:t>Self-Assessment Review</w:t>
      </w:r>
      <w:r>
        <w:t xml:space="preserve"> and </w:t>
      </w:r>
      <w:r w:rsidRPr="00D21F06">
        <w:rPr>
          <w:b/>
          <w:bCs/>
        </w:rPr>
        <w:t>Quality Improvement Plan</w:t>
      </w:r>
      <w:r>
        <w:t xml:space="preserve"> for Ofsted and serve to ensure compliance with ESFA requirements for an annual review of apprenticeships. </w:t>
      </w:r>
      <w:r w:rsidR="00274A33">
        <w:t>These review</w:t>
      </w:r>
      <w:r>
        <w:t xml:space="preserve"> forms</w:t>
      </w:r>
      <w:r w:rsidR="00274A33">
        <w:t xml:space="preserve"> are submitted to the Institutional Apprenticeship Group for discussion and approval, </w:t>
      </w:r>
      <w:r w:rsidR="00D21F06">
        <w:t>prior to</w:t>
      </w:r>
      <w:r w:rsidR="00274A33">
        <w:t xml:space="preserve"> submission to AQEC</w:t>
      </w:r>
      <w:r w:rsidR="00D21F06">
        <w:t>.</w:t>
      </w:r>
      <w:r w:rsidR="00274A33">
        <w:t xml:space="preserve"> </w:t>
      </w:r>
      <w:r w:rsidR="00D21F06">
        <w:t>AQEC</w:t>
      </w:r>
      <w:r w:rsidR="00274A33">
        <w:t xml:space="preserve"> </w:t>
      </w:r>
      <w:r w:rsidR="00274A33">
        <w:lastRenderedPageBreak/>
        <w:t>consider</w:t>
      </w:r>
      <w:r w:rsidR="00D21F06">
        <w:t>s</w:t>
      </w:r>
      <w:r w:rsidR="00274A33">
        <w:t xml:space="preserve"> any areas of institutional risk or concern regarding academic standards or quality and</w:t>
      </w:r>
      <w:r w:rsidR="00D21F06">
        <w:t>,</w:t>
      </w:r>
      <w:r w:rsidR="00274A33">
        <w:t xml:space="preserve"> </w:t>
      </w:r>
      <w:r w:rsidR="00D21F06">
        <w:t>if applicable,</w:t>
      </w:r>
      <w:r w:rsidR="00274A33">
        <w:t xml:space="preserve"> commission</w:t>
      </w:r>
      <w:r w:rsidR="00D21F06">
        <w:t>s</w:t>
      </w:r>
      <w:r w:rsidR="00274A33">
        <w:t xml:space="preserve"> appropriate action.</w:t>
      </w:r>
    </w:p>
    <w:p w14:paraId="59D22D16" w14:textId="77777777" w:rsidR="00D21F06" w:rsidRDefault="00D21F06" w:rsidP="00D21F06">
      <w:pPr>
        <w:contextualSpacing/>
        <w:jc w:val="both"/>
        <w:rPr>
          <w:b/>
          <w:bCs/>
        </w:rPr>
      </w:pPr>
    </w:p>
    <w:p w14:paraId="1371388C" w14:textId="4C1EEF61" w:rsidR="007C76FD" w:rsidRPr="00D3044F" w:rsidRDefault="007C76FD" w:rsidP="00D21F06">
      <w:pPr>
        <w:contextualSpacing/>
        <w:jc w:val="both"/>
      </w:pPr>
      <w:r w:rsidRPr="00D21F06">
        <w:rPr>
          <w:b/>
          <w:bCs/>
        </w:rPr>
        <w:t xml:space="preserve">The annual review of apprenticeship programmes and their delivery with partners </w:t>
      </w:r>
      <w:r w:rsidR="00120927" w:rsidRPr="00D21F06">
        <w:rPr>
          <w:b/>
          <w:bCs/>
        </w:rPr>
        <w:t>provides ongoing approval of the partnership</w:t>
      </w:r>
      <w:r w:rsidR="00741FEB" w:rsidRPr="00D21F06">
        <w:rPr>
          <w:b/>
          <w:bCs/>
        </w:rPr>
        <w:t>, whilst contracts require review and resubmission every five years</w:t>
      </w:r>
      <w:r w:rsidR="00741FEB">
        <w:t>.</w:t>
      </w:r>
    </w:p>
    <w:p w14:paraId="14512572" w14:textId="77777777" w:rsidR="00601D22" w:rsidRDefault="00601D22" w:rsidP="00274A33">
      <w:pPr>
        <w:spacing w:after="0"/>
      </w:pPr>
    </w:p>
    <w:p w14:paraId="12648455" w14:textId="48D8B826" w:rsidR="00601D22" w:rsidRDefault="00601D22" w:rsidP="00601D22">
      <w:pPr>
        <w:pStyle w:val="Heading3"/>
      </w:pPr>
      <w:bookmarkStart w:id="36" w:name="_Toc183094955"/>
      <w:r>
        <w:t xml:space="preserve">Terminating </w:t>
      </w:r>
      <w:r w:rsidR="00D21F06">
        <w:t>A</w:t>
      </w:r>
      <w:r>
        <w:t xml:space="preserve">pprenticeship </w:t>
      </w:r>
      <w:r w:rsidR="00D21F06">
        <w:t>D</w:t>
      </w:r>
      <w:r>
        <w:t>elivery</w:t>
      </w:r>
      <w:bookmarkEnd w:id="36"/>
    </w:p>
    <w:p w14:paraId="62FAB1FD" w14:textId="524B80E3" w:rsidR="00274A33" w:rsidRDefault="00D21F06" w:rsidP="00274A33">
      <w:r>
        <w:t>T</w:t>
      </w:r>
      <w:r w:rsidR="00601D22">
        <w:t>he decision to cease delivery with an Approved Apprenticeship Employer is agreed at the Institutional Apprenticeship Group</w:t>
      </w:r>
      <w:r w:rsidR="007F4D96">
        <w:t xml:space="preserve"> in accordance </w:t>
      </w:r>
      <w:r>
        <w:t>with</w:t>
      </w:r>
      <w:r w:rsidR="007F4D96">
        <w:t xml:space="preserve"> the </w:t>
      </w:r>
      <w:r w:rsidR="007F4D96" w:rsidRPr="00D21F06">
        <w:rPr>
          <w:b/>
          <w:bCs/>
        </w:rPr>
        <w:t>Withdrawal Process</w:t>
      </w:r>
      <w:r w:rsidR="007F4D96">
        <w:t xml:space="preserve"> and </w:t>
      </w:r>
      <w:r w:rsidR="007F4D96" w:rsidRPr="00D21F06">
        <w:rPr>
          <w:b/>
          <w:bCs/>
        </w:rPr>
        <w:t>Partnership Exit Strategy</w:t>
      </w:r>
      <w:r w:rsidR="003B3B1B" w:rsidRPr="003B3B1B">
        <w:t xml:space="preserve"> detailed at the point of validation</w:t>
      </w:r>
      <w:r w:rsidR="007F4D96">
        <w:t xml:space="preserve">. </w:t>
      </w:r>
      <w:r w:rsidR="00601D22">
        <w:t xml:space="preserve">Due consideration </w:t>
      </w:r>
      <w:r w:rsidR="007F4D96">
        <w:t>is</w:t>
      </w:r>
      <w:r w:rsidR="00601D22">
        <w:t xml:space="preserve"> given at this stage to the impact on any existing </w:t>
      </w:r>
      <w:r w:rsidR="0094050E">
        <w:t>learner</w:t>
      </w:r>
      <w:r w:rsidR="00601D22">
        <w:t xml:space="preserve">s on programme, and discussions </w:t>
      </w:r>
      <w:r>
        <w:t>are</w:t>
      </w:r>
      <w:r w:rsidR="00601D22">
        <w:t xml:space="preserve"> held regarding teach</w:t>
      </w:r>
      <w:r>
        <w:t>-</w:t>
      </w:r>
      <w:r w:rsidR="00601D22">
        <w:t>out arrangements to protect the student experience as the partnership comes to an end.</w:t>
      </w:r>
    </w:p>
    <w:p w14:paraId="23FC34CC" w14:textId="0FF3C7B4" w:rsidR="0014592C" w:rsidRPr="00D3044F" w:rsidRDefault="0014592C" w:rsidP="00EF1EED">
      <w:pPr>
        <w:spacing w:after="0"/>
      </w:pPr>
    </w:p>
    <w:p w14:paraId="15F7BB35" w14:textId="3E2A4949" w:rsidR="00274A33" w:rsidRDefault="00D21F06" w:rsidP="00D21F06">
      <w:pPr>
        <w:pStyle w:val="Heading1"/>
      </w:pPr>
      <w:bookmarkStart w:id="37" w:name="_Toc183094956"/>
      <w:r w:rsidRPr="00662196">
        <w:t>CATEGORY B PARTNERSHIPS</w:t>
      </w:r>
      <w:bookmarkEnd w:id="37"/>
      <w:r w:rsidRPr="00662196">
        <w:t xml:space="preserve"> </w:t>
      </w:r>
    </w:p>
    <w:tbl>
      <w:tblPr>
        <w:tblStyle w:val="TableGrid"/>
        <w:tblW w:w="0" w:type="auto"/>
        <w:tblLook w:val="04A0" w:firstRow="1" w:lastRow="0" w:firstColumn="1" w:lastColumn="0" w:noHBand="0" w:noVBand="1"/>
      </w:tblPr>
      <w:tblGrid>
        <w:gridCol w:w="562"/>
        <w:gridCol w:w="2127"/>
        <w:gridCol w:w="708"/>
        <w:gridCol w:w="5619"/>
      </w:tblGrid>
      <w:tr w:rsidR="00274A33" w:rsidRPr="00D3044F" w14:paraId="35DEA200" w14:textId="77777777" w:rsidTr="00A005A2">
        <w:trPr>
          <w:tblHeader/>
        </w:trPr>
        <w:tc>
          <w:tcPr>
            <w:tcW w:w="562" w:type="dxa"/>
            <w:tcBorders>
              <w:bottom w:val="nil"/>
            </w:tcBorders>
          </w:tcPr>
          <w:p w14:paraId="5BD5A1AA" w14:textId="77777777" w:rsidR="00274A33" w:rsidRPr="00D3044F" w:rsidRDefault="00274A33" w:rsidP="00A005A2">
            <w:r w:rsidRPr="00D3044F">
              <w:t>B</w:t>
            </w:r>
          </w:p>
        </w:tc>
        <w:tc>
          <w:tcPr>
            <w:tcW w:w="2127" w:type="dxa"/>
            <w:vMerge w:val="restart"/>
          </w:tcPr>
          <w:p w14:paraId="2DA7E68D" w14:textId="77777777" w:rsidR="00274A33" w:rsidRPr="00D3044F" w:rsidRDefault="00274A33" w:rsidP="00A005A2">
            <w:r w:rsidRPr="00D3044F">
              <w:t>Outreach Learning Venues</w:t>
            </w:r>
          </w:p>
        </w:tc>
        <w:tc>
          <w:tcPr>
            <w:tcW w:w="708" w:type="dxa"/>
          </w:tcPr>
          <w:p w14:paraId="1D44895D" w14:textId="77777777" w:rsidR="00274A33" w:rsidRPr="00D3044F" w:rsidRDefault="00274A33" w:rsidP="00A005A2">
            <w:r w:rsidRPr="00D3044F">
              <w:t>B1</w:t>
            </w:r>
          </w:p>
        </w:tc>
        <w:tc>
          <w:tcPr>
            <w:tcW w:w="5619" w:type="dxa"/>
          </w:tcPr>
          <w:p w14:paraId="69567BF7" w14:textId="77777777" w:rsidR="00274A33" w:rsidRPr="00D3044F" w:rsidRDefault="00274A33" w:rsidP="00A005A2">
            <w:r w:rsidRPr="00D3044F">
              <w:t>Outreach Learning Venues (UK)</w:t>
            </w:r>
          </w:p>
        </w:tc>
      </w:tr>
      <w:tr w:rsidR="00274A33" w:rsidRPr="00D3044F" w14:paraId="2B1A0F6A" w14:textId="77777777" w:rsidTr="00A005A2">
        <w:trPr>
          <w:tblHeader/>
        </w:trPr>
        <w:tc>
          <w:tcPr>
            <w:tcW w:w="562" w:type="dxa"/>
            <w:tcBorders>
              <w:top w:val="nil"/>
              <w:bottom w:val="nil"/>
            </w:tcBorders>
          </w:tcPr>
          <w:p w14:paraId="38F9A9B9" w14:textId="77777777" w:rsidR="00274A33" w:rsidRPr="00D3044F" w:rsidRDefault="00274A33" w:rsidP="00A005A2"/>
        </w:tc>
        <w:tc>
          <w:tcPr>
            <w:tcW w:w="2127" w:type="dxa"/>
            <w:vMerge/>
          </w:tcPr>
          <w:p w14:paraId="5CF1023C" w14:textId="77777777" w:rsidR="00274A33" w:rsidRPr="00D3044F" w:rsidRDefault="00274A33" w:rsidP="00A005A2"/>
        </w:tc>
        <w:tc>
          <w:tcPr>
            <w:tcW w:w="708" w:type="dxa"/>
          </w:tcPr>
          <w:p w14:paraId="24EFA472" w14:textId="77777777" w:rsidR="00274A33" w:rsidRPr="00D3044F" w:rsidRDefault="00274A33" w:rsidP="00A005A2">
            <w:r w:rsidRPr="00D3044F">
              <w:t>B2</w:t>
            </w:r>
          </w:p>
        </w:tc>
        <w:tc>
          <w:tcPr>
            <w:tcW w:w="5619" w:type="dxa"/>
          </w:tcPr>
          <w:p w14:paraId="18846B6E" w14:textId="77777777" w:rsidR="00274A33" w:rsidRPr="00D3044F" w:rsidRDefault="00274A33" w:rsidP="00A005A2">
            <w:r w:rsidRPr="00D3044F">
              <w:t>School-Centred Initial Teacher Training (UK)</w:t>
            </w:r>
          </w:p>
        </w:tc>
      </w:tr>
      <w:tr w:rsidR="00274A33" w:rsidRPr="00D3044F" w14:paraId="5469D858" w14:textId="77777777" w:rsidTr="00A005A2">
        <w:trPr>
          <w:tblHeader/>
        </w:trPr>
        <w:tc>
          <w:tcPr>
            <w:tcW w:w="562" w:type="dxa"/>
            <w:tcBorders>
              <w:top w:val="nil"/>
            </w:tcBorders>
          </w:tcPr>
          <w:p w14:paraId="21CE0EAE" w14:textId="77777777" w:rsidR="00274A33" w:rsidRPr="00D3044F" w:rsidRDefault="00274A33" w:rsidP="00A005A2"/>
        </w:tc>
        <w:tc>
          <w:tcPr>
            <w:tcW w:w="2127" w:type="dxa"/>
            <w:vMerge/>
          </w:tcPr>
          <w:p w14:paraId="7915F363" w14:textId="77777777" w:rsidR="00274A33" w:rsidRPr="00D3044F" w:rsidRDefault="00274A33" w:rsidP="00A005A2"/>
        </w:tc>
        <w:tc>
          <w:tcPr>
            <w:tcW w:w="708" w:type="dxa"/>
          </w:tcPr>
          <w:p w14:paraId="5A27166C" w14:textId="77777777" w:rsidR="00274A33" w:rsidRPr="00D3044F" w:rsidRDefault="00274A33" w:rsidP="00A005A2">
            <w:r w:rsidRPr="00D3044F">
              <w:t>B3</w:t>
            </w:r>
          </w:p>
        </w:tc>
        <w:tc>
          <w:tcPr>
            <w:tcW w:w="5619" w:type="dxa"/>
          </w:tcPr>
          <w:p w14:paraId="28941802" w14:textId="77777777" w:rsidR="00274A33" w:rsidRPr="00D3044F" w:rsidRDefault="00274A33" w:rsidP="00A005A2">
            <w:r w:rsidRPr="00D3044F">
              <w:t>Outreach Learning Venues (Overseas)</w:t>
            </w:r>
          </w:p>
        </w:tc>
      </w:tr>
    </w:tbl>
    <w:p w14:paraId="7B9D9D14" w14:textId="77777777" w:rsidR="00274A33" w:rsidRPr="00D3044F" w:rsidRDefault="00274A33" w:rsidP="00274A33">
      <w:pPr>
        <w:spacing w:after="0"/>
      </w:pPr>
    </w:p>
    <w:p w14:paraId="68A004CB" w14:textId="77777777" w:rsidR="00274A33" w:rsidRPr="00D3044F" w:rsidRDefault="00274A33" w:rsidP="004A4BE1">
      <w:pPr>
        <w:jc w:val="both"/>
      </w:pPr>
      <w:r w:rsidRPr="00D3044F">
        <w:t>In this category all teaching, assessment and student support are provided by Edge Hill University staff and the responsibility of the external venue provider is limited to the supply of teaching accommodation, including basic IT and display equipment</w:t>
      </w:r>
      <w:r w:rsidRPr="00D3044F">
        <w:rPr>
          <w:rStyle w:val="FootnoteReference"/>
        </w:rPr>
        <w:footnoteReference w:id="29"/>
      </w:r>
      <w:r w:rsidRPr="00D3044F">
        <w:t>.</w:t>
      </w:r>
    </w:p>
    <w:p w14:paraId="5DE4DBC0" w14:textId="77777777" w:rsidR="00274A33" w:rsidRPr="00D3044F" w:rsidRDefault="00274A33" w:rsidP="004A4BE1">
      <w:pPr>
        <w:pStyle w:val="Heading3"/>
        <w:jc w:val="both"/>
      </w:pPr>
      <w:bookmarkStart w:id="38" w:name="_Toc183094957"/>
      <w:r w:rsidRPr="00D3044F">
        <w:t>Approval</w:t>
      </w:r>
      <w:r>
        <w:t xml:space="preserve"> processes</w:t>
      </w:r>
      <w:bookmarkEnd w:id="38"/>
    </w:p>
    <w:p w14:paraId="33F0679C" w14:textId="3E7D1A5C" w:rsidR="007445B1" w:rsidRPr="007445B1" w:rsidRDefault="00274A33" w:rsidP="004A4BE1">
      <w:pPr>
        <w:spacing w:after="0"/>
        <w:jc w:val="both"/>
      </w:pPr>
      <w:r w:rsidRPr="00D3044F">
        <w:t>Responsibility for the approval of category B venues</w:t>
      </w:r>
      <w:r w:rsidR="00DF66B2">
        <w:t xml:space="preserve"> (and associated central record keeping)</w:t>
      </w:r>
      <w:r w:rsidRPr="00D3044F">
        <w:t xml:space="preserve"> resides with Faculties and their approach is outlined in their </w:t>
      </w:r>
      <w:bookmarkStart w:id="39" w:name="_Hlk148433487"/>
      <w:r w:rsidR="009D6590">
        <w:fldChar w:fldCharType="begin"/>
      </w:r>
      <w:r w:rsidR="009D6590">
        <w:instrText>HYPERLINK "https://edgehill.sharepoint.com/sites/agqa/SitePages/Faculty-Quality-Processes-and-Responsibilities.aspx"</w:instrText>
      </w:r>
      <w:r w:rsidR="009D6590">
        <w:fldChar w:fldCharType="separate"/>
      </w:r>
      <w:r w:rsidR="004A4BE1" w:rsidRPr="009D6590">
        <w:rPr>
          <w:rStyle w:val="Hyperlink"/>
        </w:rPr>
        <w:t>Faculty Academic Quality Statements</w:t>
      </w:r>
      <w:bookmarkEnd w:id="39"/>
      <w:r w:rsidRPr="009D6590">
        <w:rPr>
          <w:rStyle w:val="Hyperlink"/>
        </w:rPr>
        <w:t>.</w:t>
      </w:r>
      <w:r w:rsidR="009D6590">
        <w:fldChar w:fldCharType="end"/>
      </w:r>
      <w:r w:rsidRPr="00D3044F">
        <w:t xml:space="preserve"> </w:t>
      </w:r>
      <w:r w:rsidR="007445B1" w:rsidRPr="007445B1">
        <w:t>The following documents require completion for the proposal of a new venue:</w:t>
      </w:r>
    </w:p>
    <w:p w14:paraId="28C38E49" w14:textId="5E69EABD" w:rsidR="007445B1" w:rsidRPr="007445B1" w:rsidRDefault="007445B1" w:rsidP="004A4BE1">
      <w:pPr>
        <w:numPr>
          <w:ilvl w:val="0"/>
          <w:numId w:val="41"/>
        </w:numPr>
        <w:spacing w:after="0"/>
        <w:jc w:val="both"/>
      </w:pPr>
      <w:hyperlink r:id="rId32" w:history="1">
        <w:r w:rsidRPr="00BD193A">
          <w:rPr>
            <w:rStyle w:val="Hyperlink"/>
            <w:b/>
          </w:rPr>
          <w:t>Academic Partnership Venue Proposal</w:t>
        </w:r>
      </w:hyperlink>
      <w:r w:rsidRPr="00BD193A">
        <w:t xml:space="preserve"> </w:t>
      </w:r>
      <w:r w:rsidRPr="007445B1">
        <w:t>form; normally completed by the Faculty Partnership Lead.</w:t>
      </w:r>
    </w:p>
    <w:p w14:paraId="71364C5A" w14:textId="495BC402" w:rsidR="007445B1" w:rsidRPr="007445B1" w:rsidRDefault="007445B1" w:rsidP="004A4BE1">
      <w:pPr>
        <w:numPr>
          <w:ilvl w:val="0"/>
          <w:numId w:val="41"/>
        </w:numPr>
        <w:spacing w:after="0"/>
        <w:jc w:val="both"/>
      </w:pPr>
      <w:hyperlink r:id="rId33" w:history="1">
        <w:r w:rsidRPr="00BD193A">
          <w:rPr>
            <w:rStyle w:val="Hyperlink"/>
            <w:b/>
          </w:rPr>
          <w:t>Health and Safety Checklist</w:t>
        </w:r>
      </w:hyperlink>
      <w:r w:rsidRPr="007445B1">
        <w:t xml:space="preserve">; normally completed by an appropriate health and safety representative (member of EHU staff such as a local health and safety representative). Advice can be sought from the central Health and Safety team. A visit to the venue is normally required to enable completion of this assessment, however virtual completion with input from the venue and others who have knowledge of the site may be acceptable. Any actions required as part of the risk assessment should be addressed and detailed in the Academic Partnership Venue Proposal form. </w:t>
      </w:r>
    </w:p>
    <w:p w14:paraId="4B1BFDA0" w14:textId="17740465" w:rsidR="007445B1" w:rsidRDefault="007445B1" w:rsidP="004A4BE1">
      <w:pPr>
        <w:numPr>
          <w:ilvl w:val="0"/>
          <w:numId w:val="41"/>
        </w:numPr>
        <w:spacing w:after="0"/>
        <w:jc w:val="both"/>
      </w:pPr>
      <w:r w:rsidRPr="007445B1">
        <w:t xml:space="preserve">A copy of the </w:t>
      </w:r>
      <w:r w:rsidRPr="007445B1">
        <w:rPr>
          <w:b/>
        </w:rPr>
        <w:t>Public Liability Insurance</w:t>
      </w:r>
      <w:r w:rsidRPr="007445B1">
        <w:t xml:space="preserve">; retained in the central Y Drive files. </w:t>
      </w:r>
    </w:p>
    <w:p w14:paraId="58D96644" w14:textId="77777777" w:rsidR="007445B1" w:rsidRPr="007445B1" w:rsidRDefault="007445B1" w:rsidP="004A4BE1">
      <w:pPr>
        <w:spacing w:after="0"/>
        <w:ind w:left="720"/>
        <w:jc w:val="both"/>
      </w:pPr>
    </w:p>
    <w:p w14:paraId="0BDDB061" w14:textId="77777777" w:rsidR="007445B1" w:rsidRPr="007445B1" w:rsidRDefault="007445B1" w:rsidP="004A4BE1">
      <w:pPr>
        <w:spacing w:after="0"/>
        <w:jc w:val="both"/>
      </w:pPr>
      <w:r w:rsidRPr="007445B1">
        <w:lastRenderedPageBreak/>
        <w:t xml:space="preserve">The payment of any </w:t>
      </w:r>
      <w:r w:rsidRPr="007445B1">
        <w:rPr>
          <w:b/>
        </w:rPr>
        <w:t>fees</w:t>
      </w:r>
      <w:r w:rsidRPr="007445B1">
        <w:t xml:space="preserve"> is the responsibility of the Faculty to arrange and record in the appropriate budget line.</w:t>
      </w:r>
    </w:p>
    <w:p w14:paraId="643B10E8" w14:textId="77777777" w:rsidR="003F60CF" w:rsidRDefault="003F60CF" w:rsidP="004A4BE1">
      <w:pPr>
        <w:spacing w:after="0"/>
        <w:jc w:val="both"/>
      </w:pPr>
    </w:p>
    <w:p w14:paraId="52C43721" w14:textId="32EA5E94" w:rsidR="007445B1" w:rsidRPr="007445B1" w:rsidRDefault="007445B1" w:rsidP="004A4BE1">
      <w:pPr>
        <w:spacing w:after="0"/>
        <w:jc w:val="both"/>
      </w:pPr>
      <w:r w:rsidRPr="007445B1">
        <w:t>The process for approval of new venues is as follows:</w:t>
      </w:r>
    </w:p>
    <w:p w14:paraId="4C83C82D" w14:textId="4FAEBE51" w:rsidR="007445B1" w:rsidRPr="007445B1" w:rsidRDefault="007445B1" w:rsidP="004A4BE1">
      <w:pPr>
        <w:numPr>
          <w:ilvl w:val="0"/>
          <w:numId w:val="42"/>
        </w:numPr>
        <w:spacing w:after="0"/>
        <w:jc w:val="both"/>
      </w:pPr>
      <w:r w:rsidRPr="007445B1">
        <w:t>Proposal and documentation completed and submitted to the appropriate Faculty Quality Committee, which is responsible to Faculty Board and Academic Quality Enhancement Committee</w:t>
      </w:r>
      <w:r w:rsidR="00BE6DD8">
        <w:t xml:space="preserve"> (AQEC)</w:t>
      </w:r>
      <w:r w:rsidRPr="007445B1">
        <w:t xml:space="preserve">. </w:t>
      </w:r>
    </w:p>
    <w:p w14:paraId="76A3425B" w14:textId="77777777" w:rsidR="007445B1" w:rsidRPr="007445B1" w:rsidRDefault="007445B1" w:rsidP="004A4BE1">
      <w:pPr>
        <w:numPr>
          <w:ilvl w:val="0"/>
          <w:numId w:val="42"/>
        </w:numPr>
        <w:spacing w:after="0"/>
        <w:jc w:val="both"/>
      </w:pPr>
      <w:r w:rsidRPr="007445B1">
        <w:t xml:space="preserve">An appropriate </w:t>
      </w:r>
      <w:r w:rsidRPr="007445B1">
        <w:rPr>
          <w:b/>
        </w:rPr>
        <w:t>Venue/Room Hire Agreement</w:t>
      </w:r>
      <w:r w:rsidRPr="007445B1">
        <w:t xml:space="preserve"> is completed and signed by the relevant parties.</w:t>
      </w:r>
    </w:p>
    <w:p w14:paraId="70359F5B" w14:textId="32D7F317" w:rsidR="007445B1" w:rsidRPr="007445B1" w:rsidRDefault="007445B1" w:rsidP="004A4BE1">
      <w:pPr>
        <w:numPr>
          <w:ilvl w:val="0"/>
          <w:numId w:val="42"/>
        </w:numPr>
        <w:spacing w:after="0"/>
        <w:jc w:val="both"/>
      </w:pPr>
      <w:r w:rsidRPr="007445B1">
        <w:t xml:space="preserve">Notification should be made to the </w:t>
      </w:r>
      <w:r w:rsidR="009A4875">
        <w:t>GQASC</w:t>
      </w:r>
      <w:r w:rsidRPr="007445B1">
        <w:t xml:space="preserve"> and central category B Register updated.</w:t>
      </w:r>
    </w:p>
    <w:p w14:paraId="542F6177" w14:textId="6A2C183A" w:rsidR="007445B1" w:rsidRDefault="007445B1" w:rsidP="004A4BE1">
      <w:pPr>
        <w:numPr>
          <w:ilvl w:val="0"/>
          <w:numId w:val="42"/>
        </w:numPr>
        <w:spacing w:after="0"/>
        <w:jc w:val="both"/>
      </w:pPr>
      <w:r w:rsidRPr="007445B1">
        <w:t xml:space="preserve">An annual list of all category B venues in approval shall be received by </w:t>
      </w:r>
      <w:r w:rsidR="00BD193A">
        <w:t>APC</w:t>
      </w:r>
      <w:r w:rsidRPr="007445B1">
        <w:rPr>
          <w:vertAlign w:val="superscript"/>
        </w:rPr>
        <w:footnoteReference w:id="30"/>
      </w:r>
      <w:r w:rsidRPr="007445B1">
        <w:t>, which has the responsibility for oversight of academic partnership activity.</w:t>
      </w:r>
    </w:p>
    <w:p w14:paraId="3A6BA4A3" w14:textId="77777777" w:rsidR="007445B1" w:rsidRPr="007445B1" w:rsidRDefault="007445B1" w:rsidP="007445B1">
      <w:pPr>
        <w:spacing w:after="0"/>
        <w:ind w:left="720"/>
      </w:pPr>
    </w:p>
    <w:p w14:paraId="44BDB0FE" w14:textId="4DA012ED" w:rsidR="007445B1" w:rsidRPr="00D3044F" w:rsidRDefault="007445B1" w:rsidP="004A4BE1">
      <w:pPr>
        <w:spacing w:after="0"/>
        <w:jc w:val="both"/>
      </w:pPr>
      <w:r w:rsidRPr="007445B1">
        <w:t xml:space="preserve">Venues are reviewed annually by the Faculty in a process described in </w:t>
      </w:r>
      <w:hyperlink r:id="rId34" w:history="1">
        <w:r w:rsidR="004A4BE1" w:rsidRPr="009D6590">
          <w:rPr>
            <w:rStyle w:val="Hyperlink"/>
          </w:rPr>
          <w:t>Faculty Academic Quality Sta</w:t>
        </w:r>
        <w:r w:rsidR="004A4BE1" w:rsidRPr="009D6590">
          <w:rPr>
            <w:rStyle w:val="Hyperlink"/>
          </w:rPr>
          <w:t>t</w:t>
        </w:r>
        <w:r w:rsidR="004A4BE1" w:rsidRPr="009D6590">
          <w:rPr>
            <w:rStyle w:val="Hyperlink"/>
          </w:rPr>
          <w:t>ements</w:t>
        </w:r>
        <w:r w:rsidRPr="009D6590">
          <w:rPr>
            <w:rStyle w:val="Hyperlink"/>
          </w:rPr>
          <w:t>.</w:t>
        </w:r>
      </w:hyperlink>
      <w:r w:rsidRPr="007445B1">
        <w:t xml:space="preserve"> This normally includes reviewing the currency of the information in the Academic Partnership Venue Proposal form, along with the health and safety assessment. A revised copy of the public liability insurance should be received for the record.</w:t>
      </w:r>
      <w:r w:rsidR="004A4BE1">
        <w:t xml:space="preserve"> </w:t>
      </w:r>
      <w:r w:rsidRPr="007445B1">
        <w:t>Faculties may determine an appropriate process to close or terminate their use of a venue, however most venues operate on a rolling annual approval.</w:t>
      </w:r>
    </w:p>
    <w:p w14:paraId="7A168E74" w14:textId="77777777" w:rsidR="004A4BE1" w:rsidRDefault="004A4BE1" w:rsidP="00274A33">
      <w:pPr>
        <w:contextualSpacing/>
      </w:pPr>
    </w:p>
    <w:p w14:paraId="3B32E7FE" w14:textId="37A96F10" w:rsidR="00274A33" w:rsidRDefault="00274A33" w:rsidP="004A4BE1">
      <w:pPr>
        <w:jc w:val="both"/>
      </w:pPr>
      <w:r w:rsidRPr="00D3044F">
        <w:t>All learning venues must have been approved prior to the start of a programme or module’s delivery.</w:t>
      </w:r>
      <w:r w:rsidR="007445B1">
        <w:t xml:space="preserve"> </w:t>
      </w:r>
      <w:r w:rsidR="00CC16BB">
        <w:t>As detailed in Table 4 below, v</w:t>
      </w:r>
      <w:r w:rsidRPr="00D3044F">
        <w:t xml:space="preserve">enues are approved on a rolling annual basis and therefore </w:t>
      </w:r>
      <w:r>
        <w:t>do not require any formal closure process</w:t>
      </w:r>
      <w:r w:rsidRPr="00D3044F">
        <w:t>.</w:t>
      </w:r>
    </w:p>
    <w:p w14:paraId="7E4F648A" w14:textId="2587311C" w:rsidR="00CC16BB" w:rsidRPr="00EF1EED" w:rsidRDefault="00CC16BB" w:rsidP="00EF42CE">
      <w:pPr>
        <w:pStyle w:val="Heading3"/>
        <w:spacing w:after="120"/>
        <w:rPr>
          <w:sz w:val="20"/>
          <w:szCs w:val="20"/>
        </w:rPr>
      </w:pPr>
      <w:bookmarkStart w:id="40" w:name="_Toc183094958"/>
      <w:r w:rsidRPr="00EF42CE">
        <w:rPr>
          <w:sz w:val="20"/>
          <w:szCs w:val="20"/>
        </w:rPr>
        <w:t>Table</w:t>
      </w:r>
      <w:r w:rsidR="00EF42CE">
        <w:rPr>
          <w:sz w:val="20"/>
          <w:szCs w:val="20"/>
        </w:rPr>
        <w:t xml:space="preserve"> 4</w:t>
      </w:r>
      <w:r w:rsidRPr="00EF42CE">
        <w:rPr>
          <w:sz w:val="20"/>
          <w:szCs w:val="20"/>
        </w:rPr>
        <w:t xml:space="preserve">: Partner </w:t>
      </w:r>
      <w:r w:rsidRPr="00EF1EED">
        <w:rPr>
          <w:sz w:val="20"/>
          <w:szCs w:val="20"/>
        </w:rPr>
        <w:t>approval periods for category B arrangements</w:t>
      </w:r>
      <w:bookmarkEnd w:id="40"/>
    </w:p>
    <w:tbl>
      <w:tblPr>
        <w:tblStyle w:val="TableGrid"/>
        <w:tblW w:w="0" w:type="auto"/>
        <w:tblLook w:val="04A0" w:firstRow="1" w:lastRow="0" w:firstColumn="1" w:lastColumn="0" w:noHBand="0" w:noVBand="1"/>
      </w:tblPr>
      <w:tblGrid>
        <w:gridCol w:w="421"/>
        <w:gridCol w:w="1701"/>
        <w:gridCol w:w="1134"/>
        <w:gridCol w:w="3543"/>
        <w:gridCol w:w="2217"/>
      </w:tblGrid>
      <w:tr w:rsidR="00CC16BB" w:rsidRPr="00E5308E" w14:paraId="7B6B3E9E" w14:textId="77777777" w:rsidTr="009A4875">
        <w:trPr>
          <w:tblHeader/>
        </w:trPr>
        <w:tc>
          <w:tcPr>
            <w:tcW w:w="421" w:type="dxa"/>
            <w:tcBorders>
              <w:top w:val="single" w:sz="4" w:space="0" w:color="auto"/>
              <w:left w:val="single" w:sz="4" w:space="0" w:color="auto"/>
              <w:bottom w:val="single" w:sz="4" w:space="0" w:color="auto"/>
              <w:right w:val="single" w:sz="4" w:space="0" w:color="auto"/>
            </w:tcBorders>
          </w:tcPr>
          <w:p w14:paraId="46D0ECE8" w14:textId="77777777" w:rsidR="00CC16BB" w:rsidRPr="00E5308E" w:rsidRDefault="00CC16BB" w:rsidP="009A4875">
            <w:pPr>
              <w:rPr>
                <w:b/>
                <w:szCs w:val="24"/>
              </w:rPr>
            </w:pPr>
          </w:p>
        </w:tc>
        <w:tc>
          <w:tcPr>
            <w:tcW w:w="1701" w:type="dxa"/>
            <w:tcBorders>
              <w:top w:val="single" w:sz="4" w:space="0" w:color="auto"/>
              <w:left w:val="single" w:sz="4" w:space="0" w:color="auto"/>
              <w:bottom w:val="single" w:sz="4" w:space="0" w:color="auto"/>
              <w:right w:val="single" w:sz="4" w:space="0" w:color="auto"/>
            </w:tcBorders>
          </w:tcPr>
          <w:p w14:paraId="581D53FA" w14:textId="77777777" w:rsidR="00CC16BB" w:rsidRPr="00E5308E" w:rsidRDefault="00CC16BB" w:rsidP="009A4875">
            <w:pPr>
              <w:rPr>
                <w:b/>
                <w:szCs w:val="24"/>
              </w:rPr>
            </w:pPr>
            <w:r w:rsidRPr="00E5308E">
              <w:rPr>
                <w:b/>
                <w:szCs w:val="24"/>
              </w:rPr>
              <w:t>Category</w:t>
            </w:r>
          </w:p>
        </w:tc>
        <w:tc>
          <w:tcPr>
            <w:tcW w:w="1134" w:type="dxa"/>
            <w:tcBorders>
              <w:top w:val="single" w:sz="4" w:space="0" w:color="auto"/>
              <w:left w:val="single" w:sz="4" w:space="0" w:color="auto"/>
              <w:bottom w:val="single" w:sz="4" w:space="0" w:color="auto"/>
              <w:right w:val="single" w:sz="4" w:space="0" w:color="auto"/>
            </w:tcBorders>
          </w:tcPr>
          <w:p w14:paraId="782B7389" w14:textId="77777777" w:rsidR="00CC16BB" w:rsidRPr="00E5308E" w:rsidRDefault="00CC16BB" w:rsidP="009A4875">
            <w:pPr>
              <w:rPr>
                <w:b/>
                <w:szCs w:val="24"/>
              </w:rPr>
            </w:pPr>
            <w:r w:rsidRPr="00E5308E">
              <w:rPr>
                <w:b/>
                <w:szCs w:val="24"/>
              </w:rPr>
              <w:t>Sub-category</w:t>
            </w:r>
          </w:p>
        </w:tc>
        <w:tc>
          <w:tcPr>
            <w:tcW w:w="3543" w:type="dxa"/>
            <w:tcBorders>
              <w:top w:val="single" w:sz="4" w:space="0" w:color="auto"/>
              <w:left w:val="single" w:sz="4" w:space="0" w:color="auto"/>
              <w:bottom w:val="single" w:sz="4" w:space="0" w:color="auto"/>
              <w:right w:val="single" w:sz="4" w:space="0" w:color="auto"/>
            </w:tcBorders>
          </w:tcPr>
          <w:p w14:paraId="35FC472E" w14:textId="77777777" w:rsidR="00CC16BB" w:rsidRPr="00E5308E" w:rsidRDefault="00CC16BB" w:rsidP="009A4875">
            <w:pPr>
              <w:rPr>
                <w:b/>
                <w:szCs w:val="24"/>
              </w:rPr>
            </w:pPr>
          </w:p>
        </w:tc>
        <w:tc>
          <w:tcPr>
            <w:tcW w:w="2217" w:type="dxa"/>
            <w:tcBorders>
              <w:top w:val="single" w:sz="4" w:space="0" w:color="auto"/>
              <w:left w:val="single" w:sz="4" w:space="0" w:color="auto"/>
              <w:bottom w:val="single" w:sz="4" w:space="0" w:color="auto"/>
              <w:right w:val="single" w:sz="4" w:space="0" w:color="auto"/>
            </w:tcBorders>
          </w:tcPr>
          <w:p w14:paraId="2A4385A8" w14:textId="77777777" w:rsidR="00CC16BB" w:rsidRPr="00E5308E" w:rsidRDefault="00CC16BB" w:rsidP="009A4875">
            <w:pPr>
              <w:rPr>
                <w:b/>
                <w:szCs w:val="24"/>
              </w:rPr>
            </w:pPr>
            <w:r w:rsidRPr="00E5308E">
              <w:rPr>
                <w:b/>
                <w:szCs w:val="24"/>
              </w:rPr>
              <w:t>Period of Partner Approval</w:t>
            </w:r>
          </w:p>
        </w:tc>
      </w:tr>
      <w:tr w:rsidR="00CC16BB" w:rsidRPr="00E5308E" w14:paraId="4BDEB057" w14:textId="77777777" w:rsidTr="00EF1EED">
        <w:trPr>
          <w:trHeight w:val="497"/>
          <w:tblHeader/>
        </w:trPr>
        <w:tc>
          <w:tcPr>
            <w:tcW w:w="421" w:type="dxa"/>
            <w:tcBorders>
              <w:top w:val="single" w:sz="4" w:space="0" w:color="auto"/>
              <w:left w:val="single" w:sz="4" w:space="0" w:color="auto"/>
              <w:bottom w:val="nil"/>
              <w:right w:val="single" w:sz="4" w:space="0" w:color="auto"/>
            </w:tcBorders>
          </w:tcPr>
          <w:p w14:paraId="5C4E2344" w14:textId="77777777" w:rsidR="00CC16BB" w:rsidRPr="00E5308E" w:rsidRDefault="00CC16BB" w:rsidP="009A4875">
            <w:pPr>
              <w:rPr>
                <w:b/>
                <w:szCs w:val="24"/>
              </w:rPr>
            </w:pPr>
            <w:r w:rsidRPr="00E5308E">
              <w:rPr>
                <w:b/>
                <w:szCs w:val="24"/>
              </w:rPr>
              <w:t>B</w:t>
            </w:r>
          </w:p>
        </w:tc>
        <w:tc>
          <w:tcPr>
            <w:tcW w:w="1701" w:type="dxa"/>
            <w:vMerge w:val="restart"/>
            <w:tcBorders>
              <w:top w:val="single" w:sz="4" w:space="0" w:color="auto"/>
              <w:left w:val="single" w:sz="4" w:space="0" w:color="auto"/>
              <w:right w:val="single" w:sz="4" w:space="0" w:color="auto"/>
            </w:tcBorders>
          </w:tcPr>
          <w:p w14:paraId="3CABC8E3" w14:textId="77777777" w:rsidR="00CC16BB" w:rsidRPr="00E5308E" w:rsidRDefault="00CC16BB" w:rsidP="009A4875">
            <w:pPr>
              <w:rPr>
                <w:b/>
                <w:szCs w:val="24"/>
              </w:rPr>
            </w:pPr>
            <w:r w:rsidRPr="00E5308E">
              <w:rPr>
                <w:b/>
                <w:szCs w:val="24"/>
              </w:rPr>
              <w:t>Outreach Learning Venue</w:t>
            </w:r>
          </w:p>
        </w:tc>
        <w:tc>
          <w:tcPr>
            <w:tcW w:w="1134" w:type="dxa"/>
            <w:tcBorders>
              <w:top w:val="single" w:sz="4" w:space="0" w:color="auto"/>
              <w:left w:val="single" w:sz="4" w:space="0" w:color="auto"/>
              <w:bottom w:val="single" w:sz="4" w:space="0" w:color="auto"/>
              <w:right w:val="single" w:sz="4" w:space="0" w:color="auto"/>
            </w:tcBorders>
          </w:tcPr>
          <w:p w14:paraId="2546767F" w14:textId="77777777" w:rsidR="00CC16BB" w:rsidRPr="00E5308E" w:rsidRDefault="00CC16BB" w:rsidP="009A4875">
            <w:pPr>
              <w:rPr>
                <w:szCs w:val="24"/>
              </w:rPr>
            </w:pPr>
            <w:r w:rsidRPr="00E5308E">
              <w:rPr>
                <w:szCs w:val="24"/>
              </w:rPr>
              <w:t>B1</w:t>
            </w:r>
          </w:p>
        </w:tc>
        <w:tc>
          <w:tcPr>
            <w:tcW w:w="3543" w:type="dxa"/>
            <w:tcBorders>
              <w:top w:val="single" w:sz="4" w:space="0" w:color="auto"/>
              <w:left w:val="single" w:sz="4" w:space="0" w:color="auto"/>
              <w:bottom w:val="single" w:sz="4" w:space="0" w:color="auto"/>
              <w:right w:val="single" w:sz="4" w:space="0" w:color="auto"/>
            </w:tcBorders>
          </w:tcPr>
          <w:p w14:paraId="1B3CAB4C" w14:textId="77777777" w:rsidR="00CC16BB" w:rsidRPr="00E5308E" w:rsidRDefault="00CC16BB" w:rsidP="009A4875">
            <w:pPr>
              <w:rPr>
                <w:szCs w:val="24"/>
              </w:rPr>
            </w:pPr>
            <w:r w:rsidRPr="00E5308E">
              <w:rPr>
                <w:szCs w:val="24"/>
              </w:rPr>
              <w:t>Outreach Learning Venues (UK)</w:t>
            </w:r>
          </w:p>
        </w:tc>
        <w:tc>
          <w:tcPr>
            <w:tcW w:w="2217" w:type="dxa"/>
            <w:tcBorders>
              <w:top w:val="single" w:sz="4" w:space="0" w:color="auto"/>
              <w:left w:val="single" w:sz="4" w:space="0" w:color="auto"/>
              <w:bottom w:val="single" w:sz="4" w:space="0" w:color="auto"/>
              <w:right w:val="single" w:sz="4" w:space="0" w:color="auto"/>
            </w:tcBorders>
          </w:tcPr>
          <w:p w14:paraId="01844F31" w14:textId="77777777" w:rsidR="00CC16BB" w:rsidRPr="00E5308E" w:rsidRDefault="00CC16BB" w:rsidP="009A4875">
            <w:pPr>
              <w:jc w:val="center"/>
              <w:rPr>
                <w:szCs w:val="24"/>
              </w:rPr>
            </w:pPr>
            <w:r w:rsidRPr="00E5308E">
              <w:rPr>
                <w:szCs w:val="24"/>
              </w:rPr>
              <w:t>1 year</w:t>
            </w:r>
          </w:p>
        </w:tc>
      </w:tr>
      <w:tr w:rsidR="00CC16BB" w:rsidRPr="00E5308E" w14:paraId="071D67E9" w14:textId="77777777" w:rsidTr="009A4875">
        <w:trPr>
          <w:trHeight w:val="336"/>
          <w:tblHeader/>
        </w:trPr>
        <w:tc>
          <w:tcPr>
            <w:tcW w:w="421" w:type="dxa"/>
            <w:tcBorders>
              <w:top w:val="nil"/>
              <w:left w:val="single" w:sz="4" w:space="0" w:color="auto"/>
              <w:bottom w:val="nil"/>
              <w:right w:val="single" w:sz="4" w:space="0" w:color="auto"/>
            </w:tcBorders>
          </w:tcPr>
          <w:p w14:paraId="391FD385" w14:textId="77777777" w:rsidR="00CC16BB" w:rsidRPr="00E5308E" w:rsidRDefault="00CC16BB" w:rsidP="009A4875">
            <w:pPr>
              <w:rPr>
                <w:b/>
                <w:szCs w:val="24"/>
              </w:rPr>
            </w:pPr>
          </w:p>
        </w:tc>
        <w:tc>
          <w:tcPr>
            <w:tcW w:w="1701" w:type="dxa"/>
            <w:vMerge/>
            <w:tcBorders>
              <w:left w:val="single" w:sz="4" w:space="0" w:color="auto"/>
              <w:right w:val="single" w:sz="4" w:space="0" w:color="auto"/>
            </w:tcBorders>
          </w:tcPr>
          <w:p w14:paraId="1502796C" w14:textId="77777777" w:rsidR="00CC16BB" w:rsidRPr="00E5308E" w:rsidRDefault="00CC16BB" w:rsidP="009A4875">
            <w:pPr>
              <w:rPr>
                <w:b/>
                <w:szCs w:val="24"/>
              </w:rPr>
            </w:pPr>
          </w:p>
        </w:tc>
        <w:tc>
          <w:tcPr>
            <w:tcW w:w="1134" w:type="dxa"/>
            <w:tcBorders>
              <w:top w:val="single" w:sz="4" w:space="0" w:color="auto"/>
              <w:left w:val="single" w:sz="4" w:space="0" w:color="auto"/>
              <w:bottom w:val="single" w:sz="4" w:space="0" w:color="auto"/>
              <w:right w:val="single" w:sz="4" w:space="0" w:color="auto"/>
            </w:tcBorders>
          </w:tcPr>
          <w:p w14:paraId="1AF8F17D" w14:textId="77777777" w:rsidR="00CC16BB" w:rsidRPr="00E5308E" w:rsidRDefault="00CC16BB" w:rsidP="009A4875">
            <w:pPr>
              <w:rPr>
                <w:szCs w:val="24"/>
              </w:rPr>
            </w:pPr>
            <w:r w:rsidRPr="00E5308E">
              <w:rPr>
                <w:szCs w:val="24"/>
              </w:rPr>
              <w:t>B2</w:t>
            </w:r>
          </w:p>
        </w:tc>
        <w:tc>
          <w:tcPr>
            <w:tcW w:w="3543" w:type="dxa"/>
            <w:tcBorders>
              <w:top w:val="single" w:sz="4" w:space="0" w:color="auto"/>
              <w:left w:val="single" w:sz="4" w:space="0" w:color="auto"/>
              <w:bottom w:val="single" w:sz="4" w:space="0" w:color="auto"/>
              <w:right w:val="single" w:sz="4" w:space="0" w:color="auto"/>
            </w:tcBorders>
          </w:tcPr>
          <w:p w14:paraId="5B55064D" w14:textId="77777777" w:rsidR="00CC16BB" w:rsidRPr="00E5308E" w:rsidRDefault="00CC16BB" w:rsidP="009A4875">
            <w:pPr>
              <w:rPr>
                <w:szCs w:val="24"/>
              </w:rPr>
            </w:pPr>
            <w:r w:rsidRPr="00E5308E">
              <w:rPr>
                <w:szCs w:val="24"/>
              </w:rPr>
              <w:t>School-Centred Initial Teacher Training (SCITT) venues</w:t>
            </w:r>
          </w:p>
        </w:tc>
        <w:tc>
          <w:tcPr>
            <w:tcW w:w="2217" w:type="dxa"/>
            <w:tcBorders>
              <w:top w:val="single" w:sz="4" w:space="0" w:color="auto"/>
              <w:left w:val="single" w:sz="4" w:space="0" w:color="auto"/>
              <w:bottom w:val="single" w:sz="4" w:space="0" w:color="auto"/>
              <w:right w:val="single" w:sz="4" w:space="0" w:color="auto"/>
            </w:tcBorders>
          </w:tcPr>
          <w:p w14:paraId="67DF9329" w14:textId="77777777" w:rsidR="00CC16BB" w:rsidRPr="00E5308E" w:rsidRDefault="00CC16BB" w:rsidP="009A4875">
            <w:pPr>
              <w:jc w:val="center"/>
              <w:rPr>
                <w:szCs w:val="24"/>
              </w:rPr>
            </w:pPr>
            <w:r w:rsidRPr="00E5308E">
              <w:rPr>
                <w:szCs w:val="24"/>
              </w:rPr>
              <w:t>1 year</w:t>
            </w:r>
          </w:p>
        </w:tc>
      </w:tr>
      <w:tr w:rsidR="00CC16BB" w:rsidRPr="00E5308E" w14:paraId="5C607C15" w14:textId="77777777" w:rsidTr="009A4875">
        <w:trPr>
          <w:trHeight w:val="252"/>
          <w:tblHeader/>
        </w:trPr>
        <w:tc>
          <w:tcPr>
            <w:tcW w:w="421" w:type="dxa"/>
            <w:tcBorders>
              <w:top w:val="nil"/>
              <w:left w:val="single" w:sz="4" w:space="0" w:color="auto"/>
              <w:bottom w:val="single" w:sz="4" w:space="0" w:color="auto"/>
              <w:right w:val="single" w:sz="4" w:space="0" w:color="auto"/>
            </w:tcBorders>
          </w:tcPr>
          <w:p w14:paraId="0E280B39" w14:textId="77777777" w:rsidR="00CC16BB" w:rsidRPr="00E5308E" w:rsidRDefault="00CC16BB" w:rsidP="009A4875">
            <w:pPr>
              <w:rPr>
                <w:b/>
                <w:szCs w:val="24"/>
              </w:rPr>
            </w:pPr>
          </w:p>
        </w:tc>
        <w:tc>
          <w:tcPr>
            <w:tcW w:w="1701" w:type="dxa"/>
            <w:vMerge/>
            <w:tcBorders>
              <w:left w:val="single" w:sz="4" w:space="0" w:color="auto"/>
              <w:bottom w:val="single" w:sz="4" w:space="0" w:color="auto"/>
              <w:right w:val="single" w:sz="4" w:space="0" w:color="auto"/>
            </w:tcBorders>
          </w:tcPr>
          <w:p w14:paraId="31433850" w14:textId="77777777" w:rsidR="00CC16BB" w:rsidRPr="00E5308E" w:rsidRDefault="00CC16BB" w:rsidP="009A4875">
            <w:pPr>
              <w:rPr>
                <w:b/>
                <w:szCs w:val="24"/>
              </w:rPr>
            </w:pPr>
          </w:p>
        </w:tc>
        <w:tc>
          <w:tcPr>
            <w:tcW w:w="1134" w:type="dxa"/>
            <w:tcBorders>
              <w:top w:val="single" w:sz="4" w:space="0" w:color="auto"/>
              <w:left w:val="single" w:sz="4" w:space="0" w:color="auto"/>
              <w:bottom w:val="single" w:sz="4" w:space="0" w:color="auto"/>
              <w:right w:val="single" w:sz="4" w:space="0" w:color="auto"/>
            </w:tcBorders>
          </w:tcPr>
          <w:p w14:paraId="7AD42E26" w14:textId="77777777" w:rsidR="00CC16BB" w:rsidRPr="00E5308E" w:rsidRDefault="00CC16BB" w:rsidP="009A4875">
            <w:pPr>
              <w:rPr>
                <w:szCs w:val="24"/>
              </w:rPr>
            </w:pPr>
            <w:r w:rsidRPr="00E5308E">
              <w:rPr>
                <w:szCs w:val="24"/>
              </w:rPr>
              <w:t>B3</w:t>
            </w:r>
          </w:p>
        </w:tc>
        <w:tc>
          <w:tcPr>
            <w:tcW w:w="3543" w:type="dxa"/>
            <w:tcBorders>
              <w:top w:val="single" w:sz="4" w:space="0" w:color="auto"/>
              <w:left w:val="single" w:sz="4" w:space="0" w:color="auto"/>
              <w:bottom w:val="single" w:sz="4" w:space="0" w:color="auto"/>
              <w:right w:val="single" w:sz="4" w:space="0" w:color="auto"/>
            </w:tcBorders>
          </w:tcPr>
          <w:p w14:paraId="38FB66E2" w14:textId="77777777" w:rsidR="00CC16BB" w:rsidRPr="00E5308E" w:rsidRDefault="00CC16BB" w:rsidP="009A4875">
            <w:pPr>
              <w:rPr>
                <w:szCs w:val="24"/>
              </w:rPr>
            </w:pPr>
            <w:r w:rsidRPr="00E5308E">
              <w:rPr>
                <w:szCs w:val="24"/>
              </w:rPr>
              <w:t>Outreach Learning Venues (Overseas)</w:t>
            </w:r>
          </w:p>
        </w:tc>
        <w:tc>
          <w:tcPr>
            <w:tcW w:w="2217" w:type="dxa"/>
            <w:tcBorders>
              <w:top w:val="single" w:sz="4" w:space="0" w:color="auto"/>
              <w:left w:val="single" w:sz="4" w:space="0" w:color="auto"/>
              <w:bottom w:val="single" w:sz="4" w:space="0" w:color="auto"/>
              <w:right w:val="single" w:sz="4" w:space="0" w:color="auto"/>
            </w:tcBorders>
          </w:tcPr>
          <w:p w14:paraId="1FA6C857" w14:textId="77777777" w:rsidR="00CC16BB" w:rsidRPr="00E5308E" w:rsidRDefault="00CC16BB" w:rsidP="009A4875">
            <w:pPr>
              <w:jc w:val="center"/>
              <w:rPr>
                <w:szCs w:val="24"/>
              </w:rPr>
            </w:pPr>
            <w:r w:rsidRPr="00E5308E">
              <w:rPr>
                <w:szCs w:val="24"/>
              </w:rPr>
              <w:t>1 year</w:t>
            </w:r>
          </w:p>
        </w:tc>
      </w:tr>
    </w:tbl>
    <w:p w14:paraId="64A08D08" w14:textId="77777777" w:rsidR="00CC16BB" w:rsidRDefault="00CC16BB" w:rsidP="00274A33"/>
    <w:p w14:paraId="2AFACC6C" w14:textId="77777777" w:rsidR="00274A33" w:rsidRPr="00D3044F" w:rsidRDefault="00274A33" w:rsidP="00274A33">
      <w:pPr>
        <w:pStyle w:val="Heading3"/>
      </w:pPr>
      <w:bookmarkStart w:id="41" w:name="_Toc183094959"/>
      <w:r w:rsidRPr="00D3044F">
        <w:t>Review</w:t>
      </w:r>
      <w:r>
        <w:t xml:space="preserve"> processes</w:t>
      </w:r>
      <w:bookmarkEnd w:id="41"/>
    </w:p>
    <w:p w14:paraId="7C027628" w14:textId="16FAC87F" w:rsidR="00277819" w:rsidRPr="00D3044F" w:rsidRDefault="00274A33" w:rsidP="00AF1D09">
      <w:pPr>
        <w:jc w:val="both"/>
      </w:pPr>
      <w:r w:rsidRPr="00D3044F">
        <w:t>A list of the venues used within an academic year is part of the evidence base considered at Departmental Annual Monitoring</w:t>
      </w:r>
      <w:r w:rsidRPr="00D3044F">
        <w:rPr>
          <w:rStyle w:val="FootnoteReference"/>
        </w:rPr>
        <w:footnoteReference w:id="31"/>
      </w:r>
      <w:r w:rsidRPr="00D3044F">
        <w:t xml:space="preserve">. Venues are also subject to review and re-approval </w:t>
      </w:r>
      <w:r w:rsidR="00277819">
        <w:t>as noted above and these</w:t>
      </w:r>
      <w:r w:rsidRPr="00D3044F">
        <w:t xml:space="preserve"> processes </w:t>
      </w:r>
      <w:r w:rsidR="00277819">
        <w:t xml:space="preserve">are </w:t>
      </w:r>
      <w:r w:rsidRPr="00D3044F">
        <w:t xml:space="preserve">described in </w:t>
      </w:r>
      <w:hyperlink r:id="rId35" w:history="1">
        <w:r w:rsidR="004A4BE1" w:rsidRPr="009D6590">
          <w:rPr>
            <w:rStyle w:val="Hyperlink"/>
          </w:rPr>
          <w:t>Faculty Academic Quality Statements</w:t>
        </w:r>
        <w:r w:rsidRPr="009D6590">
          <w:rPr>
            <w:rStyle w:val="Hyperlink"/>
          </w:rPr>
          <w:t>.</w:t>
        </w:r>
      </w:hyperlink>
    </w:p>
    <w:p w14:paraId="32624555" w14:textId="11784F45" w:rsidR="00865723" w:rsidRDefault="00024F7A" w:rsidP="00865723">
      <w:pPr>
        <w:pStyle w:val="Heading1"/>
      </w:pPr>
      <w:bookmarkStart w:id="42" w:name="_Toc183094960"/>
      <w:r>
        <w:lastRenderedPageBreak/>
        <w:t>DEFINITIONS OF CATEGORY C+ PARTNERSHIPS</w:t>
      </w:r>
      <w:bookmarkEnd w:id="42"/>
    </w:p>
    <w:p w14:paraId="7F0AA9E3" w14:textId="25F6E018" w:rsidR="00865723" w:rsidRDefault="00865723" w:rsidP="004A4BE1">
      <w:pPr>
        <w:spacing w:after="280"/>
        <w:jc w:val="both"/>
      </w:pPr>
      <w:r>
        <w:t xml:space="preserve">As the level of risk and business opportunity varies across the taxonomy of partnerships, different processes are in place for different categories and sub-categories of academic partnerships. This is to ensure they are proportionate to the potential opportunity for Edge Hill University whilst ensuring they are robust for partnerships which present a greater academic or business risk. The following sections provide additional information on the nuanced processes for the different partnership categories above the standard processes described in the earlier sections. More information on the approval processes and paperwork specifically can be found in the </w:t>
      </w:r>
      <w:hyperlink r:id="rId36" w:history="1">
        <w:r w:rsidR="004A4BE1" w:rsidRPr="00001D1D">
          <w:rPr>
            <w:rStyle w:val="Hyperlink"/>
          </w:rPr>
          <w:t>Guide to Academic Partnership Approvals</w:t>
        </w:r>
      </w:hyperlink>
      <w:r w:rsidR="004A4BE1">
        <w:t>.</w:t>
      </w:r>
    </w:p>
    <w:p w14:paraId="2B471340" w14:textId="25354384" w:rsidR="00865723" w:rsidRPr="007A1861" w:rsidRDefault="00865723" w:rsidP="007A1861">
      <w:pPr>
        <w:pStyle w:val="Heading2"/>
      </w:pPr>
      <w:bookmarkStart w:id="43" w:name="_bookmark21"/>
      <w:bookmarkStart w:id="44" w:name="_Toc183094961"/>
      <w:bookmarkEnd w:id="43"/>
      <w:r w:rsidRPr="007A1861">
        <w:t>Category C partnership</w:t>
      </w:r>
      <w:r w:rsidR="007A1861" w:rsidRPr="00EF1EED">
        <w:t>s</w:t>
      </w:r>
      <w:bookmarkEnd w:id="44"/>
    </w:p>
    <w:tbl>
      <w:tblPr>
        <w:tblStyle w:val="TableGrid"/>
        <w:tblW w:w="0" w:type="auto"/>
        <w:tblLook w:val="04A0" w:firstRow="1" w:lastRow="0" w:firstColumn="1" w:lastColumn="0" w:noHBand="0" w:noVBand="1"/>
      </w:tblPr>
      <w:tblGrid>
        <w:gridCol w:w="562"/>
        <w:gridCol w:w="2127"/>
        <w:gridCol w:w="708"/>
        <w:gridCol w:w="5619"/>
      </w:tblGrid>
      <w:tr w:rsidR="00E51A55" w:rsidRPr="00D3044F" w14:paraId="2CBE912D" w14:textId="77777777" w:rsidTr="00850D42">
        <w:trPr>
          <w:trHeight w:val="437"/>
          <w:tblHeader/>
        </w:trPr>
        <w:tc>
          <w:tcPr>
            <w:tcW w:w="562" w:type="dxa"/>
            <w:tcBorders>
              <w:bottom w:val="nil"/>
            </w:tcBorders>
          </w:tcPr>
          <w:p w14:paraId="60BA37F1" w14:textId="77777777" w:rsidR="00E51A55" w:rsidRPr="00D3044F" w:rsidRDefault="00E51A55" w:rsidP="009A4875">
            <w:r w:rsidRPr="00D3044F">
              <w:t>C</w:t>
            </w:r>
          </w:p>
        </w:tc>
        <w:tc>
          <w:tcPr>
            <w:tcW w:w="2127" w:type="dxa"/>
            <w:vMerge w:val="restart"/>
          </w:tcPr>
          <w:p w14:paraId="63011382" w14:textId="77777777" w:rsidR="00E51A55" w:rsidRPr="00D3044F" w:rsidRDefault="00E51A55" w:rsidP="009A4875">
            <w:r w:rsidRPr="00D3044F">
              <w:t>Outreach Supported Learning Centres</w:t>
            </w:r>
          </w:p>
        </w:tc>
        <w:tc>
          <w:tcPr>
            <w:tcW w:w="708" w:type="dxa"/>
          </w:tcPr>
          <w:p w14:paraId="3B563ED7" w14:textId="77777777" w:rsidR="00E51A55" w:rsidRPr="00D3044F" w:rsidRDefault="00E51A55" w:rsidP="009A4875">
            <w:r w:rsidRPr="00D3044F">
              <w:t>C1</w:t>
            </w:r>
          </w:p>
        </w:tc>
        <w:tc>
          <w:tcPr>
            <w:tcW w:w="5619" w:type="dxa"/>
          </w:tcPr>
          <w:p w14:paraId="76B5850F" w14:textId="77777777" w:rsidR="00E51A55" w:rsidRPr="00D3044F" w:rsidRDefault="00E51A55" w:rsidP="009A4875">
            <w:r w:rsidRPr="00D3044F">
              <w:t>Outreach Supported Learning Centres: Education providers (UK)</w:t>
            </w:r>
          </w:p>
        </w:tc>
      </w:tr>
      <w:tr w:rsidR="00E51A55" w:rsidRPr="00D3044F" w14:paraId="7C9206B1" w14:textId="77777777" w:rsidTr="00850D42">
        <w:trPr>
          <w:tblHeader/>
        </w:trPr>
        <w:tc>
          <w:tcPr>
            <w:tcW w:w="562" w:type="dxa"/>
            <w:tcBorders>
              <w:top w:val="nil"/>
              <w:bottom w:val="nil"/>
            </w:tcBorders>
          </w:tcPr>
          <w:p w14:paraId="25D44796" w14:textId="77777777" w:rsidR="00E51A55" w:rsidRPr="00D3044F" w:rsidRDefault="00E51A55" w:rsidP="009A4875"/>
        </w:tc>
        <w:tc>
          <w:tcPr>
            <w:tcW w:w="2127" w:type="dxa"/>
            <w:vMerge/>
          </w:tcPr>
          <w:p w14:paraId="5BCB0FF8" w14:textId="77777777" w:rsidR="00E51A55" w:rsidRPr="00D3044F" w:rsidRDefault="00E51A55" w:rsidP="009A4875"/>
        </w:tc>
        <w:tc>
          <w:tcPr>
            <w:tcW w:w="708" w:type="dxa"/>
          </w:tcPr>
          <w:p w14:paraId="18308C11" w14:textId="77777777" w:rsidR="00E51A55" w:rsidRPr="00D3044F" w:rsidRDefault="00E51A55" w:rsidP="009A4875">
            <w:r w:rsidRPr="00D3044F">
              <w:t>C2</w:t>
            </w:r>
          </w:p>
        </w:tc>
        <w:tc>
          <w:tcPr>
            <w:tcW w:w="5619" w:type="dxa"/>
          </w:tcPr>
          <w:p w14:paraId="197A1C07" w14:textId="77777777" w:rsidR="00E51A55" w:rsidRPr="00D3044F" w:rsidRDefault="00E51A55" w:rsidP="009A4875">
            <w:r w:rsidRPr="00D3044F">
              <w:t>Outreach Supported Learning Centres: Non-education providers (UK)</w:t>
            </w:r>
          </w:p>
        </w:tc>
      </w:tr>
      <w:tr w:rsidR="00E51A55" w:rsidRPr="00D3044F" w14:paraId="3EFACCBB" w14:textId="77777777" w:rsidTr="00850D42">
        <w:trPr>
          <w:trHeight w:val="441"/>
          <w:tblHeader/>
        </w:trPr>
        <w:tc>
          <w:tcPr>
            <w:tcW w:w="562" w:type="dxa"/>
            <w:tcBorders>
              <w:top w:val="nil"/>
            </w:tcBorders>
          </w:tcPr>
          <w:p w14:paraId="09179F74" w14:textId="77777777" w:rsidR="00E51A55" w:rsidRPr="00D3044F" w:rsidRDefault="00E51A55" w:rsidP="009A4875"/>
        </w:tc>
        <w:tc>
          <w:tcPr>
            <w:tcW w:w="2127" w:type="dxa"/>
            <w:vMerge/>
          </w:tcPr>
          <w:p w14:paraId="6A4CCF06" w14:textId="77777777" w:rsidR="00E51A55" w:rsidRPr="00D3044F" w:rsidRDefault="00E51A55" w:rsidP="009A4875"/>
        </w:tc>
        <w:tc>
          <w:tcPr>
            <w:tcW w:w="708" w:type="dxa"/>
          </w:tcPr>
          <w:p w14:paraId="1FAF07A0" w14:textId="77777777" w:rsidR="00E51A55" w:rsidRPr="00D3044F" w:rsidRDefault="00E51A55" w:rsidP="009A4875">
            <w:r w:rsidRPr="00D3044F">
              <w:t>C3</w:t>
            </w:r>
          </w:p>
        </w:tc>
        <w:tc>
          <w:tcPr>
            <w:tcW w:w="5619" w:type="dxa"/>
          </w:tcPr>
          <w:p w14:paraId="18C454ED" w14:textId="77777777" w:rsidR="00E51A55" w:rsidRPr="00D3044F" w:rsidRDefault="00E51A55" w:rsidP="009A4875">
            <w:r w:rsidRPr="00D3044F">
              <w:t>Outreach Supported Learning Centres (Overseas)</w:t>
            </w:r>
          </w:p>
        </w:tc>
      </w:tr>
    </w:tbl>
    <w:p w14:paraId="368D0A76" w14:textId="77777777" w:rsidR="00865723" w:rsidRPr="00D3044F" w:rsidRDefault="00865723" w:rsidP="00865723">
      <w:pPr>
        <w:spacing w:after="0"/>
      </w:pPr>
    </w:p>
    <w:p w14:paraId="5BD71341" w14:textId="77777777" w:rsidR="00865723" w:rsidRPr="00D3044F" w:rsidRDefault="00865723" w:rsidP="004A4BE1">
      <w:pPr>
        <w:jc w:val="both"/>
      </w:pPr>
      <w:r w:rsidRPr="00D3044F">
        <w:t xml:space="preserve">In this category </w:t>
      </w:r>
      <w:r>
        <w:t xml:space="preserve">Edge Hill </w:t>
      </w:r>
      <w:r w:rsidRPr="00D3044F">
        <w:t xml:space="preserve">University staff conduct all teaching and assessment </w:t>
      </w:r>
      <w:r>
        <w:t xml:space="preserve">elements of a programme or module, </w:t>
      </w:r>
      <w:r w:rsidRPr="00D3044F">
        <w:t>while the partner organisation provides the venue, learning resources and some support services subject to individual negotiation (in respect of Category C3, this may include in-country support for Edge Hill programmes delivered via Blended or Distance Learning).</w:t>
      </w:r>
      <w:r>
        <w:t xml:space="preserve"> Support services may include academic or pastoral support, exam invigilation, lab supervision and more.</w:t>
      </w:r>
    </w:p>
    <w:p w14:paraId="650A7BE7" w14:textId="356FE797" w:rsidR="00865723" w:rsidRDefault="00865723" w:rsidP="004A4BE1">
      <w:pPr>
        <w:jc w:val="both"/>
      </w:pPr>
      <w:bookmarkStart w:id="45" w:name="_bookmark23"/>
      <w:bookmarkEnd w:id="45"/>
      <w:r>
        <w:t xml:space="preserve">For new category C partners (or re-approval events) a Site Assessment must be conducted to inspect the partner facilities, learning resources, and safety regulations. These facilities and resources are inspected to provide assurance to the approval panel they are of an equivalent standard and quality to those of the University. However, external panel members on the approval panel shall be responsible for confirming the subject specific resources provided for the course are appropriate and broadly consistent with those at Edge Hill University campuses. More information on Site Assessments, including who completes them, is available in the </w:t>
      </w:r>
      <w:bookmarkStart w:id="46" w:name="_Hlk148434952"/>
      <w:r w:rsidR="004A4BE1">
        <w:fldChar w:fldCharType="begin"/>
      </w:r>
      <w:r w:rsidR="004A4BE1">
        <w:instrText>HYPERLINK "https://wiki.edgehill.ac.uk/display/agqa/Key+Guidance+Documents"</w:instrText>
      </w:r>
      <w:r w:rsidR="004A4BE1">
        <w:fldChar w:fldCharType="separate"/>
      </w:r>
      <w:r w:rsidR="004A4BE1" w:rsidRPr="00001D1D">
        <w:rPr>
          <w:rStyle w:val="Hyperlink"/>
        </w:rPr>
        <w:t>Guide to Academic Partnership Approvals</w:t>
      </w:r>
      <w:r w:rsidR="004A4BE1">
        <w:fldChar w:fldCharType="end"/>
      </w:r>
      <w:bookmarkEnd w:id="46"/>
      <w:r>
        <w:t>.</w:t>
      </w:r>
    </w:p>
    <w:p w14:paraId="5E403E35" w14:textId="50E00A11" w:rsidR="00865723" w:rsidRDefault="00865723" w:rsidP="00BD193A">
      <w:pPr>
        <w:jc w:val="both"/>
      </w:pPr>
      <w:r>
        <w:t xml:space="preserve">In the rare circumstance where a Site Assessment cannot be completed in advance of the approval event, virtual tours or similar may be considered however, normally delivery with a partner will not commence until a full, on-site visit has taken place to the satisfaction of the independent officer and/or the validation panel. Advice will be provided by the </w:t>
      </w:r>
      <w:r w:rsidR="00842C4B">
        <w:t>Governance, Quality Assurance and Student Casework team</w:t>
      </w:r>
      <w:r>
        <w:t xml:space="preserve"> relating to the approval visit requirement following approval of any partnership proposals by the </w:t>
      </w:r>
      <w:r w:rsidR="00BD193A">
        <w:t>APC</w:t>
      </w:r>
      <w:r>
        <w:t xml:space="preserve">. In exceptional circumstances the validation event for a partner may be held at the partner’s site to enable further inspection of facilities by the approval panel. </w:t>
      </w:r>
    </w:p>
    <w:p w14:paraId="3F4D3E12" w14:textId="54488CC6" w:rsidR="00BD193A" w:rsidRDefault="00865723" w:rsidP="00BD193A">
      <w:pPr>
        <w:contextualSpacing/>
        <w:jc w:val="both"/>
      </w:pPr>
      <w:r>
        <w:t xml:space="preserve">For category C partnerships </w:t>
      </w:r>
      <w:r w:rsidR="00F325F0">
        <w:t>undergoing</w:t>
      </w:r>
      <w:r w:rsidR="001A4BF3">
        <w:t xml:space="preserve"> Annual Review or</w:t>
      </w:r>
      <w:r w:rsidR="00F325F0">
        <w:t xml:space="preserve"> re-approval, </w:t>
      </w:r>
      <w:r>
        <w:t xml:space="preserve">particular attention should be paid in the review to the quality and availability of the learning and support </w:t>
      </w:r>
      <w:r>
        <w:lastRenderedPageBreak/>
        <w:t>resources provided by the partner in the agreement, to ensure there has been no significant change from the original approved agreement. This is normally verified, in part, by a Partner Visit undertaken by the Academic Partnership Liaison Tutor.</w:t>
      </w:r>
    </w:p>
    <w:p w14:paraId="5DE99CDB" w14:textId="50910F55" w:rsidR="00865723" w:rsidRDefault="00DD5E2C" w:rsidP="00DD5E2C">
      <w:pPr>
        <w:pStyle w:val="Heading2"/>
      </w:pPr>
      <w:bookmarkStart w:id="47" w:name="_bookmark25"/>
      <w:bookmarkStart w:id="48" w:name="_bookmark27"/>
      <w:bookmarkStart w:id="49" w:name="_Toc183094962"/>
      <w:bookmarkEnd w:id="47"/>
      <w:bookmarkEnd w:id="48"/>
      <w:r w:rsidRPr="00D3044F">
        <w:t>Category D Partnerships</w:t>
      </w:r>
      <w:bookmarkEnd w:id="49"/>
    </w:p>
    <w:tbl>
      <w:tblPr>
        <w:tblStyle w:val="TableGrid"/>
        <w:tblW w:w="0" w:type="auto"/>
        <w:tblLook w:val="04A0" w:firstRow="1" w:lastRow="0" w:firstColumn="1" w:lastColumn="0" w:noHBand="0" w:noVBand="1"/>
      </w:tblPr>
      <w:tblGrid>
        <w:gridCol w:w="562"/>
        <w:gridCol w:w="8080"/>
      </w:tblGrid>
      <w:tr w:rsidR="00865723" w:rsidRPr="00D3044F" w14:paraId="36BD6189" w14:textId="77777777" w:rsidTr="009A4875">
        <w:trPr>
          <w:trHeight w:val="475"/>
          <w:tblHeader/>
        </w:trPr>
        <w:tc>
          <w:tcPr>
            <w:tcW w:w="562" w:type="dxa"/>
          </w:tcPr>
          <w:p w14:paraId="66335393" w14:textId="77777777" w:rsidR="00865723" w:rsidRPr="00D3044F" w:rsidRDefault="00865723" w:rsidP="009A4875">
            <w:r>
              <w:t>D</w:t>
            </w:r>
          </w:p>
        </w:tc>
        <w:tc>
          <w:tcPr>
            <w:tcW w:w="8080" w:type="dxa"/>
          </w:tcPr>
          <w:p w14:paraId="5A1A1C52" w14:textId="77777777" w:rsidR="00865723" w:rsidRPr="00D3044F" w:rsidRDefault="00865723" w:rsidP="009A4875">
            <w:r>
              <w:t>Credit rating</w:t>
            </w:r>
          </w:p>
        </w:tc>
      </w:tr>
    </w:tbl>
    <w:p w14:paraId="1A53A641" w14:textId="77777777" w:rsidR="00865723" w:rsidRDefault="00865723" w:rsidP="00865723">
      <w:pPr>
        <w:pStyle w:val="BodyText"/>
        <w:ind w:right="494"/>
        <w:jc w:val="both"/>
      </w:pPr>
    </w:p>
    <w:p w14:paraId="161DCB28" w14:textId="77777777" w:rsidR="00865723" w:rsidRDefault="00865723" w:rsidP="00865723">
      <w:pPr>
        <w:pStyle w:val="BodyText"/>
        <w:ind w:right="494"/>
        <w:jc w:val="both"/>
      </w:pPr>
      <w:r w:rsidRPr="00D3044F">
        <w:t xml:space="preserve">This category typically covers short courses hosted by UK-based employers or non-educational training </w:t>
      </w:r>
      <w:proofErr w:type="spellStart"/>
      <w:r w:rsidRPr="00D3044F">
        <w:t>organisations</w:t>
      </w:r>
      <w:proofErr w:type="spellEnd"/>
      <w:r w:rsidRPr="00D3044F">
        <w:t xml:space="preserve"> and enables their recognition for the award of Edge Hill University academic credit through the approval of Intended Learning Outcomes appropriate to the required FHEQ level accompanied by a suitable assessment strategy. Assessment is subject to internal moderation by the host Edge Hill department and an external examiner is appointed to provision at level 5 and</w:t>
      </w:r>
      <w:r w:rsidRPr="00D3044F">
        <w:rPr>
          <w:spacing w:val="-1"/>
        </w:rPr>
        <w:t xml:space="preserve"> </w:t>
      </w:r>
      <w:r w:rsidRPr="00D3044F">
        <w:t>above.</w:t>
      </w:r>
    </w:p>
    <w:p w14:paraId="10077236" w14:textId="77777777" w:rsidR="00865723" w:rsidRPr="00D3044F" w:rsidRDefault="00865723" w:rsidP="00865723">
      <w:pPr>
        <w:pStyle w:val="BodyText"/>
        <w:ind w:right="494"/>
        <w:jc w:val="both"/>
      </w:pPr>
    </w:p>
    <w:p w14:paraId="08B52955" w14:textId="58393ACB" w:rsidR="00865723" w:rsidRPr="00D3044F" w:rsidRDefault="00865723" w:rsidP="00865723">
      <w:pPr>
        <w:spacing w:after="0"/>
      </w:pPr>
      <w:bookmarkStart w:id="50" w:name="_bookmark29"/>
      <w:bookmarkStart w:id="51" w:name="_bookmark30"/>
      <w:bookmarkEnd w:id="50"/>
      <w:bookmarkEnd w:id="51"/>
      <w:r w:rsidRPr="00D3044F">
        <w:t xml:space="preserve">Following </w:t>
      </w:r>
      <w:r>
        <w:t xml:space="preserve">business approval and </w:t>
      </w:r>
      <w:r w:rsidRPr="00D3044F">
        <w:t>initial approval</w:t>
      </w:r>
      <w:r>
        <w:t xml:space="preserve"> by </w:t>
      </w:r>
      <w:r w:rsidR="00BD193A">
        <w:t>APC</w:t>
      </w:r>
      <w:r w:rsidRPr="00D3044F">
        <w:t xml:space="preserve">, validation is completed via the Faculty Module Approval process described in </w:t>
      </w:r>
      <w:hyperlink r:id="rId37" w:history="1">
        <w:r w:rsidR="00BD193A" w:rsidRPr="009D6590">
          <w:rPr>
            <w:rStyle w:val="Hyperlink"/>
          </w:rPr>
          <w:t>Faculty Academic Quality Statements</w:t>
        </w:r>
        <w:r w:rsidRPr="009D6590">
          <w:rPr>
            <w:rStyle w:val="Hyperlink"/>
          </w:rPr>
          <w:t>,</w:t>
        </w:r>
      </w:hyperlink>
      <w:r w:rsidRPr="00D3044F">
        <w:t xml:space="preserve"> supported by the following documentation:</w:t>
      </w:r>
    </w:p>
    <w:p w14:paraId="28FF5FB2" w14:textId="77777777" w:rsidR="00865723" w:rsidRPr="00D3044F" w:rsidRDefault="00865723" w:rsidP="00865723">
      <w:pPr>
        <w:spacing w:after="0"/>
      </w:pPr>
    </w:p>
    <w:p w14:paraId="680703E2" w14:textId="77777777" w:rsidR="00865723" w:rsidRPr="00D3044F" w:rsidRDefault="00865723" w:rsidP="00865723">
      <w:pPr>
        <w:pStyle w:val="ListParagraph"/>
        <w:numPr>
          <w:ilvl w:val="0"/>
          <w:numId w:val="14"/>
        </w:numPr>
      </w:pPr>
      <w:r w:rsidRPr="00D3044F">
        <w:t>Partner’s course materials (in their original format) describing the course aims, learning objectives, indicative content and teaching strategy.</w:t>
      </w:r>
    </w:p>
    <w:p w14:paraId="702CD53B" w14:textId="20A9CC27" w:rsidR="00865723" w:rsidRPr="00D3044F" w:rsidRDefault="001659F4" w:rsidP="00865723">
      <w:pPr>
        <w:pStyle w:val="ListParagraph"/>
        <w:numPr>
          <w:ilvl w:val="0"/>
          <w:numId w:val="14"/>
        </w:numPr>
      </w:pPr>
      <w:hyperlink r:id="rId38" w:history="1">
        <w:r>
          <w:rPr>
            <w:rStyle w:val="Hyperlink"/>
          </w:rPr>
          <w:t>Partner Approval Document</w:t>
        </w:r>
      </w:hyperlink>
      <w:r w:rsidR="00865723" w:rsidRPr="00D3044F">
        <w:t>, with relevant sections completed.</w:t>
      </w:r>
    </w:p>
    <w:p w14:paraId="02FD3A5D" w14:textId="77777777" w:rsidR="00865723" w:rsidRPr="00D3044F" w:rsidRDefault="00865723" w:rsidP="00865723">
      <w:pPr>
        <w:pStyle w:val="ListParagraph"/>
        <w:numPr>
          <w:ilvl w:val="0"/>
          <w:numId w:val="14"/>
        </w:numPr>
      </w:pPr>
      <w:r w:rsidRPr="00D3044F">
        <w:t>Draft Delivery Plan.</w:t>
      </w:r>
    </w:p>
    <w:p w14:paraId="47B4B410" w14:textId="01C3CB42" w:rsidR="00865723" w:rsidRPr="00D3044F" w:rsidRDefault="00865723" w:rsidP="00865723">
      <w:pPr>
        <w:pStyle w:val="ListParagraph"/>
        <w:numPr>
          <w:ilvl w:val="0"/>
          <w:numId w:val="14"/>
        </w:numPr>
      </w:pPr>
      <w:r w:rsidRPr="00D3044F">
        <w:t xml:space="preserve">A </w:t>
      </w:r>
      <w:hyperlink r:id="rId39" w:history="1">
        <w:r w:rsidRPr="00BD193A">
          <w:rPr>
            <w:rStyle w:val="Hyperlink"/>
          </w:rPr>
          <w:t>Credit Rating Coversheet</w:t>
        </w:r>
      </w:hyperlink>
      <w:r w:rsidRPr="00D3044F">
        <w:t xml:space="preserve"> completed jointly by the host department and partner, detailing:</w:t>
      </w:r>
    </w:p>
    <w:p w14:paraId="7A6C9F14" w14:textId="4AE97E69" w:rsidR="00865723" w:rsidRPr="00D3044F" w:rsidRDefault="00865723" w:rsidP="00EF42CE">
      <w:pPr>
        <w:pStyle w:val="ListParagraph"/>
        <w:numPr>
          <w:ilvl w:val="0"/>
          <w:numId w:val="15"/>
        </w:numPr>
        <w:ind w:left="1134"/>
      </w:pPr>
      <w:r w:rsidRPr="00D3044F">
        <w:t>The FHEQ level and credit volume to be assigned</w:t>
      </w:r>
    </w:p>
    <w:p w14:paraId="341FCE3C" w14:textId="5045C771" w:rsidR="00865723" w:rsidRPr="00D3044F" w:rsidRDefault="00865723" w:rsidP="00EF42CE">
      <w:pPr>
        <w:pStyle w:val="ListParagraph"/>
        <w:numPr>
          <w:ilvl w:val="0"/>
          <w:numId w:val="15"/>
        </w:numPr>
        <w:ind w:left="1134"/>
      </w:pPr>
      <w:r w:rsidRPr="00D3044F">
        <w:t>Intended Learning Outcomes and assessment strategy (mapped by ILOs)</w:t>
      </w:r>
    </w:p>
    <w:p w14:paraId="433792F6" w14:textId="239D2E9D" w:rsidR="00865723" w:rsidRPr="00D3044F" w:rsidRDefault="00865723" w:rsidP="00EF42CE">
      <w:pPr>
        <w:pStyle w:val="ListParagraph"/>
        <w:numPr>
          <w:ilvl w:val="0"/>
          <w:numId w:val="15"/>
        </w:numPr>
        <w:ind w:left="1134"/>
      </w:pPr>
      <w:r w:rsidRPr="00D3044F">
        <w:t>Supporting external examiner comments (level 5 and above)</w:t>
      </w:r>
    </w:p>
    <w:p w14:paraId="460DC5ED" w14:textId="4929ED45" w:rsidR="00865723" w:rsidRPr="00D3044F" w:rsidRDefault="00865723" w:rsidP="00865723">
      <w:r w:rsidRPr="00D3044F">
        <w:t xml:space="preserve">The Module Approval process should give particular attention to the partner’s preparedness to conduct assessment at HE level and the support to be provided by the host Edge Hill department over and above the standard provision of internal moderation. Final approval of Category D provision is via a recommendation (report or minutes) to Faculty Board or the appropriate delegated Faculty Committee. </w:t>
      </w:r>
    </w:p>
    <w:p w14:paraId="3637EF22" w14:textId="44B5E093" w:rsidR="003F60CF" w:rsidRDefault="00865723" w:rsidP="00BD193A">
      <w:bookmarkStart w:id="52" w:name="_bookmark31"/>
      <w:bookmarkStart w:id="53" w:name="_bookmark33"/>
      <w:bookmarkEnd w:id="52"/>
      <w:bookmarkEnd w:id="53"/>
      <w:r>
        <w:t xml:space="preserve">Partnerships in this category are subject to the standard Annual Review led by the Academic Partnership Liaison Tutor. The purpose of these reviews is to assess the continued health of the partnership and to confirm that there has been no change to the partner’s course content, assessment, learning outcomes or teaching strategy. </w:t>
      </w:r>
    </w:p>
    <w:p w14:paraId="7DDA2668" w14:textId="57461246" w:rsidR="00865723" w:rsidRPr="00D3044F" w:rsidRDefault="00865723" w:rsidP="00735BD9">
      <w:pPr>
        <w:pStyle w:val="Heading2"/>
      </w:pPr>
      <w:bookmarkStart w:id="54" w:name="_Toc183094963"/>
      <w:r w:rsidRPr="00D3044F">
        <w:t>Category E partnerships</w:t>
      </w:r>
      <w:bookmarkEnd w:id="54"/>
    </w:p>
    <w:tbl>
      <w:tblPr>
        <w:tblStyle w:val="TableGrid"/>
        <w:tblW w:w="0" w:type="auto"/>
        <w:tblLook w:val="04A0" w:firstRow="1" w:lastRow="0" w:firstColumn="1" w:lastColumn="0" w:noHBand="0" w:noVBand="1"/>
      </w:tblPr>
      <w:tblGrid>
        <w:gridCol w:w="1108"/>
        <w:gridCol w:w="1548"/>
        <w:gridCol w:w="681"/>
        <w:gridCol w:w="5679"/>
      </w:tblGrid>
      <w:tr w:rsidR="00865723" w:rsidRPr="00D3044F" w14:paraId="33982C6D" w14:textId="77777777" w:rsidTr="009A4875">
        <w:trPr>
          <w:tblHeader/>
        </w:trPr>
        <w:tc>
          <w:tcPr>
            <w:tcW w:w="1108" w:type="dxa"/>
            <w:tcBorders>
              <w:bottom w:val="nil"/>
            </w:tcBorders>
          </w:tcPr>
          <w:p w14:paraId="35005E37" w14:textId="77777777" w:rsidR="00865723" w:rsidRPr="00D3044F" w:rsidRDefault="00865723" w:rsidP="009A4875">
            <w:r w:rsidRPr="00D3044F">
              <w:t>E</w:t>
            </w:r>
          </w:p>
        </w:tc>
        <w:tc>
          <w:tcPr>
            <w:tcW w:w="1548" w:type="dxa"/>
            <w:tcBorders>
              <w:bottom w:val="nil"/>
            </w:tcBorders>
          </w:tcPr>
          <w:p w14:paraId="6A2B3653" w14:textId="77777777" w:rsidR="00865723" w:rsidRPr="00D3044F" w:rsidRDefault="00865723" w:rsidP="009A4875">
            <w:r w:rsidRPr="00D3044F">
              <w:t>Articulations</w:t>
            </w:r>
          </w:p>
        </w:tc>
        <w:tc>
          <w:tcPr>
            <w:tcW w:w="681" w:type="dxa"/>
          </w:tcPr>
          <w:p w14:paraId="16CFFFE5" w14:textId="77777777" w:rsidR="00865723" w:rsidRPr="00D3044F" w:rsidRDefault="00865723" w:rsidP="009A4875">
            <w:r w:rsidRPr="00D3044F">
              <w:t>E1</w:t>
            </w:r>
          </w:p>
        </w:tc>
        <w:tc>
          <w:tcPr>
            <w:tcW w:w="5679" w:type="dxa"/>
          </w:tcPr>
          <w:p w14:paraId="4498C3B1" w14:textId="77777777" w:rsidR="00865723" w:rsidRPr="00D3044F" w:rsidRDefault="00865723" w:rsidP="009A4875">
            <w:r w:rsidRPr="00D3044F">
              <w:t>Qualification recognition</w:t>
            </w:r>
          </w:p>
        </w:tc>
      </w:tr>
      <w:tr w:rsidR="00865723" w:rsidRPr="00D3044F" w14:paraId="73ADC55C" w14:textId="77777777" w:rsidTr="009A4875">
        <w:trPr>
          <w:tblHeader/>
        </w:trPr>
        <w:tc>
          <w:tcPr>
            <w:tcW w:w="1108" w:type="dxa"/>
            <w:tcBorders>
              <w:top w:val="nil"/>
            </w:tcBorders>
          </w:tcPr>
          <w:p w14:paraId="6FED243E" w14:textId="77777777" w:rsidR="00865723" w:rsidRPr="00D3044F" w:rsidRDefault="00865723" w:rsidP="009A4875"/>
        </w:tc>
        <w:tc>
          <w:tcPr>
            <w:tcW w:w="1548" w:type="dxa"/>
            <w:tcBorders>
              <w:top w:val="nil"/>
            </w:tcBorders>
          </w:tcPr>
          <w:p w14:paraId="779445C6" w14:textId="77777777" w:rsidR="00865723" w:rsidRPr="00D3044F" w:rsidRDefault="00865723" w:rsidP="009A4875"/>
        </w:tc>
        <w:tc>
          <w:tcPr>
            <w:tcW w:w="681" w:type="dxa"/>
          </w:tcPr>
          <w:p w14:paraId="0E45A276" w14:textId="77777777" w:rsidR="00865723" w:rsidRPr="00D3044F" w:rsidRDefault="00865723" w:rsidP="009A4875">
            <w:r w:rsidRPr="00D3044F">
              <w:t>E2</w:t>
            </w:r>
          </w:p>
        </w:tc>
        <w:tc>
          <w:tcPr>
            <w:tcW w:w="5679" w:type="dxa"/>
          </w:tcPr>
          <w:p w14:paraId="20764124" w14:textId="77777777" w:rsidR="00865723" w:rsidRPr="00D3044F" w:rsidRDefault="00865723" w:rsidP="009A4875">
            <w:r w:rsidRPr="00D3044F">
              <w:t>Qualification recognition with a progression agreement</w:t>
            </w:r>
          </w:p>
        </w:tc>
      </w:tr>
    </w:tbl>
    <w:p w14:paraId="6C795EF8" w14:textId="77777777" w:rsidR="00865723" w:rsidRPr="00D3044F" w:rsidRDefault="00865723" w:rsidP="00865723">
      <w:pPr>
        <w:spacing w:after="0"/>
      </w:pPr>
    </w:p>
    <w:p w14:paraId="073D3660" w14:textId="77777777" w:rsidR="00865723" w:rsidRPr="00D3044F" w:rsidRDefault="00865723" w:rsidP="00BD193A">
      <w:pPr>
        <w:jc w:val="both"/>
      </w:pPr>
      <w:r w:rsidRPr="00D3044F">
        <w:lastRenderedPageBreak/>
        <w:t>Articulation arrangements are non-binding, non-exclusive agreements with other educational institutions or awarding bodies, including overseas, whose programmes or qualifications are recognised for entry to an Edge Hill programme after the normal start-point (‘entry with advanced standing’), typically at level 5 or above. Articulation arrangements are based on credit exemption</w:t>
      </w:r>
      <w:r w:rsidRPr="00D3044F">
        <w:rPr>
          <w:rStyle w:val="FootnoteReference"/>
        </w:rPr>
        <w:footnoteReference w:id="32"/>
      </w:r>
      <w:r w:rsidRPr="00D3044F">
        <w:t xml:space="preserve"> as distinct from the importation of another organisation’s credit or the award of Edge Hill credit. </w:t>
      </w:r>
    </w:p>
    <w:p w14:paraId="525BB21A" w14:textId="662FC347" w:rsidR="00865723" w:rsidRPr="00D3044F" w:rsidRDefault="00865723" w:rsidP="00BD193A">
      <w:pPr>
        <w:jc w:val="both"/>
      </w:pPr>
      <w:r w:rsidRPr="00D3044F">
        <w:rPr>
          <w:b/>
          <w:bCs/>
        </w:rPr>
        <w:t xml:space="preserve">Category E1 </w:t>
      </w:r>
      <w:r w:rsidRPr="00D3044F">
        <w:t xml:space="preserve">provides recognition of an awarding body’s qualification where no individual delivery instance, centre or cohort is specified, and anyone holding the recognised qualification may be considered for advanced entry to the Edge Hill programme to which articulation has been approved. Category E1 usually applies to professional qualifications of </w:t>
      </w:r>
      <w:r w:rsidR="00B93E00">
        <w:t xml:space="preserve">UK-based </w:t>
      </w:r>
      <w:r w:rsidRPr="00D3044F">
        <w:t xml:space="preserve">awarding organisations </w:t>
      </w:r>
      <w:r w:rsidR="00146D2F">
        <w:t>(</w:t>
      </w:r>
      <w:r w:rsidR="004B3696">
        <w:t xml:space="preserve">typically </w:t>
      </w:r>
      <w:r w:rsidR="00B93E00">
        <w:t xml:space="preserve">delivered </w:t>
      </w:r>
      <w:r w:rsidR="00146D2F">
        <w:t xml:space="preserve">by approved centres </w:t>
      </w:r>
      <w:r w:rsidR="00B93E00">
        <w:t>within the</w:t>
      </w:r>
      <w:r w:rsidR="00146D2F">
        <w:t xml:space="preserve"> UK)</w:t>
      </w:r>
      <w:r w:rsidR="00B93E00">
        <w:t xml:space="preserve">, </w:t>
      </w:r>
      <w:r w:rsidRPr="00D3044F">
        <w:t>rather than the programmes/ qualifications of individual HE providers or institutions (see E2, below). Articulating students apply to Edge Hill individually and meet normal programme entry requirements including English language proficiency for international students.</w:t>
      </w:r>
    </w:p>
    <w:p w14:paraId="22CC7640" w14:textId="4F0665EB" w:rsidR="00865723" w:rsidRPr="00D3044F" w:rsidRDefault="00865723" w:rsidP="00BD193A">
      <w:pPr>
        <w:jc w:val="both"/>
      </w:pPr>
      <w:r w:rsidRPr="00D3044F">
        <w:rPr>
          <w:b/>
          <w:bCs/>
        </w:rPr>
        <w:t xml:space="preserve">Category E2 </w:t>
      </w:r>
      <w:r w:rsidRPr="00D3044F">
        <w:t xml:space="preserve">provides recognition of a programme or qualification for articulation by a specific cohort, </w:t>
      </w:r>
      <w:r w:rsidR="001659F4" w:rsidRPr="00D3044F">
        <w:t>e.g.</w:t>
      </w:r>
      <w:r w:rsidRPr="00D3044F">
        <w:t xml:space="preserve"> students of University (X)’s diploma programme articulate into the final year of a specified Edge Hill degree. Category E2 arrangements may be accompanied by formal Progression Agreements, nevertheless students must meet all Edge Hill entry requirements including English language proficiency for international students.</w:t>
      </w:r>
    </w:p>
    <w:p w14:paraId="18E130D2" w14:textId="77777777" w:rsidR="00865723" w:rsidRPr="00D3044F" w:rsidRDefault="00865723" w:rsidP="00BD193A">
      <w:pPr>
        <w:jc w:val="both"/>
      </w:pPr>
      <w:bookmarkStart w:id="55" w:name="_bookmark35"/>
      <w:bookmarkEnd w:id="55"/>
      <w:r w:rsidRPr="00D3044F">
        <w:t>In so far as an articulation arrangement recognises another awarding body or education provider’s qualification for advanced entry, and no Edge Hill programme is being delivered or credit awarded, due diligence is likely to focus upon:</w:t>
      </w:r>
    </w:p>
    <w:p w14:paraId="121AAB47" w14:textId="46862DE2" w:rsidR="00865723" w:rsidRPr="00D3044F" w:rsidRDefault="00865723" w:rsidP="00BD193A">
      <w:pPr>
        <w:pStyle w:val="ListParagraph"/>
        <w:numPr>
          <w:ilvl w:val="0"/>
          <w:numId w:val="16"/>
        </w:numPr>
        <w:jc w:val="both"/>
      </w:pPr>
      <w:r w:rsidRPr="00D3044F">
        <w:t>any relevant regulation governing the external programme or qualification, typically Ofqual or the Scottish Qualifications Authority for UK-based awarding bodies, or national regulators of overseas providers</w:t>
      </w:r>
      <w:r w:rsidR="002E4FE2">
        <w:t>.</w:t>
      </w:r>
    </w:p>
    <w:p w14:paraId="2429851B" w14:textId="77777777" w:rsidR="00865723" w:rsidRPr="00D3044F" w:rsidRDefault="00865723" w:rsidP="00BD193A">
      <w:pPr>
        <w:pStyle w:val="ListParagraph"/>
        <w:numPr>
          <w:ilvl w:val="0"/>
          <w:numId w:val="16"/>
        </w:numPr>
        <w:jc w:val="both"/>
      </w:pPr>
      <w:r w:rsidRPr="00D3044F">
        <w:t>how the awarding body meets its regulator’s requirements, particularly in relation to processes for marking and moderation including independent (external) verification</w:t>
      </w:r>
      <w:r w:rsidRPr="00D3044F">
        <w:rPr>
          <w:rStyle w:val="FootnoteReference"/>
        </w:rPr>
        <w:footnoteReference w:id="33"/>
      </w:r>
      <w:r w:rsidRPr="00D3044F">
        <w:t xml:space="preserve"> of assessment.</w:t>
      </w:r>
    </w:p>
    <w:p w14:paraId="67E42D21" w14:textId="77777777" w:rsidR="00865723" w:rsidRPr="00D3044F" w:rsidRDefault="00865723" w:rsidP="00BD193A">
      <w:pPr>
        <w:pStyle w:val="ListParagraph"/>
        <w:numPr>
          <w:ilvl w:val="0"/>
          <w:numId w:val="16"/>
        </w:numPr>
        <w:jc w:val="both"/>
      </w:pPr>
      <w:r w:rsidRPr="00D3044F">
        <w:t>(For category E2) The financial, legal and reputational standing of the organisation with which the University seeks to enter into an articulation agreement.</w:t>
      </w:r>
    </w:p>
    <w:p w14:paraId="37A44067" w14:textId="418323BA" w:rsidR="00865723" w:rsidRDefault="00865723" w:rsidP="00BD193A">
      <w:pPr>
        <w:spacing w:after="0"/>
        <w:jc w:val="both"/>
      </w:pPr>
      <w:bookmarkStart w:id="56" w:name="Approval"/>
      <w:bookmarkStart w:id="57" w:name="_bookmark36"/>
      <w:bookmarkEnd w:id="56"/>
      <w:bookmarkEnd w:id="57"/>
      <w:r>
        <w:t xml:space="preserve">Following business approval and initial approval by </w:t>
      </w:r>
      <w:r w:rsidR="00BD193A">
        <w:t>APC</w:t>
      </w:r>
      <w:r>
        <w:t xml:space="preserve">, the proposed Academic Partnership Liaison Tutor completes the relevant paperwork submitted to the institutional Articulation Approval Panel. This panel is assembled from experienced members of the Validation and Audit Standing Panel who consider the paperwork, including detailed mapping, and make a recommendation to </w:t>
      </w:r>
      <w:r w:rsidR="002945FC">
        <w:t>AQEC</w:t>
      </w:r>
      <w:r>
        <w:t xml:space="preserve"> which is responsible for final approval of all validation and partner approvals.</w:t>
      </w:r>
    </w:p>
    <w:p w14:paraId="33477B19" w14:textId="77777777" w:rsidR="00865723" w:rsidRDefault="00865723" w:rsidP="00BD193A">
      <w:pPr>
        <w:spacing w:after="0"/>
        <w:jc w:val="both"/>
      </w:pPr>
    </w:p>
    <w:p w14:paraId="584A3317" w14:textId="77777777" w:rsidR="00865723" w:rsidRPr="00B00D04" w:rsidRDefault="00865723" w:rsidP="00BD193A">
      <w:pPr>
        <w:spacing w:after="0"/>
        <w:jc w:val="both"/>
      </w:pPr>
      <w:r w:rsidRPr="00B00D04">
        <w:lastRenderedPageBreak/>
        <w:t xml:space="preserve">For articulation partners, the Annual Review also serves as the verification process for the ongoing validity of the curriculum mapping. </w:t>
      </w:r>
      <w:r w:rsidRPr="00B00D04">
        <w:rPr>
          <w:bCs/>
        </w:rPr>
        <w:t>In these bespoke templates, p</w:t>
      </w:r>
      <w:r w:rsidRPr="00B00D04">
        <w:t xml:space="preserve">articular emphasis is given to reflection on the continued appropriateness of the articulation route in the context of progressing students’ attainment, and any curriculum drift which may impact on the mapping. Due to the nature of articulations and the timing of annual reviews, Academic Partnership Liaison Tutors will need to maintain close contact with the partner organisation in advance of recruitment windows and should confirm on an ongoing basis that there has been no curriculum change at the partner. Similarly, where minor module or programme modifications are progressed at Edge Hill and impact on the programme which has a live articulation route, this should be a key consideration at the relevant Curriculum Approval Panel (Module Approval Panel). </w:t>
      </w:r>
    </w:p>
    <w:p w14:paraId="3196DE5C" w14:textId="77777777" w:rsidR="00865723" w:rsidRPr="00B00D04" w:rsidRDefault="00865723" w:rsidP="00BD193A">
      <w:pPr>
        <w:spacing w:after="0"/>
        <w:jc w:val="both"/>
      </w:pPr>
    </w:p>
    <w:p w14:paraId="03DD4392" w14:textId="77777777" w:rsidR="00865723" w:rsidRPr="00B00D04" w:rsidRDefault="00865723" w:rsidP="00BD193A">
      <w:pPr>
        <w:spacing w:after="0"/>
        <w:jc w:val="both"/>
      </w:pPr>
      <w:r w:rsidRPr="00B00D04">
        <w:t xml:space="preserve">An Annual Review is required even where no students have articulated, to provide confirmation of the route’s continued appropriateness and viability. Routes which have not recruited for two academic years require review by the appropriate Faculty Quality Committee to verify that they remain viable from a business perspective and a decision should be taken for their continuation or closure. The review may identify actions to stimulate articulation and should the review confirm the continuation of the partnership, the partner expiry period is unaffected. </w:t>
      </w:r>
    </w:p>
    <w:p w14:paraId="5A75EAD7" w14:textId="77777777" w:rsidR="00865723" w:rsidRDefault="00865723" w:rsidP="00865723">
      <w:pPr>
        <w:spacing w:after="0"/>
      </w:pPr>
      <w:bookmarkStart w:id="58" w:name="_bookmark38"/>
      <w:bookmarkEnd w:id="58"/>
    </w:p>
    <w:p w14:paraId="78BF19C9" w14:textId="77777777" w:rsidR="00865723" w:rsidRPr="00D3044F" w:rsidRDefault="00865723" w:rsidP="00865723">
      <w:pPr>
        <w:spacing w:after="0"/>
      </w:pPr>
      <w:r w:rsidRPr="00D3044F">
        <w:t xml:space="preserve">Where there </w:t>
      </w:r>
      <w:r>
        <w:t>have been</w:t>
      </w:r>
      <w:r w:rsidRPr="00D3044F">
        <w:t xml:space="preserve"> changes to the curriculum at Edge Hill University or at the partner, the following action is required:</w:t>
      </w:r>
    </w:p>
    <w:p w14:paraId="564D327F" w14:textId="7F591A6F" w:rsidR="00865723" w:rsidRPr="00D3044F" w:rsidRDefault="00865723" w:rsidP="00865723">
      <w:pPr>
        <w:pStyle w:val="ListParagraph"/>
        <w:numPr>
          <w:ilvl w:val="0"/>
          <w:numId w:val="17"/>
        </w:numPr>
      </w:pPr>
      <w:r w:rsidRPr="00D3044F">
        <w:t xml:space="preserve">When the </w:t>
      </w:r>
      <w:r w:rsidRPr="00D3044F">
        <w:rPr>
          <w:b/>
          <w:bCs/>
        </w:rPr>
        <w:t>Edge Hill curriculum</w:t>
      </w:r>
      <w:r w:rsidRPr="00D3044F">
        <w:t xml:space="preserve"> changes, re-mapping is confirmed in the Annual Review form</w:t>
      </w:r>
      <w:r>
        <w:t xml:space="preserve"> for the following academic year</w:t>
      </w:r>
      <w:r w:rsidR="0067207B">
        <w:t xml:space="preserve"> (</w:t>
      </w:r>
      <w:r w:rsidR="00B73797">
        <w:t>please refer to</w:t>
      </w:r>
      <w:r w:rsidR="00EC08FC">
        <w:t xml:space="preserve"> the</w:t>
      </w:r>
      <w:r w:rsidR="007A4284">
        <w:t xml:space="preserve"> </w:t>
      </w:r>
      <w:hyperlink w:anchor="_Annual_Review" w:history="1">
        <w:r w:rsidR="007A4284" w:rsidRPr="007A4284">
          <w:rPr>
            <w:rStyle w:val="Hyperlink"/>
          </w:rPr>
          <w:t>Annual Review</w:t>
        </w:r>
      </w:hyperlink>
      <w:r w:rsidR="00EC08FC">
        <w:t xml:space="preserve"> section</w:t>
      </w:r>
      <w:r w:rsidR="00B73797">
        <w:t>)</w:t>
      </w:r>
      <w:r>
        <w:t xml:space="preserve">. Where these timings do not align, the </w:t>
      </w:r>
      <w:r w:rsidR="00155A4E">
        <w:t>Validation and Audit Standing Panel Chair</w:t>
      </w:r>
      <w:r>
        <w:t xml:space="preserve"> </w:t>
      </w:r>
      <w:r w:rsidR="00523A0A">
        <w:t>(or representative</w:t>
      </w:r>
      <w:r w:rsidR="00523A0A">
        <w:rPr>
          <w:rStyle w:val="FootnoteReference"/>
        </w:rPr>
        <w:footnoteReference w:id="34"/>
      </w:r>
      <w:r w:rsidR="00523A0A">
        <w:t xml:space="preserve">) </w:t>
      </w:r>
      <w:r>
        <w:t>may receive a direct request to review the new mapping</w:t>
      </w:r>
      <w:r w:rsidR="00155A4E">
        <w:t xml:space="preserve"> as a desk-based exercise.  Where a desk-based review is judged to be</w:t>
      </w:r>
      <w:r w:rsidR="000B168D">
        <w:t xml:space="preserve"> unsuitable</w:t>
      </w:r>
      <w:r w:rsidR="00155A4E">
        <w:t>, the new mapping will be reviewed by the Articulation Approval Panel</w:t>
      </w:r>
      <w:r w:rsidR="00593058">
        <w:rPr>
          <w:rStyle w:val="FootnoteReference"/>
        </w:rPr>
        <w:footnoteReference w:id="35"/>
      </w:r>
      <w:r w:rsidR="007108E3">
        <w:t xml:space="preserve">. </w:t>
      </w:r>
    </w:p>
    <w:p w14:paraId="6A97235A" w14:textId="372BDCCA" w:rsidR="00865723" w:rsidRPr="00D3044F" w:rsidRDefault="00865723" w:rsidP="00865723">
      <w:pPr>
        <w:pStyle w:val="ListParagraph"/>
        <w:numPr>
          <w:ilvl w:val="0"/>
          <w:numId w:val="17"/>
        </w:numPr>
      </w:pPr>
      <w:r w:rsidRPr="00D3044F">
        <w:t xml:space="preserve">When the </w:t>
      </w:r>
      <w:r w:rsidRPr="00D3044F">
        <w:rPr>
          <w:b/>
          <w:bCs/>
        </w:rPr>
        <w:t>partner’s curriculum</w:t>
      </w:r>
      <w:r w:rsidRPr="00D3044F">
        <w:t xml:space="preserve"> changes, an </w:t>
      </w:r>
      <w:hyperlink r:id="rId40" w:history="1">
        <w:r w:rsidRPr="001659F4">
          <w:rPr>
            <w:rStyle w:val="Hyperlink"/>
          </w:rPr>
          <w:t>Academic Partnership Proposal</w:t>
        </w:r>
      </w:hyperlink>
      <w:r w:rsidRPr="00D3044F">
        <w:t xml:space="preserve"> form</w:t>
      </w:r>
      <w:r w:rsidRPr="00D3044F">
        <w:rPr>
          <w:rStyle w:val="FootnoteReference"/>
        </w:rPr>
        <w:footnoteReference w:id="36"/>
      </w:r>
      <w:r w:rsidRPr="00D3044F">
        <w:t xml:space="preserve"> and curriculum mapping document </w:t>
      </w:r>
      <w:r>
        <w:t>may be</w:t>
      </w:r>
      <w:r w:rsidRPr="00D3044F">
        <w:t xml:space="preserve"> submitted directly to the Articulation Approval Panel</w:t>
      </w:r>
      <w:r>
        <w:t xml:space="preserve"> to consider</w:t>
      </w:r>
      <w:r>
        <w:rPr>
          <w:rStyle w:val="FootnoteReference"/>
        </w:rPr>
        <w:footnoteReference w:id="37"/>
      </w:r>
      <w:r>
        <w:t>, bypassing the initial approval stage.</w:t>
      </w:r>
    </w:p>
    <w:p w14:paraId="43341F25" w14:textId="77777777" w:rsidR="00865723" w:rsidRPr="00D3044F" w:rsidRDefault="00865723" w:rsidP="00865723">
      <w:pPr>
        <w:spacing w:after="0"/>
      </w:pPr>
    </w:p>
    <w:p w14:paraId="419B940D" w14:textId="22C376CA" w:rsidR="00865723" w:rsidRPr="00D3044F" w:rsidRDefault="00865723" w:rsidP="00735BD9">
      <w:pPr>
        <w:pStyle w:val="Heading2"/>
      </w:pPr>
      <w:bookmarkStart w:id="59" w:name="Contract_Documentation"/>
      <w:bookmarkStart w:id="60" w:name="_bookmark39"/>
      <w:bookmarkStart w:id="61" w:name="_Toc183094964"/>
      <w:bookmarkEnd w:id="59"/>
      <w:bookmarkEnd w:id="60"/>
      <w:r w:rsidRPr="00D3044F">
        <w:lastRenderedPageBreak/>
        <w:t>Category F partnerships</w:t>
      </w:r>
      <w:bookmarkEnd w:id="61"/>
    </w:p>
    <w:tbl>
      <w:tblPr>
        <w:tblStyle w:val="TableGrid"/>
        <w:tblW w:w="0" w:type="auto"/>
        <w:tblLook w:val="04A0" w:firstRow="1" w:lastRow="0" w:firstColumn="1" w:lastColumn="0" w:noHBand="0" w:noVBand="1"/>
      </w:tblPr>
      <w:tblGrid>
        <w:gridCol w:w="562"/>
        <w:gridCol w:w="2127"/>
        <w:gridCol w:w="708"/>
        <w:gridCol w:w="5619"/>
      </w:tblGrid>
      <w:tr w:rsidR="00865723" w:rsidRPr="00D3044F" w14:paraId="3726CEAA" w14:textId="77777777" w:rsidTr="009A4875">
        <w:trPr>
          <w:tblHeader/>
        </w:trPr>
        <w:tc>
          <w:tcPr>
            <w:tcW w:w="562" w:type="dxa"/>
            <w:tcBorders>
              <w:bottom w:val="nil"/>
            </w:tcBorders>
          </w:tcPr>
          <w:p w14:paraId="088B86C0" w14:textId="77777777" w:rsidR="00865723" w:rsidRPr="00D3044F" w:rsidRDefault="00865723" w:rsidP="009A4875">
            <w:r w:rsidRPr="00D3044F">
              <w:t>F</w:t>
            </w:r>
          </w:p>
        </w:tc>
        <w:tc>
          <w:tcPr>
            <w:tcW w:w="2127" w:type="dxa"/>
            <w:vMerge w:val="restart"/>
          </w:tcPr>
          <w:p w14:paraId="6BBD26EC" w14:textId="77777777" w:rsidR="00865723" w:rsidRPr="00D3044F" w:rsidRDefault="00865723" w:rsidP="009A4875">
            <w:r w:rsidRPr="00D3044F">
              <w:t>Delivery with a third party</w:t>
            </w:r>
            <w:r>
              <w:t xml:space="preserve"> (including overseas delivery)</w:t>
            </w:r>
          </w:p>
        </w:tc>
        <w:tc>
          <w:tcPr>
            <w:tcW w:w="708" w:type="dxa"/>
          </w:tcPr>
          <w:p w14:paraId="528B2E42" w14:textId="77777777" w:rsidR="00865723" w:rsidRPr="00D3044F" w:rsidRDefault="00865723" w:rsidP="009A4875">
            <w:r w:rsidRPr="00D3044F">
              <w:t>F1</w:t>
            </w:r>
          </w:p>
        </w:tc>
        <w:tc>
          <w:tcPr>
            <w:tcW w:w="5619" w:type="dxa"/>
            <w:tcBorders>
              <w:top w:val="single" w:sz="4" w:space="0" w:color="auto"/>
              <w:left w:val="single" w:sz="4" w:space="0" w:color="auto"/>
              <w:bottom w:val="single" w:sz="4" w:space="0" w:color="auto"/>
              <w:right w:val="single" w:sz="4" w:space="0" w:color="auto"/>
            </w:tcBorders>
          </w:tcPr>
          <w:p w14:paraId="407A8400" w14:textId="77777777" w:rsidR="00865723" w:rsidRPr="00D3044F" w:rsidRDefault="00865723" w:rsidP="009A4875">
            <w:r w:rsidRPr="00E5308E">
              <w:rPr>
                <w:szCs w:val="24"/>
              </w:rPr>
              <w:t>Franchise (single modules)</w:t>
            </w:r>
          </w:p>
        </w:tc>
      </w:tr>
      <w:tr w:rsidR="00865723" w:rsidRPr="00D3044F" w14:paraId="06F94906" w14:textId="77777777" w:rsidTr="009A4875">
        <w:trPr>
          <w:tblHeader/>
        </w:trPr>
        <w:tc>
          <w:tcPr>
            <w:tcW w:w="562" w:type="dxa"/>
            <w:tcBorders>
              <w:top w:val="nil"/>
              <w:bottom w:val="nil"/>
            </w:tcBorders>
          </w:tcPr>
          <w:p w14:paraId="66D3215A" w14:textId="77777777" w:rsidR="00865723" w:rsidRPr="00D3044F" w:rsidRDefault="00865723" w:rsidP="009A4875"/>
        </w:tc>
        <w:tc>
          <w:tcPr>
            <w:tcW w:w="2127" w:type="dxa"/>
            <w:vMerge/>
          </w:tcPr>
          <w:p w14:paraId="4CB3727B" w14:textId="77777777" w:rsidR="00865723" w:rsidRPr="00D3044F" w:rsidRDefault="00865723" w:rsidP="009A4875"/>
        </w:tc>
        <w:tc>
          <w:tcPr>
            <w:tcW w:w="708" w:type="dxa"/>
          </w:tcPr>
          <w:p w14:paraId="1B3BAB08" w14:textId="77777777" w:rsidR="00865723" w:rsidRPr="00D3044F" w:rsidRDefault="00865723" w:rsidP="009A4875">
            <w:r w:rsidRPr="00D3044F">
              <w:t>F2</w:t>
            </w:r>
          </w:p>
        </w:tc>
        <w:tc>
          <w:tcPr>
            <w:tcW w:w="5619" w:type="dxa"/>
            <w:tcBorders>
              <w:top w:val="single" w:sz="4" w:space="0" w:color="auto"/>
              <w:left w:val="single" w:sz="4" w:space="0" w:color="auto"/>
              <w:bottom w:val="single" w:sz="4" w:space="0" w:color="auto"/>
              <w:right w:val="single" w:sz="4" w:space="0" w:color="auto"/>
            </w:tcBorders>
          </w:tcPr>
          <w:p w14:paraId="5B1D1D48" w14:textId="77777777" w:rsidR="00865723" w:rsidRPr="00D3044F" w:rsidRDefault="00865723" w:rsidP="009A4875">
            <w:r w:rsidRPr="00E5308E">
              <w:rPr>
                <w:szCs w:val="24"/>
              </w:rPr>
              <w:t>Co-delivery</w:t>
            </w:r>
          </w:p>
        </w:tc>
      </w:tr>
      <w:tr w:rsidR="00865723" w:rsidRPr="00D3044F" w14:paraId="68D35FE7" w14:textId="77777777" w:rsidTr="009A4875">
        <w:trPr>
          <w:tblHeader/>
        </w:trPr>
        <w:tc>
          <w:tcPr>
            <w:tcW w:w="562" w:type="dxa"/>
            <w:tcBorders>
              <w:top w:val="nil"/>
              <w:bottom w:val="nil"/>
            </w:tcBorders>
          </w:tcPr>
          <w:p w14:paraId="247313F1" w14:textId="77777777" w:rsidR="00865723" w:rsidRPr="00D3044F" w:rsidRDefault="00865723" w:rsidP="009A4875"/>
        </w:tc>
        <w:tc>
          <w:tcPr>
            <w:tcW w:w="2127" w:type="dxa"/>
            <w:vMerge/>
          </w:tcPr>
          <w:p w14:paraId="6DD0D732" w14:textId="77777777" w:rsidR="00865723" w:rsidRPr="00D3044F" w:rsidRDefault="00865723" w:rsidP="009A4875"/>
        </w:tc>
        <w:tc>
          <w:tcPr>
            <w:tcW w:w="708" w:type="dxa"/>
          </w:tcPr>
          <w:p w14:paraId="7FDC8069" w14:textId="77777777" w:rsidR="00865723" w:rsidRPr="00D3044F" w:rsidRDefault="00865723" w:rsidP="009A4875">
            <w:r w:rsidRPr="00D3044F">
              <w:t>F3</w:t>
            </w:r>
          </w:p>
        </w:tc>
        <w:tc>
          <w:tcPr>
            <w:tcW w:w="5619" w:type="dxa"/>
            <w:tcBorders>
              <w:top w:val="single" w:sz="4" w:space="0" w:color="auto"/>
              <w:left w:val="single" w:sz="4" w:space="0" w:color="auto"/>
              <w:bottom w:val="single" w:sz="4" w:space="0" w:color="auto"/>
              <w:right w:val="single" w:sz="4" w:space="0" w:color="auto"/>
            </w:tcBorders>
          </w:tcPr>
          <w:p w14:paraId="49374809" w14:textId="77777777" w:rsidR="00865723" w:rsidRPr="00D3044F" w:rsidRDefault="00865723" w:rsidP="009A4875">
            <w:r w:rsidRPr="00E5308E">
              <w:rPr>
                <w:szCs w:val="24"/>
              </w:rPr>
              <w:t>Franchise (whole programmes)</w:t>
            </w:r>
          </w:p>
        </w:tc>
      </w:tr>
      <w:tr w:rsidR="00865723" w:rsidRPr="00D3044F" w14:paraId="428897F0" w14:textId="77777777" w:rsidTr="009A4875">
        <w:trPr>
          <w:tblHeader/>
        </w:trPr>
        <w:tc>
          <w:tcPr>
            <w:tcW w:w="562" w:type="dxa"/>
            <w:tcBorders>
              <w:top w:val="nil"/>
              <w:bottom w:val="nil"/>
            </w:tcBorders>
          </w:tcPr>
          <w:p w14:paraId="10130A92" w14:textId="77777777" w:rsidR="00865723" w:rsidRPr="00D3044F" w:rsidRDefault="00865723" w:rsidP="009A4875"/>
        </w:tc>
        <w:tc>
          <w:tcPr>
            <w:tcW w:w="2127" w:type="dxa"/>
            <w:vMerge/>
          </w:tcPr>
          <w:p w14:paraId="45893ADC" w14:textId="77777777" w:rsidR="00865723" w:rsidRPr="00D3044F" w:rsidRDefault="00865723" w:rsidP="009A4875"/>
        </w:tc>
        <w:tc>
          <w:tcPr>
            <w:tcW w:w="708" w:type="dxa"/>
          </w:tcPr>
          <w:p w14:paraId="3CA3F020" w14:textId="77777777" w:rsidR="00865723" w:rsidRPr="00D3044F" w:rsidRDefault="00865723" w:rsidP="009A4875">
            <w:r w:rsidRPr="00D3044F">
              <w:t>F4</w:t>
            </w:r>
          </w:p>
        </w:tc>
        <w:tc>
          <w:tcPr>
            <w:tcW w:w="5619" w:type="dxa"/>
            <w:tcBorders>
              <w:top w:val="single" w:sz="4" w:space="0" w:color="auto"/>
              <w:left w:val="single" w:sz="4" w:space="0" w:color="auto"/>
              <w:bottom w:val="single" w:sz="4" w:space="0" w:color="auto"/>
              <w:right w:val="single" w:sz="4" w:space="0" w:color="auto"/>
            </w:tcBorders>
          </w:tcPr>
          <w:p w14:paraId="783FCC2B" w14:textId="77777777" w:rsidR="00865723" w:rsidRPr="00D3044F" w:rsidRDefault="00865723" w:rsidP="009A4875">
            <w:r w:rsidRPr="00E5308E">
              <w:rPr>
                <w:szCs w:val="24"/>
              </w:rPr>
              <w:t>Validation</w:t>
            </w:r>
          </w:p>
        </w:tc>
      </w:tr>
      <w:tr w:rsidR="00865723" w:rsidRPr="00D3044F" w14:paraId="718A0C52" w14:textId="77777777" w:rsidTr="009A4875">
        <w:trPr>
          <w:tblHeader/>
        </w:trPr>
        <w:tc>
          <w:tcPr>
            <w:tcW w:w="562" w:type="dxa"/>
            <w:tcBorders>
              <w:top w:val="nil"/>
            </w:tcBorders>
          </w:tcPr>
          <w:p w14:paraId="0D39B805" w14:textId="77777777" w:rsidR="00865723" w:rsidRPr="00D3044F" w:rsidRDefault="00865723" w:rsidP="009A4875"/>
        </w:tc>
        <w:tc>
          <w:tcPr>
            <w:tcW w:w="2127" w:type="dxa"/>
            <w:vMerge/>
          </w:tcPr>
          <w:p w14:paraId="7A554585" w14:textId="77777777" w:rsidR="00865723" w:rsidRPr="00D3044F" w:rsidRDefault="00865723" w:rsidP="009A4875"/>
        </w:tc>
        <w:tc>
          <w:tcPr>
            <w:tcW w:w="708" w:type="dxa"/>
          </w:tcPr>
          <w:p w14:paraId="3458F7E1" w14:textId="77777777" w:rsidR="00865723" w:rsidRPr="00D3044F" w:rsidRDefault="00865723" w:rsidP="009A4875">
            <w:r w:rsidRPr="00D3044F">
              <w:t>F5</w:t>
            </w:r>
          </w:p>
        </w:tc>
        <w:tc>
          <w:tcPr>
            <w:tcW w:w="5619" w:type="dxa"/>
            <w:tcBorders>
              <w:top w:val="single" w:sz="4" w:space="0" w:color="auto"/>
              <w:left w:val="single" w:sz="4" w:space="0" w:color="auto"/>
              <w:bottom w:val="single" w:sz="4" w:space="0" w:color="auto"/>
              <w:right w:val="single" w:sz="4" w:space="0" w:color="auto"/>
            </w:tcBorders>
          </w:tcPr>
          <w:p w14:paraId="542A3041" w14:textId="77777777" w:rsidR="00865723" w:rsidRPr="00D3044F" w:rsidRDefault="00865723" w:rsidP="009A4875">
            <w:r w:rsidRPr="00E5308E">
              <w:rPr>
                <w:szCs w:val="24"/>
              </w:rPr>
              <w:t>Joint awards</w:t>
            </w:r>
          </w:p>
        </w:tc>
      </w:tr>
    </w:tbl>
    <w:p w14:paraId="58079668" w14:textId="77777777" w:rsidR="00865723" w:rsidRPr="00D3044F" w:rsidRDefault="00865723" w:rsidP="00865723">
      <w:pPr>
        <w:spacing w:after="0"/>
      </w:pPr>
    </w:p>
    <w:p w14:paraId="3621EDEC" w14:textId="77777777" w:rsidR="00865723" w:rsidRDefault="00865723" w:rsidP="002945FC">
      <w:pPr>
        <w:jc w:val="both"/>
      </w:pPr>
      <w:r w:rsidRPr="00D3044F">
        <w:t>In this category, another educational organisation is approved to deliver Edge Hill modules or programmes under a franchise or co-delivery arrangement or brings forward its own provision for validation leading to the award of an Edge Hill qualification or credit. While significant responsibilities for managing academic standards and the quality of teaching, assessment and student support are delegated to the delivery organisation, ultimate responsibility for both remains with the University as awarding body.</w:t>
      </w:r>
    </w:p>
    <w:p w14:paraId="4EB13DEA" w14:textId="77777777" w:rsidR="00865723" w:rsidRDefault="00865723" w:rsidP="002945FC">
      <w:pPr>
        <w:jc w:val="both"/>
      </w:pPr>
      <w:r>
        <w:t xml:space="preserve">Each sub-category represents a nuanced approach to joint delivery of Edge Hill University credits with an academic partner either in the UK or overseas. Within all these sub-categories, Edge Hill University is the sole awarding body of credit, with the exception of F5 joint awards which may include dual or double degrees where the partner may also award credit. </w:t>
      </w:r>
    </w:p>
    <w:p w14:paraId="00A12948" w14:textId="77777777" w:rsidR="00865723" w:rsidRDefault="00865723" w:rsidP="002945FC">
      <w:pPr>
        <w:jc w:val="both"/>
      </w:pPr>
      <w:r>
        <w:t>The sub-categories can be defined as follows:</w:t>
      </w:r>
    </w:p>
    <w:p w14:paraId="41B95884" w14:textId="77777777" w:rsidR="00865723" w:rsidRDefault="00865723" w:rsidP="002945FC">
      <w:pPr>
        <w:pStyle w:val="ListParagraph"/>
        <w:numPr>
          <w:ilvl w:val="0"/>
          <w:numId w:val="38"/>
        </w:numPr>
        <w:jc w:val="both"/>
      </w:pPr>
      <w:r>
        <w:t>F1 Franchise (single modules)</w:t>
      </w:r>
    </w:p>
    <w:p w14:paraId="7E85A3FB" w14:textId="77777777" w:rsidR="00865723" w:rsidRDefault="00865723" w:rsidP="002945FC">
      <w:pPr>
        <w:jc w:val="both"/>
      </w:pPr>
      <w:r>
        <w:t>The delegation through formal agreement with a partner, to deliver entire Edge Hill University modules (taught or research) by staff within the partner or a third party.</w:t>
      </w:r>
      <w:r w:rsidRPr="00F07345">
        <w:t xml:space="preserve"> </w:t>
      </w:r>
      <w:r>
        <w:t>Responsibility for all elements of delivery, assessment, teaching and learning resources are designated to this partner, along with responsibility (with supervision) for the student experience.</w:t>
      </w:r>
    </w:p>
    <w:p w14:paraId="67F0CC4B" w14:textId="77777777" w:rsidR="00865723" w:rsidRDefault="00865723" w:rsidP="00865723">
      <w:pPr>
        <w:pStyle w:val="ListParagraph"/>
        <w:numPr>
          <w:ilvl w:val="0"/>
          <w:numId w:val="38"/>
        </w:numPr>
      </w:pPr>
      <w:r>
        <w:t xml:space="preserve">F2 Co-delivery </w:t>
      </w:r>
    </w:p>
    <w:p w14:paraId="1BDA39AE" w14:textId="77777777" w:rsidR="00865723" w:rsidRDefault="00865723" w:rsidP="002945FC">
      <w:pPr>
        <w:jc w:val="both"/>
      </w:pPr>
      <w:r>
        <w:t>An agreement between Edge Hill University and a partner to jointly deliver teaching, assessment etc. of an EHU programme or module through a shared arrangement of responsibility.</w:t>
      </w:r>
    </w:p>
    <w:p w14:paraId="1DE39949" w14:textId="77777777" w:rsidR="00865723" w:rsidRDefault="00865723" w:rsidP="00865723">
      <w:pPr>
        <w:pStyle w:val="ListParagraph"/>
        <w:numPr>
          <w:ilvl w:val="0"/>
          <w:numId w:val="38"/>
        </w:numPr>
      </w:pPr>
      <w:r>
        <w:t>F3 Franchise (whole programme)</w:t>
      </w:r>
    </w:p>
    <w:p w14:paraId="3F7C4D87" w14:textId="77777777" w:rsidR="00865723" w:rsidRDefault="00865723" w:rsidP="002945FC">
      <w:pPr>
        <w:jc w:val="both"/>
      </w:pPr>
      <w:r>
        <w:t>The delegation through formal agreement with a partner, to deliver entire Edge Hill University programmes (taught or research) by staff within the partner or a third party. Responsibility for all elements of delivery, assessment, teaching and learning resources are designated to this partner, along with responsibility (with supervision) for the student experience.</w:t>
      </w:r>
    </w:p>
    <w:p w14:paraId="1EB6FCE0" w14:textId="77777777" w:rsidR="00865723" w:rsidRDefault="00865723" w:rsidP="00865723">
      <w:pPr>
        <w:pStyle w:val="ListParagraph"/>
        <w:numPr>
          <w:ilvl w:val="0"/>
          <w:numId w:val="38"/>
        </w:numPr>
      </w:pPr>
      <w:r>
        <w:t xml:space="preserve">F4 Validation </w:t>
      </w:r>
    </w:p>
    <w:p w14:paraId="6D0FE621" w14:textId="77777777" w:rsidR="00865723" w:rsidRDefault="00865723" w:rsidP="002945FC">
      <w:pPr>
        <w:jc w:val="both"/>
      </w:pPr>
      <w:r>
        <w:t>The recognition and formal validation (approval) of a partner or a third party’s programme, which shall then receive Edge Hill University credits and ultimately, an Edge Hill University award, and the delivery of this programme by the partner. These programmes are generally established programmes delivered by the partner already and Edge Hill University shall have no input in its design.</w:t>
      </w:r>
    </w:p>
    <w:p w14:paraId="15FC6824" w14:textId="77777777" w:rsidR="00865723" w:rsidRDefault="00865723" w:rsidP="00865723">
      <w:pPr>
        <w:pStyle w:val="ListParagraph"/>
        <w:numPr>
          <w:ilvl w:val="0"/>
          <w:numId w:val="38"/>
        </w:numPr>
      </w:pPr>
      <w:r>
        <w:lastRenderedPageBreak/>
        <w:t>F5 Joint awards</w:t>
      </w:r>
    </w:p>
    <w:p w14:paraId="0F33F324" w14:textId="77777777" w:rsidR="00865723" w:rsidRDefault="00865723" w:rsidP="002945FC">
      <w:pPr>
        <w:jc w:val="both"/>
      </w:pPr>
      <w:r>
        <w:t xml:space="preserve">Provision whereby Edge Hill University and one or more UK HE awarding bodies together design and/or deliver a programme leading to either single or multiple award made jointly or individually by all parties. </w:t>
      </w:r>
    </w:p>
    <w:p w14:paraId="5703592F" w14:textId="77777777" w:rsidR="00865723" w:rsidRPr="00D3044F" w:rsidRDefault="00865723" w:rsidP="002945FC">
      <w:pPr>
        <w:jc w:val="both"/>
      </w:pPr>
      <w:r>
        <w:t>There are various models for joint awards and t</w:t>
      </w:r>
      <w:r w:rsidRPr="00D3044F">
        <w:t xml:space="preserve">he term </w:t>
      </w:r>
      <w:r w:rsidRPr="00D3044F">
        <w:rPr>
          <w:b/>
          <w:bCs/>
        </w:rPr>
        <w:t>joint degree</w:t>
      </w:r>
      <w:r w:rsidRPr="00D3044F">
        <w:t xml:space="preserve"> describes a collaborative arrangement in which two (or more) awarding institutions together validate</w:t>
      </w:r>
      <w:r w:rsidRPr="00D3044F">
        <w:rPr>
          <w:rStyle w:val="FootnoteReference"/>
        </w:rPr>
        <w:footnoteReference w:id="38"/>
      </w:r>
      <w:r w:rsidRPr="00D3044F">
        <w:t xml:space="preserve"> and deliver a programme of study which results in a single joint award of both (all) institutions. The development of such an arrangement requires detailed negotiation between the partner(s) and the development of a bespoke set of common regulations. </w:t>
      </w:r>
    </w:p>
    <w:p w14:paraId="36814740" w14:textId="77777777" w:rsidR="00865723" w:rsidRPr="00D3044F" w:rsidRDefault="00865723" w:rsidP="002945FC">
      <w:pPr>
        <w:jc w:val="both"/>
      </w:pPr>
      <w:r w:rsidRPr="00D3044F">
        <w:t>Key characteristics of a joint degree are:</w:t>
      </w:r>
    </w:p>
    <w:p w14:paraId="189740AA" w14:textId="77777777" w:rsidR="00865723" w:rsidRPr="00D3044F" w:rsidRDefault="00865723" w:rsidP="002945FC">
      <w:pPr>
        <w:pStyle w:val="ListParagraph"/>
        <w:numPr>
          <w:ilvl w:val="0"/>
          <w:numId w:val="20"/>
        </w:numPr>
        <w:jc w:val="both"/>
      </w:pPr>
      <w:r w:rsidRPr="00D3044F">
        <w:t>The programme has one Programme Specification including a single set of Programme Learning Outcomes.</w:t>
      </w:r>
    </w:p>
    <w:p w14:paraId="7D986823" w14:textId="77777777" w:rsidR="00865723" w:rsidRPr="00D3044F" w:rsidRDefault="00865723" w:rsidP="002945FC">
      <w:pPr>
        <w:pStyle w:val="ListParagraph"/>
        <w:numPr>
          <w:ilvl w:val="0"/>
          <w:numId w:val="20"/>
        </w:numPr>
        <w:jc w:val="both"/>
      </w:pPr>
      <w:r w:rsidRPr="00D3044F">
        <w:t>Modules are delivered by different partners, and students may study at one or more of the institutions working together in relation to the joint programme.</w:t>
      </w:r>
    </w:p>
    <w:p w14:paraId="5ADFF143" w14:textId="77777777" w:rsidR="00865723" w:rsidRPr="00D3044F" w:rsidRDefault="00865723" w:rsidP="002945FC">
      <w:pPr>
        <w:pStyle w:val="ListParagraph"/>
        <w:numPr>
          <w:ilvl w:val="0"/>
          <w:numId w:val="20"/>
        </w:numPr>
        <w:jc w:val="both"/>
      </w:pPr>
      <w:r w:rsidRPr="00D3044F">
        <w:t>Completing students receive one degree certificate authorised by both (all) partners involved in its delivery.</w:t>
      </w:r>
    </w:p>
    <w:p w14:paraId="5C377C91" w14:textId="77777777" w:rsidR="00865723" w:rsidRPr="00D3044F" w:rsidRDefault="00865723" w:rsidP="002945FC">
      <w:pPr>
        <w:pStyle w:val="ListParagraph"/>
        <w:numPr>
          <w:ilvl w:val="0"/>
          <w:numId w:val="20"/>
        </w:numPr>
        <w:jc w:val="both"/>
      </w:pPr>
      <w:r w:rsidRPr="00D3044F">
        <w:t>One external examiner is appointed for the degree.</w:t>
      </w:r>
    </w:p>
    <w:p w14:paraId="57B2AFB9" w14:textId="77777777" w:rsidR="00865723" w:rsidRPr="00D3044F" w:rsidRDefault="00865723" w:rsidP="002945FC">
      <w:pPr>
        <w:jc w:val="both"/>
      </w:pPr>
      <w:r>
        <w:t>Whereas t</w:t>
      </w:r>
      <w:r w:rsidRPr="00D3044F">
        <w:t xml:space="preserve">he term </w:t>
      </w:r>
      <w:r w:rsidRPr="00D3044F">
        <w:rPr>
          <w:b/>
          <w:bCs/>
        </w:rPr>
        <w:t xml:space="preserve">double degree </w:t>
      </w:r>
      <w:r w:rsidRPr="00D3044F">
        <w:t>(or ‘multiple degree’ where there are more than two partners) applies to a programme otherwise conceived, designed and delivered as a joint degree but where local legal or regulatory conditions prohibit the award of a single certificate. In these circumstances, students receive separate certificates/ transcripts/ diploma supplements from each awarding body which reference the others’ existence and that students have completed a single, jointly conceived course.</w:t>
      </w:r>
    </w:p>
    <w:p w14:paraId="7D0C3F5E" w14:textId="77777777" w:rsidR="00865723" w:rsidRPr="00D3044F" w:rsidRDefault="00865723" w:rsidP="002945FC">
      <w:pPr>
        <w:jc w:val="both"/>
      </w:pPr>
      <w:r>
        <w:t>Finally, t</w:t>
      </w:r>
      <w:r w:rsidRPr="00D3044F">
        <w:t xml:space="preserve">he term </w:t>
      </w:r>
      <w:r w:rsidRPr="00D3044F">
        <w:rPr>
          <w:b/>
          <w:bCs/>
        </w:rPr>
        <w:t>dual degree</w:t>
      </w:r>
      <w:r w:rsidRPr="00D3044F">
        <w:t xml:space="preserve"> describes a collaborative arrangement in which two awarding organisations design, validate</w:t>
      </w:r>
      <w:r w:rsidRPr="00D3044F">
        <w:rPr>
          <w:rStyle w:val="FootnoteReference"/>
        </w:rPr>
        <w:footnoteReference w:id="39"/>
      </w:r>
      <w:r w:rsidRPr="00D3044F">
        <w:t xml:space="preserve"> and deliver a course of study, however students receive separate degrees from both partners. Each is responsible for making its own award under its own regulations, however the programme’s components form a single package requiring elements of joint management and oversight.</w:t>
      </w:r>
    </w:p>
    <w:p w14:paraId="59E80051" w14:textId="77777777" w:rsidR="00865723" w:rsidRPr="00D3044F" w:rsidRDefault="00865723" w:rsidP="002945FC">
      <w:pPr>
        <w:jc w:val="both"/>
      </w:pPr>
      <w:r w:rsidRPr="00D3044F">
        <w:t>Key characteristics of a dual degree are:</w:t>
      </w:r>
    </w:p>
    <w:p w14:paraId="34611757" w14:textId="77777777" w:rsidR="00865723" w:rsidRPr="00D3044F" w:rsidRDefault="00865723" w:rsidP="002945FC">
      <w:pPr>
        <w:pStyle w:val="ListParagraph"/>
        <w:numPr>
          <w:ilvl w:val="0"/>
          <w:numId w:val="20"/>
        </w:numPr>
        <w:jc w:val="both"/>
      </w:pPr>
      <w:r w:rsidRPr="00D3044F">
        <w:t>The overall study period and volume of learning is typically greater than for a single degree but smaller than if the two degrees were studied separately.</w:t>
      </w:r>
    </w:p>
    <w:p w14:paraId="0BC93E60" w14:textId="77777777" w:rsidR="00865723" w:rsidRPr="00D3044F" w:rsidRDefault="00865723" w:rsidP="002945FC">
      <w:pPr>
        <w:pStyle w:val="ListParagraph"/>
        <w:numPr>
          <w:ilvl w:val="0"/>
          <w:numId w:val="20"/>
        </w:numPr>
        <w:jc w:val="both"/>
      </w:pPr>
      <w:r w:rsidRPr="00D3044F">
        <w:t>Each partner develops its own Programme Specification, including Programme Learning Outcomes.</w:t>
      </w:r>
    </w:p>
    <w:p w14:paraId="426A8D37" w14:textId="77777777" w:rsidR="00865723" w:rsidRPr="00D3044F" w:rsidRDefault="00865723" w:rsidP="002945FC">
      <w:pPr>
        <w:pStyle w:val="ListParagraph"/>
        <w:numPr>
          <w:ilvl w:val="0"/>
          <w:numId w:val="20"/>
        </w:numPr>
        <w:jc w:val="both"/>
      </w:pPr>
      <w:r w:rsidRPr="00D3044F">
        <w:lastRenderedPageBreak/>
        <w:t>Modules are delivered by both partners, often at different stages (years) of the programme, however each will generally deliver a substantial proportion at the level of the qualification it awards.</w:t>
      </w:r>
    </w:p>
    <w:p w14:paraId="0CB8547F" w14:textId="77777777" w:rsidR="00865723" w:rsidRPr="00D3044F" w:rsidRDefault="00865723" w:rsidP="002945FC">
      <w:pPr>
        <w:pStyle w:val="ListParagraph"/>
        <w:numPr>
          <w:ilvl w:val="0"/>
          <w:numId w:val="20"/>
        </w:numPr>
        <w:jc w:val="both"/>
      </w:pPr>
      <w:r w:rsidRPr="00D3044F">
        <w:t>Completing students receive separate certificates from each partner under its own regulations.</w:t>
      </w:r>
    </w:p>
    <w:p w14:paraId="168E33A0" w14:textId="77777777" w:rsidR="00865723" w:rsidRPr="00D3044F" w:rsidRDefault="00865723" w:rsidP="002945FC">
      <w:pPr>
        <w:pStyle w:val="ListParagraph"/>
        <w:numPr>
          <w:ilvl w:val="0"/>
          <w:numId w:val="20"/>
        </w:numPr>
        <w:jc w:val="both"/>
      </w:pPr>
      <w:r w:rsidRPr="00D3044F">
        <w:t>Each partner makes its own arrangements for external examination (or other independent verification).</w:t>
      </w:r>
    </w:p>
    <w:p w14:paraId="685F5066" w14:textId="3AC29883" w:rsidR="00865723" w:rsidRPr="00D3044F" w:rsidRDefault="00865723" w:rsidP="002945FC">
      <w:pPr>
        <w:jc w:val="both"/>
      </w:pPr>
      <w:r w:rsidRPr="00D3044F">
        <w:t xml:space="preserve">Joint/ double and dual degrees should be developed with cognizance of the QAA’s </w:t>
      </w:r>
      <w:hyperlink r:id="rId41" w:history="1">
        <w:r w:rsidRPr="00742445">
          <w:rPr>
            <w:rStyle w:val="Hyperlink"/>
          </w:rPr>
          <w:t>Characteristics Statement for qualifications involving more than one degree-awarding body</w:t>
        </w:r>
      </w:hyperlink>
      <w:r w:rsidRPr="00D3044F">
        <w:t xml:space="preserve">. </w:t>
      </w:r>
    </w:p>
    <w:p w14:paraId="2B9C39A4" w14:textId="24FD520C" w:rsidR="00865723" w:rsidRDefault="00865723" w:rsidP="002945FC">
      <w:pPr>
        <w:jc w:val="both"/>
      </w:pPr>
      <w:r>
        <w:t xml:space="preserve">For new category </w:t>
      </w:r>
      <w:proofErr w:type="spellStart"/>
      <w:r>
        <w:t>F</w:t>
      </w:r>
      <w:proofErr w:type="spellEnd"/>
      <w:r>
        <w:t xml:space="preserve"> partners (or re-approval events) a Site Assessment must be conducted to inspect the partner facilities, learning resources, safety regulations, and to meet with relevant staff to discuss the partnership expectations and arrangements. Meetings with delivery staff for the programme provide a useful opportunity to discuss how delivery will work and provide assurance of these details to the approval panel. Facilities and resources are inspected to provide assurance to the approval panel they are of an equivalent standard and quality to those of the University. However, external panel members on the approval panel shall be responsible for confirming the subject specific resources provided for the course are appropriate and broadly consistent with those at Edge Hill University campuses. More information on Site Assessments, including who completes them, is available in the </w:t>
      </w:r>
      <w:bookmarkStart w:id="62" w:name="_Hlk148435257"/>
      <w:r w:rsidR="002945FC">
        <w:fldChar w:fldCharType="begin"/>
      </w:r>
      <w:r w:rsidR="002945FC">
        <w:instrText>HYPERLINK "https://wiki.edgehill.ac.uk/display/agqa/Key+Guidance+Documents"</w:instrText>
      </w:r>
      <w:r w:rsidR="002945FC">
        <w:fldChar w:fldCharType="separate"/>
      </w:r>
      <w:r w:rsidR="002945FC" w:rsidRPr="00001D1D">
        <w:rPr>
          <w:rStyle w:val="Hyperlink"/>
        </w:rPr>
        <w:t>Guide to Academic Partnership Approvals</w:t>
      </w:r>
      <w:r w:rsidR="002945FC">
        <w:fldChar w:fldCharType="end"/>
      </w:r>
      <w:bookmarkEnd w:id="62"/>
      <w:r>
        <w:t>.</w:t>
      </w:r>
    </w:p>
    <w:p w14:paraId="235C013A" w14:textId="695287E6" w:rsidR="00865723" w:rsidRDefault="00865723" w:rsidP="002945FC">
      <w:pPr>
        <w:jc w:val="both"/>
      </w:pPr>
      <w:r>
        <w:t xml:space="preserve">In the rare circumstance where a Site Assessment cannot be completed in advance of the approval event, virtual tours or similar may be considered however, normally delivery with a partner will not commence until a full, on-site visit has taken place to the satisfaction of the independent officer and/or the validation panel. Advice will be provided by the </w:t>
      </w:r>
      <w:r w:rsidR="00842C4B" w:rsidRPr="00842C4B">
        <w:t xml:space="preserve">Governance, Quality Assurance and Student Casework </w:t>
      </w:r>
      <w:r w:rsidR="00842C4B">
        <w:t xml:space="preserve">team </w:t>
      </w:r>
      <w:r>
        <w:t xml:space="preserve">relating to the approval visit requirement following approval of any partnership proposals by </w:t>
      </w:r>
      <w:r w:rsidR="00BD193A">
        <w:t>APC</w:t>
      </w:r>
      <w:r>
        <w:t xml:space="preserve">. In exceptional circumstances the validation event for a partner may be held at the partner’s site to enable further inspection of facilities by the approval panel. </w:t>
      </w:r>
    </w:p>
    <w:p w14:paraId="1BA7CDD6" w14:textId="77777777" w:rsidR="00865723" w:rsidRDefault="00865723" w:rsidP="002945FC">
      <w:pPr>
        <w:jc w:val="both"/>
      </w:pPr>
      <w:bookmarkStart w:id="63" w:name="_bookmark44"/>
      <w:bookmarkEnd w:id="63"/>
      <w:r>
        <w:t>For category F partnerships the standard Annual Review process applies with the additional requirement to confirm staffing arrangements prior to delivery each year, with any new staff proposed for delivery of Edge Hill University credits being subject to approval by the relevant Faculty Quality Committee (through submission of their CV which details their experience and ability to deliver curriculum at the appropriate FHEQ level).  Attention should be paid in the review to the quality and availability of the learning and support resources provided by the partner in the agreement, to ensure there has been no significant change from the original approved agreement. This is normally verified, in part, by a Partner Visit undertaken by the Academic Partnership Liaison Tutor.</w:t>
      </w:r>
    </w:p>
    <w:p w14:paraId="2EFFB5DE" w14:textId="12B07EBC" w:rsidR="00865723" w:rsidRPr="00D3044F" w:rsidRDefault="00865723" w:rsidP="00742445">
      <w:pPr>
        <w:spacing w:after="0"/>
        <w:jc w:val="both"/>
      </w:pPr>
      <w:r w:rsidRPr="00D3044F">
        <w:t>A</w:t>
      </w:r>
      <w:r>
        <w:t>dditionally, the</w:t>
      </w:r>
      <w:r w:rsidRPr="00D3044F">
        <w:t xml:space="preserve"> external examiner appointed for</w:t>
      </w:r>
      <w:r>
        <w:t xml:space="preserve"> category F</w:t>
      </w:r>
      <w:r w:rsidRPr="00D3044F">
        <w:t xml:space="preserve"> programmes at FHEQ level 5 and above (level 4 for Foundation Degrees) may </w:t>
      </w:r>
      <w:r>
        <w:t xml:space="preserve">be asked to </w:t>
      </w:r>
      <w:r w:rsidRPr="00D3044F">
        <w:t xml:space="preserve">visit the partner </w:t>
      </w:r>
      <w:r>
        <w:t>to provide input into the Annual Review</w:t>
      </w:r>
      <w:r w:rsidRPr="00D3044F">
        <w:t xml:space="preserve">. </w:t>
      </w:r>
      <w:r>
        <w:t>As far as possible, external examiners allocated to partnership provision (category F) shall have experience of partnership delivery or transnational education in Higher Education.</w:t>
      </w:r>
      <w:r w:rsidRPr="00BB0F47">
        <w:t xml:space="preserve"> </w:t>
      </w:r>
      <w:r>
        <w:t>For category F partnerships,</w:t>
      </w:r>
      <w:r w:rsidRPr="00D3044F">
        <w:t xml:space="preserve"> external examiners clearly differentiate between </w:t>
      </w:r>
      <w:r w:rsidRPr="00D3044F">
        <w:lastRenderedPageBreak/>
        <w:t xml:space="preserve">delivery centres and student cohorts in their </w:t>
      </w:r>
      <w:r>
        <w:t xml:space="preserve">annual </w:t>
      </w:r>
      <w:r w:rsidRPr="00D3044F">
        <w:t>reports</w:t>
      </w:r>
      <w:r>
        <w:t xml:space="preserve"> and this is one piece of evidence used in the Annual Review</w:t>
      </w:r>
      <w:r w:rsidRPr="00D3044F">
        <w:t>.</w:t>
      </w:r>
      <w:r>
        <w:t xml:space="preserve"> More information on external examining at Edge Hill University can be found in Chapter 2.</w:t>
      </w:r>
    </w:p>
    <w:p w14:paraId="7EA4FA9A" w14:textId="36710630" w:rsidR="00942E77" w:rsidRDefault="00274A33" w:rsidP="00942E77">
      <w:pPr>
        <w:pStyle w:val="Heading1"/>
      </w:pPr>
      <w:bookmarkStart w:id="64" w:name="_bookmark45"/>
      <w:bookmarkStart w:id="65" w:name="11._School_Direct_partnerships"/>
      <w:bookmarkStart w:id="66" w:name="_bookmark46"/>
      <w:bookmarkStart w:id="67" w:name="Annual_Review"/>
      <w:bookmarkStart w:id="68" w:name="_bookmark50"/>
      <w:bookmarkStart w:id="69" w:name="_Toc183094965"/>
      <w:bookmarkEnd w:id="64"/>
      <w:bookmarkEnd w:id="65"/>
      <w:bookmarkEnd w:id="66"/>
      <w:bookmarkEnd w:id="67"/>
      <w:bookmarkEnd w:id="68"/>
      <w:r>
        <w:t xml:space="preserve">Category C+ </w:t>
      </w:r>
      <w:r w:rsidR="004D5143">
        <w:t>Processes</w:t>
      </w:r>
      <w:bookmarkEnd w:id="69"/>
      <w:r w:rsidR="00E05DA7">
        <w:t xml:space="preserve"> </w:t>
      </w:r>
    </w:p>
    <w:p w14:paraId="0AC4C313" w14:textId="77777777" w:rsidR="00E777D1" w:rsidRDefault="00E777D1" w:rsidP="00E777D1">
      <w:pPr>
        <w:pStyle w:val="Heading2"/>
      </w:pPr>
      <w:bookmarkStart w:id="70" w:name="_Toc183094966"/>
      <w:r>
        <w:t>Approval</w:t>
      </w:r>
      <w:bookmarkEnd w:id="70"/>
    </w:p>
    <w:p w14:paraId="125D1739" w14:textId="409AFD4D" w:rsidR="003718EB" w:rsidRPr="00CC68BC" w:rsidRDefault="004D5143" w:rsidP="00CC68BC">
      <w:pPr>
        <w:jc w:val="both"/>
      </w:pPr>
      <w:r>
        <w:t xml:space="preserve">For Category C and above partnerships which represent a higher level of risk for the university, the following approval process </w:t>
      </w:r>
      <w:r w:rsidR="003718EB">
        <w:t>will normally</w:t>
      </w:r>
      <w:r>
        <w:t xml:space="preserve"> appl</w:t>
      </w:r>
      <w:r w:rsidR="003718EB">
        <w:t>y</w:t>
      </w:r>
      <w:r>
        <w:t>.</w:t>
      </w:r>
    </w:p>
    <w:p w14:paraId="22C48A1E" w14:textId="3672A9AD" w:rsidR="00942E77" w:rsidRDefault="00254F2C" w:rsidP="00742445">
      <w:pPr>
        <w:pStyle w:val="Heading3"/>
        <w:jc w:val="both"/>
      </w:pPr>
      <w:bookmarkStart w:id="71" w:name="_Toc183094967"/>
      <w:r>
        <w:t>Business Approval</w:t>
      </w:r>
      <w:bookmarkEnd w:id="71"/>
      <w:r>
        <w:t xml:space="preserve"> </w:t>
      </w:r>
    </w:p>
    <w:p w14:paraId="4E480C1E" w14:textId="32A68C70" w:rsidR="008064A0" w:rsidRDefault="001F0262" w:rsidP="00742445">
      <w:pPr>
        <w:jc w:val="both"/>
      </w:pPr>
      <w:bookmarkStart w:id="72" w:name="_Hlk182923672"/>
      <w:r>
        <w:t xml:space="preserve">The first step when </w:t>
      </w:r>
      <w:r w:rsidR="00CC68BC">
        <w:t xml:space="preserve">planning a new partnership, </w:t>
      </w:r>
      <w:r>
        <w:t xml:space="preserve">is to secure </w:t>
      </w:r>
      <w:r w:rsidR="00CC68BC">
        <w:t xml:space="preserve">business approval. This is in recognition of </w:t>
      </w:r>
      <w:r w:rsidR="008671A6">
        <w:t xml:space="preserve">the financial commitment and potential risk of entering into </w:t>
      </w:r>
      <w:r>
        <w:t xml:space="preserve">an </w:t>
      </w:r>
      <w:r w:rsidR="008671A6">
        <w:t>academic partnership</w:t>
      </w:r>
      <w:bookmarkEnd w:id="72"/>
      <w:r w:rsidR="008064A0">
        <w:t>.</w:t>
      </w:r>
      <w:r w:rsidR="00CC68BC">
        <w:t xml:space="preserve"> </w:t>
      </w:r>
      <w:r w:rsidR="008064A0">
        <w:t>This process applies to the following categories of partnership:</w:t>
      </w:r>
    </w:p>
    <w:p w14:paraId="48FA67C5" w14:textId="3762E9D4" w:rsidR="008064A0" w:rsidRDefault="008064A0" w:rsidP="00742445">
      <w:pPr>
        <w:pStyle w:val="ListParagraph"/>
        <w:numPr>
          <w:ilvl w:val="0"/>
          <w:numId w:val="39"/>
        </w:numPr>
        <w:jc w:val="both"/>
      </w:pPr>
      <w:r>
        <w:t>A5- Degree and Higher Apprenticeships</w:t>
      </w:r>
    </w:p>
    <w:p w14:paraId="42ABFFC4" w14:textId="77777777" w:rsidR="008064A0" w:rsidRDefault="008064A0" w:rsidP="00742445">
      <w:pPr>
        <w:pStyle w:val="ListParagraph"/>
        <w:numPr>
          <w:ilvl w:val="0"/>
          <w:numId w:val="39"/>
        </w:numPr>
        <w:jc w:val="both"/>
      </w:pPr>
      <w:r>
        <w:t>C1- Outreach Supported Learning Centres: Education providers (UK)</w:t>
      </w:r>
    </w:p>
    <w:p w14:paraId="0E429FF8" w14:textId="77777777" w:rsidR="008064A0" w:rsidRDefault="008064A0" w:rsidP="00742445">
      <w:pPr>
        <w:pStyle w:val="ListParagraph"/>
        <w:numPr>
          <w:ilvl w:val="0"/>
          <w:numId w:val="39"/>
        </w:numPr>
        <w:jc w:val="both"/>
      </w:pPr>
      <w:r>
        <w:t>C2- Outreach Supported Learning Centres: Non-education providers (UK)</w:t>
      </w:r>
    </w:p>
    <w:p w14:paraId="7D2A61C4" w14:textId="77777777" w:rsidR="008064A0" w:rsidRDefault="008064A0" w:rsidP="00742445">
      <w:pPr>
        <w:pStyle w:val="ListParagraph"/>
        <w:numPr>
          <w:ilvl w:val="0"/>
          <w:numId w:val="39"/>
        </w:numPr>
        <w:jc w:val="both"/>
      </w:pPr>
      <w:r>
        <w:t>C3- Outreach Supported Learning Centres (Overseas)</w:t>
      </w:r>
    </w:p>
    <w:p w14:paraId="2B5B5B1F" w14:textId="4768F3CC" w:rsidR="008064A0" w:rsidRDefault="008064A0" w:rsidP="00742445">
      <w:pPr>
        <w:pStyle w:val="ListParagraph"/>
        <w:numPr>
          <w:ilvl w:val="0"/>
          <w:numId w:val="39"/>
        </w:numPr>
        <w:jc w:val="both"/>
      </w:pPr>
      <w:r>
        <w:t>D</w:t>
      </w:r>
      <w:r w:rsidR="00FA4AA3">
        <w:t>-</w:t>
      </w:r>
      <w:r w:rsidR="004468FC">
        <w:t xml:space="preserve"> </w:t>
      </w:r>
      <w:r>
        <w:t>Credit-rating</w:t>
      </w:r>
      <w:r>
        <w:tab/>
      </w:r>
      <w:r>
        <w:tab/>
      </w:r>
    </w:p>
    <w:p w14:paraId="37EEBBFE" w14:textId="77777777" w:rsidR="00FA4AA3" w:rsidRDefault="008064A0" w:rsidP="00742445">
      <w:pPr>
        <w:pStyle w:val="ListParagraph"/>
        <w:numPr>
          <w:ilvl w:val="0"/>
          <w:numId w:val="39"/>
        </w:numPr>
        <w:jc w:val="both"/>
      </w:pPr>
      <w:r>
        <w:t>E1</w:t>
      </w:r>
      <w:r w:rsidR="00FA4AA3">
        <w:t>-</w:t>
      </w:r>
      <w:r>
        <w:t xml:space="preserve"> Qualification recognition</w:t>
      </w:r>
      <w:r w:rsidR="00FA4AA3">
        <w:t xml:space="preserve"> (articulation)</w:t>
      </w:r>
    </w:p>
    <w:p w14:paraId="78EF6743" w14:textId="77777777" w:rsidR="00FA4AA3" w:rsidRDefault="008064A0" w:rsidP="00742445">
      <w:pPr>
        <w:pStyle w:val="ListParagraph"/>
        <w:numPr>
          <w:ilvl w:val="0"/>
          <w:numId w:val="39"/>
        </w:numPr>
        <w:jc w:val="both"/>
      </w:pPr>
      <w:r>
        <w:t>E2</w:t>
      </w:r>
      <w:r w:rsidR="00FA4AA3">
        <w:t xml:space="preserve">- </w:t>
      </w:r>
      <w:r>
        <w:t>Qualification recognition with a progression agreement</w:t>
      </w:r>
      <w:r w:rsidR="00FA4AA3">
        <w:t xml:space="preserve"> (articulation)</w:t>
      </w:r>
    </w:p>
    <w:p w14:paraId="5A80E188" w14:textId="77777777" w:rsidR="00FA4AA3" w:rsidRDefault="008064A0" w:rsidP="00742445">
      <w:pPr>
        <w:pStyle w:val="ListParagraph"/>
        <w:numPr>
          <w:ilvl w:val="0"/>
          <w:numId w:val="39"/>
        </w:numPr>
        <w:jc w:val="both"/>
      </w:pPr>
      <w:r>
        <w:t>F1</w:t>
      </w:r>
      <w:r w:rsidR="00FA4AA3">
        <w:t>-</w:t>
      </w:r>
      <w:r>
        <w:tab/>
        <w:t>Franchise (single modules)</w:t>
      </w:r>
    </w:p>
    <w:p w14:paraId="3BDEBC08" w14:textId="77777777" w:rsidR="00FA4AA3" w:rsidRDefault="008064A0" w:rsidP="00742445">
      <w:pPr>
        <w:pStyle w:val="ListParagraph"/>
        <w:numPr>
          <w:ilvl w:val="0"/>
          <w:numId w:val="39"/>
        </w:numPr>
        <w:jc w:val="both"/>
      </w:pPr>
      <w:r>
        <w:t>F2</w:t>
      </w:r>
      <w:r w:rsidR="00FA4AA3">
        <w:t xml:space="preserve">- </w:t>
      </w:r>
      <w:r>
        <w:t>Co-delivery</w:t>
      </w:r>
    </w:p>
    <w:p w14:paraId="1548868D" w14:textId="77777777" w:rsidR="00FA4AA3" w:rsidRDefault="008064A0" w:rsidP="00742445">
      <w:pPr>
        <w:pStyle w:val="ListParagraph"/>
        <w:numPr>
          <w:ilvl w:val="0"/>
          <w:numId w:val="39"/>
        </w:numPr>
        <w:jc w:val="both"/>
      </w:pPr>
      <w:r>
        <w:t>F3</w:t>
      </w:r>
      <w:r w:rsidR="00FA4AA3">
        <w:t xml:space="preserve">- </w:t>
      </w:r>
      <w:r>
        <w:t>Franchise (whole programmes)</w:t>
      </w:r>
    </w:p>
    <w:p w14:paraId="371AAACE" w14:textId="77777777" w:rsidR="00FA4AA3" w:rsidRDefault="008064A0" w:rsidP="00742445">
      <w:pPr>
        <w:pStyle w:val="ListParagraph"/>
        <w:numPr>
          <w:ilvl w:val="0"/>
          <w:numId w:val="39"/>
        </w:numPr>
        <w:jc w:val="both"/>
      </w:pPr>
      <w:r>
        <w:t>F4</w:t>
      </w:r>
      <w:r w:rsidR="00FA4AA3">
        <w:t xml:space="preserve">- </w:t>
      </w:r>
      <w:r>
        <w:t>Validation</w:t>
      </w:r>
    </w:p>
    <w:p w14:paraId="3B66AB76" w14:textId="0DFFA462" w:rsidR="008064A0" w:rsidRDefault="008064A0" w:rsidP="00742445">
      <w:pPr>
        <w:pStyle w:val="ListParagraph"/>
        <w:numPr>
          <w:ilvl w:val="0"/>
          <w:numId w:val="39"/>
        </w:numPr>
        <w:jc w:val="both"/>
      </w:pPr>
      <w:r>
        <w:t>F5</w:t>
      </w:r>
      <w:r w:rsidR="00FA4AA3">
        <w:t xml:space="preserve">- </w:t>
      </w:r>
      <w:r>
        <w:t>Joint awards</w:t>
      </w:r>
      <w:r>
        <w:tab/>
      </w:r>
      <w:r>
        <w:tab/>
      </w:r>
    </w:p>
    <w:p w14:paraId="4CF7AC38" w14:textId="3E0F5AFF" w:rsidR="00A377B4" w:rsidRDefault="00FA4AA3" w:rsidP="00742445">
      <w:pPr>
        <w:jc w:val="both"/>
      </w:pPr>
      <w:r>
        <w:t xml:space="preserve">Business approval </w:t>
      </w:r>
      <w:bookmarkStart w:id="73" w:name="_Hlk182923514"/>
      <w:r>
        <w:t xml:space="preserve">is granted </w:t>
      </w:r>
      <w:r w:rsidR="001659F4">
        <w:t>by the Partnership Advisory Sub-Group in advance of any submission to APC</w:t>
      </w:r>
      <w:r>
        <w:t xml:space="preserve">. </w:t>
      </w:r>
      <w:r w:rsidR="00A377B4">
        <w:t>The purpose of this stage is to provide early opportunity to identify risks</w:t>
      </w:r>
      <w:r w:rsidR="00614F78">
        <w:rPr>
          <w:rStyle w:val="FootnoteReference"/>
        </w:rPr>
        <w:footnoteReference w:id="40"/>
      </w:r>
      <w:r w:rsidR="00A377B4">
        <w:t xml:space="preserve"> (financial, reputational, legal or academic) and to consider the appropriateness of partnership and its business case.</w:t>
      </w:r>
      <w:bookmarkEnd w:id="73"/>
      <w:r w:rsidR="00A377B4">
        <w:t xml:space="preserve"> </w:t>
      </w:r>
      <w:r w:rsidR="001F0262">
        <w:t>When seeking business approval, the</w:t>
      </w:r>
      <w:r w:rsidR="005D1409">
        <w:t xml:space="preserve"> following paperwork </w:t>
      </w:r>
      <w:r w:rsidR="001F0262">
        <w:t>must be</w:t>
      </w:r>
      <w:r w:rsidR="005D1409">
        <w:t xml:space="preserve"> subm</w:t>
      </w:r>
      <w:r w:rsidR="001F0262">
        <w:t>itted</w:t>
      </w:r>
      <w:r w:rsidR="005D1409">
        <w:t xml:space="preserve"> </w:t>
      </w:r>
      <w:r w:rsidR="001F0262">
        <w:t>to</w:t>
      </w:r>
      <w:r w:rsidR="005D1409">
        <w:t xml:space="preserve"> the </w:t>
      </w:r>
      <w:r w:rsidR="004468FC">
        <w:t>PASG</w:t>
      </w:r>
      <w:r w:rsidR="005D1409">
        <w:t xml:space="preserve"> Secretary:</w:t>
      </w:r>
    </w:p>
    <w:p w14:paraId="70ED3EFE" w14:textId="4BD6CB41" w:rsidR="005D1409" w:rsidRDefault="005D1409" w:rsidP="00742445">
      <w:pPr>
        <w:pStyle w:val="ListParagraph"/>
        <w:numPr>
          <w:ilvl w:val="0"/>
          <w:numId w:val="40"/>
        </w:numPr>
        <w:jc w:val="both"/>
      </w:pPr>
      <w:r>
        <w:t>Academic Partnership Proposal form</w:t>
      </w:r>
      <w:r w:rsidR="00742445">
        <w:t>.</w:t>
      </w:r>
    </w:p>
    <w:p w14:paraId="582E98C4" w14:textId="2B0F5E8C" w:rsidR="005D1409" w:rsidRDefault="00776959" w:rsidP="00742445">
      <w:pPr>
        <w:pStyle w:val="ListParagraph"/>
        <w:numPr>
          <w:ilvl w:val="0"/>
          <w:numId w:val="40"/>
        </w:numPr>
        <w:jc w:val="both"/>
      </w:pPr>
      <w:r>
        <w:t>Initial d</w:t>
      </w:r>
      <w:r w:rsidR="0031704F">
        <w:t>ue diligence report</w:t>
      </w:r>
      <w:r>
        <w:rPr>
          <w:rStyle w:val="FootnoteReference"/>
        </w:rPr>
        <w:footnoteReference w:id="41"/>
      </w:r>
      <w:r w:rsidR="00742445">
        <w:t>.</w:t>
      </w:r>
    </w:p>
    <w:p w14:paraId="1A1F3569" w14:textId="603F9F88" w:rsidR="0031704F" w:rsidRDefault="0031704F" w:rsidP="00742445">
      <w:pPr>
        <w:pStyle w:val="ListParagraph"/>
        <w:numPr>
          <w:ilvl w:val="0"/>
          <w:numId w:val="40"/>
        </w:numPr>
        <w:jc w:val="both"/>
      </w:pPr>
      <w:r>
        <w:t>Full business case</w:t>
      </w:r>
      <w:r>
        <w:rPr>
          <w:rStyle w:val="FootnoteReference"/>
        </w:rPr>
        <w:footnoteReference w:id="42"/>
      </w:r>
      <w:r>
        <w:t xml:space="preserve"> for any partnership in categor</w:t>
      </w:r>
      <w:r w:rsidR="004468FC">
        <w:t>ies</w:t>
      </w:r>
      <w:r>
        <w:t xml:space="preserve"> C or F</w:t>
      </w:r>
      <w:r w:rsidR="00742445">
        <w:t>.</w:t>
      </w:r>
    </w:p>
    <w:p w14:paraId="09510215" w14:textId="683E3FE8" w:rsidR="004C3A98" w:rsidRDefault="004C3A98" w:rsidP="00742445">
      <w:pPr>
        <w:pStyle w:val="ListParagraph"/>
        <w:numPr>
          <w:ilvl w:val="0"/>
          <w:numId w:val="40"/>
        </w:numPr>
        <w:jc w:val="both"/>
      </w:pPr>
      <w:r>
        <w:t>Country profile</w:t>
      </w:r>
      <w:r w:rsidR="00A5603A">
        <w:t xml:space="preserve"> (for any international partnerships)</w:t>
      </w:r>
      <w:r w:rsidR="00742445">
        <w:t>.</w:t>
      </w:r>
    </w:p>
    <w:p w14:paraId="75B7D6E4" w14:textId="5B72385B" w:rsidR="004C3A98" w:rsidRDefault="004C3A98" w:rsidP="00742445">
      <w:pPr>
        <w:jc w:val="both"/>
      </w:pPr>
      <w:r>
        <w:lastRenderedPageBreak/>
        <w:t xml:space="preserve">More information on paperwork, its purpose and who completes it, </w:t>
      </w:r>
      <w:r w:rsidR="00742445">
        <w:t xml:space="preserve">see the </w:t>
      </w:r>
      <w:hyperlink r:id="rId42" w:history="1">
        <w:r w:rsidR="00742445" w:rsidRPr="00001D1D">
          <w:rPr>
            <w:rStyle w:val="Hyperlink"/>
          </w:rPr>
          <w:t>Guide to Academic Partnership Approvals</w:t>
        </w:r>
      </w:hyperlink>
      <w:r>
        <w:t>.</w:t>
      </w:r>
    </w:p>
    <w:p w14:paraId="297D8108" w14:textId="2C890FA7" w:rsidR="007A3663" w:rsidRDefault="004C3A98" w:rsidP="00742445">
      <w:pPr>
        <w:jc w:val="both"/>
      </w:pPr>
      <w:r>
        <w:t>Where</w:t>
      </w:r>
      <w:r w:rsidR="00A377B4">
        <w:t xml:space="preserve"> granted, b</w:t>
      </w:r>
      <w:r w:rsidR="00254F2C" w:rsidRPr="00D3044F">
        <w:t xml:space="preserve">usiness approval does not have an expiry date however proposals are normally expected to proceed to validation (delivery approval) within 12 months of business approval being granted. </w:t>
      </w:r>
    </w:p>
    <w:p w14:paraId="794F6C6B" w14:textId="5E61D30A" w:rsidR="00A5603A" w:rsidRDefault="003D09EE" w:rsidP="00E777D1">
      <w:pPr>
        <w:pStyle w:val="Heading3"/>
      </w:pPr>
      <w:bookmarkStart w:id="74" w:name="_Toc183094968"/>
      <w:r>
        <w:t xml:space="preserve">Initial </w:t>
      </w:r>
      <w:r w:rsidR="00F859E4">
        <w:t xml:space="preserve">Academic </w:t>
      </w:r>
      <w:r>
        <w:t>Approval</w:t>
      </w:r>
      <w:bookmarkEnd w:id="74"/>
      <w:r>
        <w:t xml:space="preserve"> </w:t>
      </w:r>
    </w:p>
    <w:p w14:paraId="53BEB57F" w14:textId="5D6D6C1F" w:rsidR="00F859E4" w:rsidRDefault="00BD193A" w:rsidP="00742445">
      <w:pPr>
        <w:jc w:val="both"/>
      </w:pPr>
      <w:r>
        <w:t>APC</w:t>
      </w:r>
      <w:r w:rsidR="003D09EE">
        <w:t xml:space="preserve"> is responsible for considering proposals for new category C+ delivery arrangements or re-approvals. It considers the fit with the University</w:t>
      </w:r>
      <w:r w:rsidR="00647FEF">
        <w:t xml:space="preserve">’s International and Curriculum Strategies. It may also outline areas for exploration by the Site Assessment Team or validation approval panel. </w:t>
      </w:r>
    </w:p>
    <w:p w14:paraId="61042EBB" w14:textId="62F889F6" w:rsidR="00254F2C" w:rsidRDefault="00254F2C" w:rsidP="00E777D1">
      <w:pPr>
        <w:pStyle w:val="Heading3"/>
        <w:rPr>
          <w:b w:val="0"/>
          <w:bCs/>
        </w:rPr>
      </w:pPr>
      <w:bookmarkStart w:id="75" w:name="_Toc183094969"/>
      <w:r w:rsidRPr="003916BE">
        <w:t>Delivery Approval</w:t>
      </w:r>
      <w:bookmarkEnd w:id="75"/>
    </w:p>
    <w:p w14:paraId="039DF464" w14:textId="70093C16" w:rsidR="00EC3FEA" w:rsidRDefault="00254F2C" w:rsidP="00742445">
      <w:pPr>
        <w:jc w:val="both"/>
      </w:pPr>
      <w:r w:rsidRPr="00D3044F">
        <w:t xml:space="preserve">Delivery approval </w:t>
      </w:r>
      <w:r w:rsidR="007A3663">
        <w:t>takes place after</w:t>
      </w:r>
      <w:r w:rsidR="00A5603A">
        <w:t xml:space="preserve"> the initial approval</w:t>
      </w:r>
      <w:r w:rsidR="00F859E4">
        <w:t xml:space="preserve"> process</w:t>
      </w:r>
      <w:r w:rsidR="00EA0F04">
        <w:t>,</w:t>
      </w:r>
      <w:r w:rsidR="00A5603A">
        <w:t xml:space="preserve"> and </w:t>
      </w:r>
      <w:r w:rsidR="00F859E4">
        <w:t xml:space="preserve">the paperwork, timescales and process </w:t>
      </w:r>
      <w:r w:rsidR="00A5603A">
        <w:t xml:space="preserve">varies according to the category of partnership. </w:t>
      </w:r>
      <w:r w:rsidR="00EC3FEA">
        <w:t xml:space="preserve">The standard process </w:t>
      </w:r>
      <w:r w:rsidR="007A3663">
        <w:t xml:space="preserve">for category C and F </w:t>
      </w:r>
      <w:r w:rsidR="00383C30">
        <w:t>partnerships</w:t>
      </w:r>
      <w:r w:rsidR="007A3663">
        <w:t xml:space="preserve"> </w:t>
      </w:r>
      <w:r w:rsidR="00EC3FEA">
        <w:t xml:space="preserve">is shown in the </w:t>
      </w:r>
      <w:r w:rsidR="0017746D">
        <w:t>Figure 1</w:t>
      </w:r>
      <w:r w:rsidR="00EC3FEA">
        <w:t xml:space="preserve"> below</w:t>
      </w:r>
      <w:r w:rsidR="00383C30">
        <w:t xml:space="preserve"> (different processes apply for articulations)</w:t>
      </w:r>
      <w:r w:rsidR="00EC3FEA">
        <w:t>:</w:t>
      </w:r>
    </w:p>
    <w:p w14:paraId="3338058A" w14:textId="77777777" w:rsidR="00445B3A" w:rsidRDefault="00445B3A" w:rsidP="00742445">
      <w:pPr>
        <w:jc w:val="both"/>
      </w:pPr>
    </w:p>
    <w:p w14:paraId="69CEB38C" w14:textId="77777777" w:rsidR="00445B3A" w:rsidRDefault="00445B3A" w:rsidP="00742445">
      <w:pPr>
        <w:jc w:val="both"/>
      </w:pPr>
    </w:p>
    <w:p w14:paraId="3BEA13AF" w14:textId="77777777" w:rsidR="00445B3A" w:rsidRDefault="00445B3A" w:rsidP="00742445">
      <w:pPr>
        <w:jc w:val="both"/>
      </w:pPr>
    </w:p>
    <w:p w14:paraId="4BDF7277" w14:textId="77777777" w:rsidR="00445B3A" w:rsidRDefault="00445B3A" w:rsidP="00742445">
      <w:pPr>
        <w:jc w:val="both"/>
      </w:pPr>
    </w:p>
    <w:p w14:paraId="1BE62C69" w14:textId="77777777" w:rsidR="00445B3A" w:rsidRDefault="00445B3A" w:rsidP="00742445">
      <w:pPr>
        <w:jc w:val="both"/>
      </w:pPr>
    </w:p>
    <w:p w14:paraId="592FCD06" w14:textId="77777777" w:rsidR="00445B3A" w:rsidRDefault="00445B3A" w:rsidP="00742445">
      <w:pPr>
        <w:jc w:val="both"/>
      </w:pPr>
    </w:p>
    <w:p w14:paraId="408F4268" w14:textId="77777777" w:rsidR="00445B3A" w:rsidRDefault="00445B3A" w:rsidP="00742445">
      <w:pPr>
        <w:jc w:val="both"/>
      </w:pPr>
    </w:p>
    <w:p w14:paraId="5F41A945" w14:textId="77777777" w:rsidR="00445B3A" w:rsidRDefault="00445B3A" w:rsidP="00742445">
      <w:pPr>
        <w:jc w:val="both"/>
      </w:pPr>
    </w:p>
    <w:p w14:paraId="3F2E5588" w14:textId="77777777" w:rsidR="00445B3A" w:rsidRDefault="00445B3A" w:rsidP="00742445">
      <w:pPr>
        <w:jc w:val="both"/>
      </w:pPr>
    </w:p>
    <w:p w14:paraId="1EF2BB3C" w14:textId="77777777" w:rsidR="00445B3A" w:rsidRDefault="00445B3A" w:rsidP="00742445">
      <w:pPr>
        <w:jc w:val="both"/>
      </w:pPr>
    </w:p>
    <w:p w14:paraId="32D94CF6" w14:textId="77777777" w:rsidR="00445B3A" w:rsidRDefault="00445B3A" w:rsidP="00742445">
      <w:pPr>
        <w:jc w:val="both"/>
      </w:pPr>
    </w:p>
    <w:p w14:paraId="68E4C27F" w14:textId="77777777" w:rsidR="00445B3A" w:rsidRDefault="00445B3A" w:rsidP="00742445">
      <w:pPr>
        <w:jc w:val="both"/>
      </w:pPr>
    </w:p>
    <w:p w14:paraId="304DBD1C" w14:textId="77777777" w:rsidR="00445B3A" w:rsidRDefault="00445B3A" w:rsidP="00742445">
      <w:pPr>
        <w:jc w:val="both"/>
      </w:pPr>
    </w:p>
    <w:p w14:paraId="4D0640D9" w14:textId="77777777" w:rsidR="00445B3A" w:rsidRDefault="00445B3A" w:rsidP="00742445">
      <w:pPr>
        <w:jc w:val="both"/>
      </w:pPr>
    </w:p>
    <w:p w14:paraId="0D34045E" w14:textId="77777777" w:rsidR="00445B3A" w:rsidRDefault="00445B3A" w:rsidP="00742445">
      <w:pPr>
        <w:jc w:val="both"/>
      </w:pPr>
    </w:p>
    <w:p w14:paraId="2F55AB3A" w14:textId="77777777" w:rsidR="00445B3A" w:rsidRDefault="00445B3A" w:rsidP="00742445">
      <w:pPr>
        <w:jc w:val="both"/>
      </w:pPr>
    </w:p>
    <w:p w14:paraId="233A9EBB" w14:textId="77777777" w:rsidR="00445B3A" w:rsidRDefault="00445B3A" w:rsidP="00742445">
      <w:pPr>
        <w:jc w:val="both"/>
      </w:pPr>
    </w:p>
    <w:p w14:paraId="7CF84743" w14:textId="0EB6C7E2" w:rsidR="0017746D" w:rsidRPr="00445B3A" w:rsidRDefault="0017746D" w:rsidP="00445B3A">
      <w:pPr>
        <w:pStyle w:val="Heading3"/>
        <w:rPr>
          <w:sz w:val="20"/>
          <w:szCs w:val="20"/>
        </w:rPr>
      </w:pPr>
      <w:bookmarkStart w:id="76" w:name="_Toc183094970"/>
      <w:r w:rsidRPr="00445B3A">
        <w:rPr>
          <w:sz w:val="20"/>
          <w:szCs w:val="20"/>
        </w:rPr>
        <w:lastRenderedPageBreak/>
        <w:t>Figure 1. Partner and Delivery Approval Process Flowchart (Cat C &amp; F)</w:t>
      </w:r>
      <w:bookmarkEnd w:id="76"/>
    </w:p>
    <w:p w14:paraId="0FB8FEE2" w14:textId="3EBC396A" w:rsidR="00EC3FEA" w:rsidRDefault="0017746D" w:rsidP="007C2929">
      <w:pPr>
        <w:jc w:val="center"/>
      </w:pPr>
      <w:r w:rsidRPr="0017746D">
        <w:rPr>
          <w:noProof/>
        </w:rPr>
        <w:drawing>
          <wp:inline distT="0" distB="0" distL="0" distR="0" wp14:anchorId="7A883453" wp14:editId="710CF0C3">
            <wp:extent cx="5731510" cy="6828790"/>
            <wp:effectExtent l="0" t="0" r="2540" b="0"/>
            <wp:docPr id="1806017582" name="Picture 9" descr="Partner and Delivery Approval Process Flowchart (Cat C &am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17582" name="Picture 9" descr="Partner and Delivery Approval Process Flowchart (Cat C &amp; 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6828790"/>
                    </a:xfrm>
                    <a:prstGeom prst="rect">
                      <a:avLst/>
                    </a:prstGeom>
                    <a:noFill/>
                    <a:ln>
                      <a:noFill/>
                    </a:ln>
                  </pic:spPr>
                </pic:pic>
              </a:graphicData>
            </a:graphic>
          </wp:inline>
        </w:drawing>
      </w:r>
    </w:p>
    <w:p w14:paraId="5C068E84" w14:textId="2403F6CA" w:rsidR="001D09E2" w:rsidRDefault="005A00D8" w:rsidP="00742445">
      <w:pPr>
        <w:jc w:val="both"/>
      </w:pPr>
      <w:r>
        <w:t xml:space="preserve">During the development phase the proposing team should </w:t>
      </w:r>
      <w:r w:rsidR="00724A7F">
        <w:t xml:space="preserve">ensure they consult closely with the different internal </w:t>
      </w:r>
      <w:r w:rsidR="001F0262">
        <w:t>d</w:t>
      </w:r>
      <w:r w:rsidR="00724A7F">
        <w:t xml:space="preserve">epartments and </w:t>
      </w:r>
      <w:r w:rsidR="001F0262">
        <w:t>s</w:t>
      </w:r>
      <w:r w:rsidR="00724A7F">
        <w:t xml:space="preserve">ervices such as </w:t>
      </w:r>
      <w:r w:rsidR="00C4141B">
        <w:t xml:space="preserve">Library and </w:t>
      </w:r>
      <w:r w:rsidR="00724A7F">
        <w:t xml:space="preserve">Learning Services, </w:t>
      </w:r>
      <w:r w:rsidR="001F0262">
        <w:t xml:space="preserve">Marketing and Student Recruitment, Admissions, the International Office (if applicable) and </w:t>
      </w:r>
      <w:r w:rsidR="00724A7F">
        <w:t xml:space="preserve">Academic Registry to ensure </w:t>
      </w:r>
      <w:r w:rsidR="001D09E2">
        <w:t>the design and delivery proposed is robust and achievable.</w:t>
      </w:r>
    </w:p>
    <w:p w14:paraId="508684AF" w14:textId="51B1C52E" w:rsidR="00BE3C4D" w:rsidRDefault="00984334" w:rsidP="00742445">
      <w:pPr>
        <w:jc w:val="both"/>
      </w:pPr>
      <w:r>
        <w:t>Processes are</w:t>
      </w:r>
      <w:r w:rsidR="00F859E4">
        <w:t xml:space="preserve"> broadly</w:t>
      </w:r>
      <w:r>
        <w:t xml:space="preserve"> </w:t>
      </w:r>
      <w:r w:rsidR="00254F2C">
        <w:t xml:space="preserve">based upon </w:t>
      </w:r>
      <w:r>
        <w:t xml:space="preserve">scrutiny of </w:t>
      </w:r>
      <w:r w:rsidR="00254F2C">
        <w:t>evidence of the partner’s staffing and resources</w:t>
      </w:r>
      <w:r w:rsidR="00F859E4">
        <w:t xml:space="preserve"> </w:t>
      </w:r>
      <w:r>
        <w:t xml:space="preserve">by an expert panel to ensure delivery can commence with partner to a high standard. </w:t>
      </w:r>
      <w:r w:rsidR="00F859E4">
        <w:t xml:space="preserve">An </w:t>
      </w:r>
      <w:r w:rsidR="00F859E4">
        <w:lastRenderedPageBreak/>
        <w:t xml:space="preserve">approval panel is assembled from the VASP membership </w:t>
      </w:r>
      <w:r w:rsidR="00BE3C4D">
        <w:t xml:space="preserve">which considers relevant paperwork from the proposing team. Site Assessments </w:t>
      </w:r>
      <w:r w:rsidR="47396690">
        <w:t xml:space="preserve">must be </w:t>
      </w:r>
      <w:r w:rsidR="00BE3C4D">
        <w:t xml:space="preserve">conducted for all category C+ partners </w:t>
      </w:r>
      <w:r w:rsidR="00115E43">
        <w:t>and form a key part of the evidence base for the panel.</w:t>
      </w:r>
      <w:r w:rsidR="2A119965">
        <w:t xml:space="preserve"> No delivery with a partner may commence without the completion of a satisfactory Site Assessment.</w:t>
      </w:r>
      <w:r w:rsidR="00BE3C4D">
        <w:t xml:space="preserve"> </w:t>
      </w:r>
      <w:r w:rsidR="00115E43">
        <w:t xml:space="preserve">Paperwork requirements for the different categories of partner are detailed in the </w:t>
      </w:r>
      <w:hyperlink r:id="rId44" w:history="1">
        <w:r w:rsidR="00742445" w:rsidRPr="00001D1D">
          <w:rPr>
            <w:rStyle w:val="Hyperlink"/>
          </w:rPr>
          <w:t>Guide to Academic Partnership Approvals</w:t>
        </w:r>
      </w:hyperlink>
      <w:r w:rsidR="00742445">
        <w:t>.</w:t>
      </w:r>
    </w:p>
    <w:p w14:paraId="20610753" w14:textId="4226DFC0" w:rsidR="00254F2C" w:rsidRDefault="00254F2C" w:rsidP="00742445">
      <w:pPr>
        <w:jc w:val="both"/>
      </w:pPr>
      <w:r w:rsidRPr="00D3044F">
        <w:t xml:space="preserve">Where a proposal is submitted to add additional provision at an approved partner where the category of approved provision is different, the highest category of partnership will have primacy in determining the required process. However, a proportionate approach to documentation and processes will be applied and should be discussed as early as possible with the </w:t>
      </w:r>
      <w:r w:rsidR="009A4875">
        <w:t>Governance, Quality Assurance and Student Casework team</w:t>
      </w:r>
      <w:r w:rsidRPr="00D3044F">
        <w:t>.</w:t>
      </w:r>
    </w:p>
    <w:p w14:paraId="6C2DCD79" w14:textId="6ECA1611" w:rsidR="000B03D3" w:rsidRPr="00D3044F" w:rsidRDefault="00254F2C" w:rsidP="00742445">
      <w:pPr>
        <w:jc w:val="both"/>
      </w:pPr>
      <w:bookmarkStart w:id="77" w:name="_Hlk52887627"/>
      <w:r>
        <w:t xml:space="preserve">Existing, approved partnerships may have additional modules added to their delivery portfolio and this can be done by Faculties in accordance with their module approval processes (see Chapter 4 of the Quality Management Handbook). In considering adding any provision to the partnership the </w:t>
      </w:r>
      <w:r w:rsidRPr="009B25C6">
        <w:t xml:space="preserve">appropriateness and availability of resources (including staffing) </w:t>
      </w:r>
      <w:r>
        <w:t>must be confirmed and t</w:t>
      </w:r>
      <w:r w:rsidRPr="009B25C6">
        <w:t xml:space="preserve">he current Delivery Plan </w:t>
      </w:r>
      <w:r>
        <w:t xml:space="preserve">must also be reviewed to ensure it </w:t>
      </w:r>
      <w:r w:rsidRPr="009B25C6">
        <w:t xml:space="preserve">remains valid </w:t>
      </w:r>
      <w:r>
        <w:t>for the delivery of any</w:t>
      </w:r>
      <w:r w:rsidRPr="009B25C6">
        <w:t xml:space="preserve"> new modules</w:t>
      </w:r>
      <w:r>
        <w:t xml:space="preserve">. However, minor programme modifications to franchise or co-delivery programmes should be considered carefully before progression and may require an institutional approval event (depending on the nature and scale of the change). Early advice should be sought from the </w:t>
      </w:r>
      <w:r w:rsidR="009A4875">
        <w:t>Governance, Quality Assurance and Student Casework</w:t>
      </w:r>
      <w:r>
        <w:t xml:space="preserve"> to discuss changes to franchise or co-delivery programmes.</w:t>
      </w:r>
    </w:p>
    <w:p w14:paraId="5A9E72F7" w14:textId="439F4046" w:rsidR="001632D8" w:rsidRPr="00D3044F" w:rsidRDefault="001632D8" w:rsidP="00E777D1">
      <w:pPr>
        <w:pStyle w:val="Heading3"/>
      </w:pPr>
      <w:bookmarkStart w:id="78" w:name="_Toc183094971"/>
      <w:r>
        <w:t>Re-approvals</w:t>
      </w:r>
      <w:bookmarkEnd w:id="78"/>
    </w:p>
    <w:bookmarkEnd w:id="77"/>
    <w:p w14:paraId="59A961F8" w14:textId="34097FDD" w:rsidR="0003402D" w:rsidRDefault="00115E43" w:rsidP="00742445">
      <w:pPr>
        <w:jc w:val="both"/>
      </w:pPr>
      <w:r>
        <w:t>The Annual Review process serves to renew</w:t>
      </w:r>
      <w:r w:rsidR="006C567B">
        <w:t xml:space="preserve"> individual</w:t>
      </w:r>
      <w:r>
        <w:t xml:space="preserve"> delivery approval arrangements each year and includes the ongoing verification of resources as well as contract contents. </w:t>
      </w:r>
      <w:r w:rsidR="0003402D" w:rsidRPr="00D3044F">
        <w:t>All partners with Edge Hill University are approved for a defined period of time which, upon expiry, may be renewed. Standard periods of approval are detailed below, any changes to them requiring consideration via the Annual Process Review:</w:t>
      </w:r>
    </w:p>
    <w:p w14:paraId="05E336A0" w14:textId="0C831317" w:rsidR="00277819" w:rsidRPr="00631455" w:rsidRDefault="0003402D" w:rsidP="00AF1D09">
      <w:pPr>
        <w:pStyle w:val="Heading3"/>
        <w:rPr>
          <w:sz w:val="20"/>
          <w:szCs w:val="20"/>
        </w:rPr>
      </w:pPr>
      <w:bookmarkStart w:id="79" w:name="_Toc183094972"/>
      <w:r w:rsidRPr="00631455">
        <w:rPr>
          <w:sz w:val="20"/>
          <w:szCs w:val="20"/>
        </w:rPr>
        <w:lastRenderedPageBreak/>
        <w:t xml:space="preserve">Table </w:t>
      </w:r>
      <w:r w:rsidR="00277819" w:rsidRPr="00631455">
        <w:rPr>
          <w:sz w:val="20"/>
          <w:szCs w:val="20"/>
        </w:rPr>
        <w:t>5</w:t>
      </w:r>
      <w:r w:rsidRPr="00631455">
        <w:rPr>
          <w:sz w:val="20"/>
          <w:szCs w:val="20"/>
        </w:rPr>
        <w:t xml:space="preserve">: Partner approval periods </w:t>
      </w:r>
      <w:r w:rsidR="00277819" w:rsidRPr="00631455">
        <w:rPr>
          <w:sz w:val="20"/>
          <w:szCs w:val="20"/>
        </w:rPr>
        <w:t>for category C + arrangements</w:t>
      </w:r>
      <w:bookmarkEnd w:id="79"/>
    </w:p>
    <w:tbl>
      <w:tblPr>
        <w:tblStyle w:val="TableGrid"/>
        <w:tblW w:w="0" w:type="auto"/>
        <w:tblLook w:val="04A0" w:firstRow="1" w:lastRow="0" w:firstColumn="1" w:lastColumn="0" w:noHBand="0" w:noVBand="1"/>
      </w:tblPr>
      <w:tblGrid>
        <w:gridCol w:w="421"/>
        <w:gridCol w:w="1701"/>
        <w:gridCol w:w="1134"/>
        <w:gridCol w:w="3543"/>
        <w:gridCol w:w="2217"/>
      </w:tblGrid>
      <w:tr w:rsidR="0003402D" w:rsidRPr="00E5308E" w14:paraId="24FADB2C" w14:textId="77777777" w:rsidTr="00E267AF">
        <w:trPr>
          <w:tblHeader/>
        </w:trPr>
        <w:tc>
          <w:tcPr>
            <w:tcW w:w="421" w:type="dxa"/>
            <w:tcBorders>
              <w:top w:val="single" w:sz="4" w:space="0" w:color="auto"/>
              <w:left w:val="single" w:sz="4" w:space="0" w:color="auto"/>
              <w:bottom w:val="single" w:sz="4" w:space="0" w:color="auto"/>
              <w:right w:val="single" w:sz="4" w:space="0" w:color="auto"/>
            </w:tcBorders>
          </w:tcPr>
          <w:p w14:paraId="3B3F78CC" w14:textId="21A0BB7A" w:rsidR="0003402D" w:rsidRPr="00AF1D09" w:rsidRDefault="0003402D" w:rsidP="009A4875">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0A0154" w14:textId="2E4503C0" w:rsidR="0003402D" w:rsidRPr="00AF1D09" w:rsidRDefault="00A23D42" w:rsidP="009A4875">
            <w:pPr>
              <w:rPr>
                <w:rFonts w:asciiTheme="minorHAnsi" w:hAnsiTheme="minorHAnsi" w:cstheme="minorHAnsi"/>
                <w:b/>
                <w:sz w:val="20"/>
                <w:szCs w:val="20"/>
              </w:rPr>
            </w:pPr>
            <w:r w:rsidRPr="00AF1D09">
              <w:rPr>
                <w:rFonts w:asciiTheme="minorHAnsi" w:hAnsiTheme="minorHAnsi" w:cstheme="minorHAnsi"/>
                <w:b/>
                <w:sz w:val="20"/>
                <w:szCs w:val="20"/>
              </w:rPr>
              <w:t>Category</w:t>
            </w:r>
          </w:p>
        </w:tc>
        <w:tc>
          <w:tcPr>
            <w:tcW w:w="1134" w:type="dxa"/>
            <w:tcBorders>
              <w:top w:val="single" w:sz="4" w:space="0" w:color="auto"/>
              <w:left w:val="single" w:sz="4" w:space="0" w:color="auto"/>
              <w:bottom w:val="single" w:sz="4" w:space="0" w:color="auto"/>
              <w:right w:val="single" w:sz="4" w:space="0" w:color="auto"/>
            </w:tcBorders>
          </w:tcPr>
          <w:p w14:paraId="53E1B77A"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Sub-category</w:t>
            </w:r>
          </w:p>
        </w:tc>
        <w:tc>
          <w:tcPr>
            <w:tcW w:w="3543" w:type="dxa"/>
            <w:tcBorders>
              <w:top w:val="single" w:sz="4" w:space="0" w:color="auto"/>
              <w:left w:val="single" w:sz="4" w:space="0" w:color="auto"/>
              <w:bottom w:val="single" w:sz="4" w:space="0" w:color="auto"/>
              <w:right w:val="single" w:sz="4" w:space="0" w:color="auto"/>
            </w:tcBorders>
          </w:tcPr>
          <w:p w14:paraId="1548937F" w14:textId="77777777" w:rsidR="0003402D" w:rsidRPr="00AF1D09" w:rsidRDefault="0003402D" w:rsidP="009A4875">
            <w:pPr>
              <w:rPr>
                <w:rFonts w:asciiTheme="minorHAnsi" w:hAnsiTheme="minorHAnsi" w:cstheme="minorHAnsi"/>
                <w:b/>
                <w:sz w:val="20"/>
                <w:szCs w:val="20"/>
              </w:rPr>
            </w:pPr>
          </w:p>
        </w:tc>
        <w:tc>
          <w:tcPr>
            <w:tcW w:w="2217" w:type="dxa"/>
            <w:tcBorders>
              <w:top w:val="single" w:sz="4" w:space="0" w:color="auto"/>
              <w:left w:val="single" w:sz="4" w:space="0" w:color="auto"/>
              <w:bottom w:val="single" w:sz="4" w:space="0" w:color="auto"/>
              <w:right w:val="single" w:sz="4" w:space="0" w:color="auto"/>
            </w:tcBorders>
          </w:tcPr>
          <w:p w14:paraId="1C4F3040"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Period of Partner Approval</w:t>
            </w:r>
          </w:p>
        </w:tc>
      </w:tr>
      <w:tr w:rsidR="0003402D" w:rsidRPr="00E5308E" w14:paraId="5AEDF3AC" w14:textId="77777777" w:rsidTr="00E267AF">
        <w:trPr>
          <w:trHeight w:val="336"/>
          <w:tblHeader/>
        </w:trPr>
        <w:tc>
          <w:tcPr>
            <w:tcW w:w="421" w:type="dxa"/>
            <w:tcBorders>
              <w:top w:val="single" w:sz="4" w:space="0" w:color="auto"/>
              <w:left w:val="single" w:sz="4" w:space="0" w:color="auto"/>
              <w:bottom w:val="nil"/>
              <w:right w:val="single" w:sz="4" w:space="0" w:color="auto"/>
            </w:tcBorders>
          </w:tcPr>
          <w:p w14:paraId="682BDBB9"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C</w:t>
            </w:r>
          </w:p>
        </w:tc>
        <w:tc>
          <w:tcPr>
            <w:tcW w:w="1701" w:type="dxa"/>
            <w:vMerge w:val="restart"/>
            <w:tcBorders>
              <w:top w:val="single" w:sz="4" w:space="0" w:color="auto"/>
              <w:left w:val="single" w:sz="4" w:space="0" w:color="auto"/>
              <w:right w:val="single" w:sz="4" w:space="0" w:color="auto"/>
            </w:tcBorders>
          </w:tcPr>
          <w:p w14:paraId="759932C1"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Outreach Supported Learning Centres</w:t>
            </w:r>
          </w:p>
        </w:tc>
        <w:tc>
          <w:tcPr>
            <w:tcW w:w="1134" w:type="dxa"/>
            <w:tcBorders>
              <w:top w:val="single" w:sz="4" w:space="0" w:color="auto"/>
              <w:left w:val="single" w:sz="4" w:space="0" w:color="auto"/>
              <w:bottom w:val="single" w:sz="4" w:space="0" w:color="auto"/>
              <w:right w:val="single" w:sz="4" w:space="0" w:color="auto"/>
            </w:tcBorders>
          </w:tcPr>
          <w:p w14:paraId="113CFB32"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C1</w:t>
            </w:r>
          </w:p>
        </w:tc>
        <w:tc>
          <w:tcPr>
            <w:tcW w:w="3543" w:type="dxa"/>
            <w:tcBorders>
              <w:top w:val="single" w:sz="4" w:space="0" w:color="auto"/>
              <w:left w:val="single" w:sz="4" w:space="0" w:color="auto"/>
              <w:bottom w:val="single" w:sz="4" w:space="0" w:color="auto"/>
              <w:right w:val="single" w:sz="4" w:space="0" w:color="auto"/>
            </w:tcBorders>
          </w:tcPr>
          <w:p w14:paraId="6B7D61FC"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Outreach Supported Learning Centres: Education providers (UK)</w:t>
            </w:r>
          </w:p>
        </w:tc>
        <w:tc>
          <w:tcPr>
            <w:tcW w:w="2217" w:type="dxa"/>
            <w:tcBorders>
              <w:top w:val="single" w:sz="4" w:space="0" w:color="auto"/>
              <w:left w:val="single" w:sz="4" w:space="0" w:color="auto"/>
              <w:bottom w:val="single" w:sz="4" w:space="0" w:color="auto"/>
              <w:right w:val="single" w:sz="4" w:space="0" w:color="auto"/>
            </w:tcBorders>
          </w:tcPr>
          <w:p w14:paraId="442502EC"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00476422" w14:textId="77777777" w:rsidTr="00E267AF">
        <w:trPr>
          <w:trHeight w:val="384"/>
          <w:tblHeader/>
        </w:trPr>
        <w:tc>
          <w:tcPr>
            <w:tcW w:w="421" w:type="dxa"/>
            <w:tcBorders>
              <w:top w:val="nil"/>
              <w:left w:val="single" w:sz="4" w:space="0" w:color="auto"/>
              <w:bottom w:val="nil"/>
              <w:right w:val="single" w:sz="4" w:space="0" w:color="auto"/>
            </w:tcBorders>
          </w:tcPr>
          <w:p w14:paraId="75A9E273" w14:textId="77777777" w:rsidR="0003402D" w:rsidRPr="00AF1D09" w:rsidRDefault="0003402D" w:rsidP="009A4875">
            <w:pPr>
              <w:rPr>
                <w:rFonts w:asciiTheme="minorHAnsi" w:hAnsiTheme="minorHAnsi" w:cstheme="minorHAnsi"/>
                <w:b/>
                <w:sz w:val="20"/>
                <w:szCs w:val="20"/>
              </w:rPr>
            </w:pPr>
          </w:p>
        </w:tc>
        <w:tc>
          <w:tcPr>
            <w:tcW w:w="1701" w:type="dxa"/>
            <w:vMerge/>
            <w:tcBorders>
              <w:left w:val="single" w:sz="4" w:space="0" w:color="auto"/>
              <w:right w:val="single" w:sz="4" w:space="0" w:color="auto"/>
            </w:tcBorders>
          </w:tcPr>
          <w:p w14:paraId="1161553C" w14:textId="77777777" w:rsidR="0003402D" w:rsidRPr="00AF1D09" w:rsidRDefault="0003402D" w:rsidP="009A4875">
            <w:pPr>
              <w:rPr>
                <w:rFonts w:asciiTheme="minorHAnsi" w:hAnsiTheme="minorHAnsi" w:cstheme="minorHAnsi"/>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0F9139"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C2</w:t>
            </w:r>
          </w:p>
        </w:tc>
        <w:tc>
          <w:tcPr>
            <w:tcW w:w="3543" w:type="dxa"/>
            <w:tcBorders>
              <w:top w:val="single" w:sz="4" w:space="0" w:color="auto"/>
              <w:left w:val="single" w:sz="4" w:space="0" w:color="auto"/>
              <w:bottom w:val="single" w:sz="4" w:space="0" w:color="auto"/>
              <w:right w:val="single" w:sz="4" w:space="0" w:color="auto"/>
            </w:tcBorders>
          </w:tcPr>
          <w:p w14:paraId="16431AEA"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Outreach Supported Learning Centres: Non-education providers (UK)</w:t>
            </w:r>
          </w:p>
        </w:tc>
        <w:tc>
          <w:tcPr>
            <w:tcW w:w="2217" w:type="dxa"/>
            <w:tcBorders>
              <w:top w:val="single" w:sz="4" w:space="0" w:color="auto"/>
              <w:left w:val="single" w:sz="4" w:space="0" w:color="auto"/>
              <w:bottom w:val="single" w:sz="4" w:space="0" w:color="auto"/>
              <w:right w:val="single" w:sz="4" w:space="0" w:color="auto"/>
            </w:tcBorders>
          </w:tcPr>
          <w:p w14:paraId="276C495E"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7041644E" w14:textId="77777777" w:rsidTr="00E267AF">
        <w:trPr>
          <w:tblHeader/>
        </w:trPr>
        <w:tc>
          <w:tcPr>
            <w:tcW w:w="421" w:type="dxa"/>
            <w:tcBorders>
              <w:top w:val="nil"/>
              <w:left w:val="single" w:sz="4" w:space="0" w:color="auto"/>
              <w:bottom w:val="single" w:sz="4" w:space="0" w:color="auto"/>
              <w:right w:val="single" w:sz="4" w:space="0" w:color="auto"/>
            </w:tcBorders>
          </w:tcPr>
          <w:p w14:paraId="4DD91CAE" w14:textId="77777777" w:rsidR="0003402D" w:rsidRPr="00AF1D09" w:rsidRDefault="0003402D" w:rsidP="009A4875">
            <w:pPr>
              <w:rPr>
                <w:rFonts w:asciiTheme="minorHAnsi" w:hAnsiTheme="minorHAnsi" w:cstheme="minorHAnsi"/>
                <w:b/>
                <w:sz w:val="20"/>
                <w:szCs w:val="20"/>
              </w:rPr>
            </w:pPr>
          </w:p>
        </w:tc>
        <w:tc>
          <w:tcPr>
            <w:tcW w:w="1701" w:type="dxa"/>
            <w:vMerge/>
            <w:tcBorders>
              <w:left w:val="single" w:sz="4" w:space="0" w:color="auto"/>
              <w:bottom w:val="single" w:sz="4" w:space="0" w:color="auto"/>
              <w:right w:val="single" w:sz="4" w:space="0" w:color="auto"/>
            </w:tcBorders>
          </w:tcPr>
          <w:p w14:paraId="1D2E1F20" w14:textId="77777777" w:rsidR="0003402D" w:rsidRPr="00AF1D09" w:rsidRDefault="0003402D" w:rsidP="009A4875">
            <w:pPr>
              <w:rPr>
                <w:rFonts w:asciiTheme="minorHAnsi" w:hAnsiTheme="minorHAnsi" w:cstheme="minorHAnsi"/>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6CBD4F"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C3</w:t>
            </w:r>
          </w:p>
        </w:tc>
        <w:tc>
          <w:tcPr>
            <w:tcW w:w="3543" w:type="dxa"/>
            <w:tcBorders>
              <w:top w:val="single" w:sz="4" w:space="0" w:color="auto"/>
              <w:left w:val="single" w:sz="4" w:space="0" w:color="auto"/>
              <w:bottom w:val="single" w:sz="4" w:space="0" w:color="auto"/>
              <w:right w:val="single" w:sz="4" w:space="0" w:color="auto"/>
            </w:tcBorders>
          </w:tcPr>
          <w:p w14:paraId="1FA73965"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Outreach Supported</w:t>
            </w:r>
          </w:p>
          <w:p w14:paraId="6D51AC48"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Learning Centres (Overseas)</w:t>
            </w:r>
          </w:p>
        </w:tc>
        <w:tc>
          <w:tcPr>
            <w:tcW w:w="2217" w:type="dxa"/>
            <w:tcBorders>
              <w:top w:val="single" w:sz="4" w:space="0" w:color="auto"/>
              <w:left w:val="single" w:sz="4" w:space="0" w:color="auto"/>
              <w:bottom w:val="single" w:sz="4" w:space="0" w:color="auto"/>
              <w:right w:val="single" w:sz="4" w:space="0" w:color="auto"/>
            </w:tcBorders>
          </w:tcPr>
          <w:p w14:paraId="714B4921"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721E6F61" w14:textId="77777777" w:rsidTr="00E267AF">
        <w:trPr>
          <w:tblHeader/>
        </w:trPr>
        <w:tc>
          <w:tcPr>
            <w:tcW w:w="421" w:type="dxa"/>
            <w:tcBorders>
              <w:top w:val="single" w:sz="4" w:space="0" w:color="auto"/>
              <w:left w:val="single" w:sz="4" w:space="0" w:color="auto"/>
              <w:bottom w:val="single" w:sz="4" w:space="0" w:color="auto"/>
              <w:right w:val="single" w:sz="4" w:space="0" w:color="auto"/>
            </w:tcBorders>
          </w:tcPr>
          <w:p w14:paraId="17B20524"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D</w:t>
            </w:r>
          </w:p>
        </w:tc>
        <w:tc>
          <w:tcPr>
            <w:tcW w:w="1701" w:type="dxa"/>
            <w:tcBorders>
              <w:top w:val="single" w:sz="4" w:space="0" w:color="auto"/>
              <w:left w:val="single" w:sz="4" w:space="0" w:color="auto"/>
              <w:bottom w:val="single" w:sz="4" w:space="0" w:color="auto"/>
              <w:right w:val="single" w:sz="4" w:space="0" w:color="auto"/>
            </w:tcBorders>
          </w:tcPr>
          <w:p w14:paraId="237BF2D9"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Credit-rating</w:t>
            </w:r>
          </w:p>
        </w:tc>
        <w:tc>
          <w:tcPr>
            <w:tcW w:w="1134" w:type="dxa"/>
            <w:tcBorders>
              <w:top w:val="single" w:sz="4" w:space="0" w:color="auto"/>
              <w:left w:val="single" w:sz="4" w:space="0" w:color="auto"/>
              <w:bottom w:val="single" w:sz="4" w:space="0" w:color="auto"/>
              <w:right w:val="single" w:sz="4" w:space="0" w:color="auto"/>
            </w:tcBorders>
          </w:tcPr>
          <w:p w14:paraId="65202E38" w14:textId="77777777" w:rsidR="0003402D" w:rsidRPr="00AF1D09" w:rsidRDefault="0003402D" w:rsidP="009A4875">
            <w:pPr>
              <w:rPr>
                <w:rFonts w:asciiTheme="minorHAnsi" w:hAnsiTheme="minorHAnsi" w:cstheme="minorHAnsi"/>
                <w:b/>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E9A0DD0" w14:textId="77777777" w:rsidR="0003402D" w:rsidRPr="00AF1D09" w:rsidRDefault="0003402D" w:rsidP="009A4875">
            <w:pPr>
              <w:rPr>
                <w:rFonts w:asciiTheme="minorHAnsi" w:hAnsiTheme="minorHAnsi" w:cstheme="minorHAnsi"/>
                <w:b/>
                <w:sz w:val="20"/>
                <w:szCs w:val="20"/>
              </w:rPr>
            </w:pPr>
          </w:p>
        </w:tc>
        <w:tc>
          <w:tcPr>
            <w:tcW w:w="2217" w:type="dxa"/>
            <w:tcBorders>
              <w:top w:val="single" w:sz="4" w:space="0" w:color="auto"/>
              <w:left w:val="single" w:sz="4" w:space="0" w:color="auto"/>
              <w:bottom w:val="single" w:sz="4" w:space="0" w:color="auto"/>
              <w:right w:val="single" w:sz="4" w:space="0" w:color="auto"/>
            </w:tcBorders>
          </w:tcPr>
          <w:p w14:paraId="17109485"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1E257F5D" w14:textId="77777777" w:rsidTr="00E267AF">
        <w:trPr>
          <w:tblHeader/>
        </w:trPr>
        <w:tc>
          <w:tcPr>
            <w:tcW w:w="421" w:type="dxa"/>
            <w:tcBorders>
              <w:top w:val="single" w:sz="4" w:space="0" w:color="auto"/>
              <w:left w:val="single" w:sz="4" w:space="0" w:color="auto"/>
              <w:bottom w:val="nil"/>
              <w:right w:val="single" w:sz="4" w:space="0" w:color="auto"/>
            </w:tcBorders>
          </w:tcPr>
          <w:p w14:paraId="14A3DDDE"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E</w:t>
            </w:r>
          </w:p>
        </w:tc>
        <w:tc>
          <w:tcPr>
            <w:tcW w:w="1701" w:type="dxa"/>
            <w:tcBorders>
              <w:top w:val="single" w:sz="4" w:space="0" w:color="auto"/>
              <w:left w:val="single" w:sz="4" w:space="0" w:color="auto"/>
              <w:bottom w:val="nil"/>
              <w:right w:val="single" w:sz="4" w:space="0" w:color="auto"/>
            </w:tcBorders>
          </w:tcPr>
          <w:p w14:paraId="6D834A6A"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Articulations</w:t>
            </w:r>
          </w:p>
        </w:tc>
        <w:tc>
          <w:tcPr>
            <w:tcW w:w="1134" w:type="dxa"/>
            <w:tcBorders>
              <w:top w:val="single" w:sz="4" w:space="0" w:color="auto"/>
              <w:left w:val="single" w:sz="4" w:space="0" w:color="auto"/>
              <w:bottom w:val="single" w:sz="4" w:space="0" w:color="auto"/>
              <w:right w:val="single" w:sz="4" w:space="0" w:color="auto"/>
            </w:tcBorders>
          </w:tcPr>
          <w:p w14:paraId="60CAAA42"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E1</w:t>
            </w:r>
          </w:p>
        </w:tc>
        <w:tc>
          <w:tcPr>
            <w:tcW w:w="3543" w:type="dxa"/>
            <w:tcBorders>
              <w:top w:val="single" w:sz="4" w:space="0" w:color="auto"/>
              <w:left w:val="single" w:sz="4" w:space="0" w:color="auto"/>
              <w:bottom w:val="single" w:sz="4" w:space="0" w:color="auto"/>
              <w:right w:val="single" w:sz="4" w:space="0" w:color="auto"/>
            </w:tcBorders>
          </w:tcPr>
          <w:p w14:paraId="59F29997"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Qualification recognition</w:t>
            </w:r>
          </w:p>
        </w:tc>
        <w:tc>
          <w:tcPr>
            <w:tcW w:w="2217" w:type="dxa"/>
            <w:tcBorders>
              <w:top w:val="single" w:sz="4" w:space="0" w:color="auto"/>
              <w:left w:val="single" w:sz="4" w:space="0" w:color="auto"/>
              <w:bottom w:val="single" w:sz="4" w:space="0" w:color="auto"/>
              <w:right w:val="single" w:sz="4" w:space="0" w:color="auto"/>
            </w:tcBorders>
          </w:tcPr>
          <w:p w14:paraId="4AFB1A1C"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16E62931" w14:textId="77777777" w:rsidTr="00E267AF">
        <w:trPr>
          <w:trHeight w:val="324"/>
          <w:tblHeader/>
        </w:trPr>
        <w:tc>
          <w:tcPr>
            <w:tcW w:w="421" w:type="dxa"/>
            <w:tcBorders>
              <w:top w:val="nil"/>
              <w:left w:val="single" w:sz="4" w:space="0" w:color="auto"/>
              <w:bottom w:val="single" w:sz="4" w:space="0" w:color="auto"/>
              <w:right w:val="single" w:sz="4" w:space="0" w:color="auto"/>
            </w:tcBorders>
          </w:tcPr>
          <w:p w14:paraId="1F93C870" w14:textId="77777777" w:rsidR="0003402D" w:rsidRPr="00AF1D09" w:rsidRDefault="0003402D" w:rsidP="009A4875">
            <w:pPr>
              <w:rPr>
                <w:rFonts w:asciiTheme="minorHAnsi" w:hAnsiTheme="minorHAnsi" w:cstheme="minorHAnsi"/>
                <w:b/>
                <w:sz w:val="20"/>
                <w:szCs w:val="20"/>
              </w:rPr>
            </w:pPr>
          </w:p>
        </w:tc>
        <w:tc>
          <w:tcPr>
            <w:tcW w:w="1701" w:type="dxa"/>
            <w:tcBorders>
              <w:top w:val="nil"/>
              <w:left w:val="single" w:sz="4" w:space="0" w:color="auto"/>
              <w:bottom w:val="single" w:sz="4" w:space="0" w:color="auto"/>
              <w:right w:val="single" w:sz="4" w:space="0" w:color="auto"/>
            </w:tcBorders>
          </w:tcPr>
          <w:p w14:paraId="037D2644" w14:textId="77777777" w:rsidR="0003402D" w:rsidRPr="00AF1D09" w:rsidRDefault="0003402D" w:rsidP="009A4875">
            <w:pPr>
              <w:rPr>
                <w:rFonts w:asciiTheme="minorHAnsi" w:hAnsiTheme="minorHAnsi" w:cstheme="minorHAnsi"/>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31AD4E"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E2</w:t>
            </w:r>
          </w:p>
        </w:tc>
        <w:tc>
          <w:tcPr>
            <w:tcW w:w="3543" w:type="dxa"/>
            <w:tcBorders>
              <w:top w:val="single" w:sz="4" w:space="0" w:color="auto"/>
              <w:left w:val="single" w:sz="4" w:space="0" w:color="auto"/>
              <w:bottom w:val="single" w:sz="4" w:space="0" w:color="auto"/>
              <w:right w:val="single" w:sz="4" w:space="0" w:color="auto"/>
            </w:tcBorders>
          </w:tcPr>
          <w:p w14:paraId="53D288CA"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Qualification recognition with a progression agreement</w:t>
            </w:r>
          </w:p>
        </w:tc>
        <w:tc>
          <w:tcPr>
            <w:tcW w:w="2217" w:type="dxa"/>
            <w:tcBorders>
              <w:top w:val="single" w:sz="4" w:space="0" w:color="auto"/>
              <w:left w:val="single" w:sz="4" w:space="0" w:color="auto"/>
              <w:bottom w:val="single" w:sz="4" w:space="0" w:color="auto"/>
              <w:right w:val="single" w:sz="4" w:space="0" w:color="auto"/>
            </w:tcBorders>
          </w:tcPr>
          <w:p w14:paraId="4ED6862C"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162ED10D" w14:textId="77777777" w:rsidTr="00E267AF">
        <w:trPr>
          <w:tblHeader/>
        </w:trPr>
        <w:tc>
          <w:tcPr>
            <w:tcW w:w="421" w:type="dxa"/>
            <w:vMerge w:val="restart"/>
            <w:tcBorders>
              <w:top w:val="single" w:sz="4" w:space="0" w:color="auto"/>
              <w:left w:val="single" w:sz="4" w:space="0" w:color="auto"/>
              <w:right w:val="single" w:sz="4" w:space="0" w:color="auto"/>
            </w:tcBorders>
          </w:tcPr>
          <w:p w14:paraId="16C70329" w14:textId="77777777" w:rsidR="0003402D" w:rsidRPr="00AF1D09" w:rsidRDefault="0003402D" w:rsidP="009A4875">
            <w:pPr>
              <w:rPr>
                <w:rFonts w:asciiTheme="minorHAnsi" w:hAnsiTheme="minorHAnsi" w:cstheme="minorHAnsi"/>
                <w:b/>
                <w:sz w:val="20"/>
                <w:szCs w:val="20"/>
              </w:rPr>
            </w:pPr>
            <w:bookmarkStart w:id="80" w:name="_Hlk80262697"/>
            <w:r w:rsidRPr="00AF1D09">
              <w:rPr>
                <w:rFonts w:asciiTheme="minorHAnsi" w:hAnsiTheme="minorHAnsi" w:cstheme="minorHAnsi"/>
                <w:b/>
                <w:sz w:val="20"/>
                <w:szCs w:val="20"/>
              </w:rPr>
              <w:t>F</w:t>
            </w:r>
          </w:p>
        </w:tc>
        <w:tc>
          <w:tcPr>
            <w:tcW w:w="1701" w:type="dxa"/>
            <w:vMerge w:val="restart"/>
            <w:tcBorders>
              <w:top w:val="single" w:sz="4" w:space="0" w:color="auto"/>
              <w:left w:val="single" w:sz="4" w:space="0" w:color="auto"/>
              <w:right w:val="single" w:sz="4" w:space="0" w:color="auto"/>
            </w:tcBorders>
          </w:tcPr>
          <w:p w14:paraId="6BD104DF" w14:textId="77777777" w:rsidR="0003402D" w:rsidRPr="00AF1D09" w:rsidRDefault="0003402D" w:rsidP="009A4875">
            <w:pPr>
              <w:rPr>
                <w:rFonts w:asciiTheme="minorHAnsi" w:hAnsiTheme="minorHAnsi" w:cstheme="minorHAnsi"/>
                <w:b/>
                <w:sz w:val="20"/>
                <w:szCs w:val="20"/>
              </w:rPr>
            </w:pPr>
            <w:r w:rsidRPr="00AF1D09">
              <w:rPr>
                <w:rFonts w:asciiTheme="minorHAnsi" w:hAnsiTheme="minorHAnsi" w:cstheme="minorHAnsi"/>
                <w:b/>
                <w:sz w:val="20"/>
                <w:szCs w:val="20"/>
              </w:rPr>
              <w:t>Delivery with a third party (including overseas delivery)</w:t>
            </w:r>
          </w:p>
        </w:tc>
        <w:tc>
          <w:tcPr>
            <w:tcW w:w="1134" w:type="dxa"/>
            <w:tcBorders>
              <w:top w:val="single" w:sz="4" w:space="0" w:color="auto"/>
              <w:left w:val="single" w:sz="4" w:space="0" w:color="auto"/>
              <w:bottom w:val="single" w:sz="4" w:space="0" w:color="auto"/>
              <w:right w:val="single" w:sz="4" w:space="0" w:color="auto"/>
            </w:tcBorders>
          </w:tcPr>
          <w:p w14:paraId="4CB4DC11"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F1</w:t>
            </w:r>
          </w:p>
        </w:tc>
        <w:tc>
          <w:tcPr>
            <w:tcW w:w="3543" w:type="dxa"/>
            <w:tcBorders>
              <w:top w:val="single" w:sz="4" w:space="0" w:color="auto"/>
              <w:left w:val="single" w:sz="4" w:space="0" w:color="auto"/>
              <w:bottom w:val="single" w:sz="4" w:space="0" w:color="auto"/>
              <w:right w:val="single" w:sz="4" w:space="0" w:color="auto"/>
            </w:tcBorders>
          </w:tcPr>
          <w:p w14:paraId="516B5828"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Franchise (single modules)</w:t>
            </w:r>
          </w:p>
        </w:tc>
        <w:tc>
          <w:tcPr>
            <w:tcW w:w="2217" w:type="dxa"/>
            <w:tcBorders>
              <w:top w:val="single" w:sz="4" w:space="0" w:color="auto"/>
              <w:left w:val="single" w:sz="4" w:space="0" w:color="auto"/>
              <w:bottom w:val="single" w:sz="4" w:space="0" w:color="auto"/>
              <w:right w:val="single" w:sz="4" w:space="0" w:color="auto"/>
            </w:tcBorders>
          </w:tcPr>
          <w:p w14:paraId="1E21EA86"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7CE25FDC" w14:textId="77777777" w:rsidTr="00E267AF">
        <w:trPr>
          <w:tblHeader/>
        </w:trPr>
        <w:tc>
          <w:tcPr>
            <w:tcW w:w="421" w:type="dxa"/>
            <w:vMerge/>
            <w:tcBorders>
              <w:left w:val="single" w:sz="4" w:space="0" w:color="auto"/>
              <w:right w:val="single" w:sz="4" w:space="0" w:color="auto"/>
            </w:tcBorders>
          </w:tcPr>
          <w:p w14:paraId="1D16A64F" w14:textId="77777777" w:rsidR="0003402D" w:rsidRPr="00AF1D09" w:rsidRDefault="0003402D" w:rsidP="009A4875">
            <w:pPr>
              <w:rPr>
                <w:rFonts w:asciiTheme="minorHAnsi" w:hAnsiTheme="minorHAnsi" w:cstheme="minorHAnsi"/>
                <w:b/>
                <w:sz w:val="20"/>
                <w:szCs w:val="20"/>
              </w:rPr>
            </w:pPr>
          </w:p>
        </w:tc>
        <w:tc>
          <w:tcPr>
            <w:tcW w:w="1701" w:type="dxa"/>
            <w:vMerge/>
            <w:tcBorders>
              <w:left w:val="single" w:sz="4" w:space="0" w:color="auto"/>
              <w:right w:val="single" w:sz="4" w:space="0" w:color="auto"/>
            </w:tcBorders>
          </w:tcPr>
          <w:p w14:paraId="08F6DC3A" w14:textId="77777777" w:rsidR="0003402D" w:rsidRPr="00AF1D09" w:rsidRDefault="0003402D" w:rsidP="009A4875">
            <w:pPr>
              <w:rPr>
                <w:rFonts w:asciiTheme="minorHAnsi" w:hAnsiTheme="minorHAnsi" w:cstheme="minorHAnsi"/>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16B410A"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F2</w:t>
            </w:r>
          </w:p>
        </w:tc>
        <w:tc>
          <w:tcPr>
            <w:tcW w:w="3543" w:type="dxa"/>
            <w:tcBorders>
              <w:top w:val="single" w:sz="4" w:space="0" w:color="auto"/>
              <w:left w:val="single" w:sz="4" w:space="0" w:color="auto"/>
              <w:bottom w:val="single" w:sz="4" w:space="0" w:color="auto"/>
              <w:right w:val="single" w:sz="4" w:space="0" w:color="auto"/>
            </w:tcBorders>
          </w:tcPr>
          <w:p w14:paraId="0AAAD74E"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Co-delivery</w:t>
            </w:r>
          </w:p>
        </w:tc>
        <w:tc>
          <w:tcPr>
            <w:tcW w:w="2217" w:type="dxa"/>
            <w:tcBorders>
              <w:top w:val="single" w:sz="4" w:space="0" w:color="auto"/>
              <w:left w:val="single" w:sz="4" w:space="0" w:color="auto"/>
              <w:bottom w:val="single" w:sz="4" w:space="0" w:color="auto"/>
              <w:right w:val="single" w:sz="4" w:space="0" w:color="auto"/>
            </w:tcBorders>
          </w:tcPr>
          <w:p w14:paraId="5712876E"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14C5CBCA" w14:textId="77777777" w:rsidTr="00E267AF">
        <w:trPr>
          <w:tblHeader/>
        </w:trPr>
        <w:tc>
          <w:tcPr>
            <w:tcW w:w="421" w:type="dxa"/>
            <w:vMerge/>
            <w:tcBorders>
              <w:left w:val="single" w:sz="4" w:space="0" w:color="auto"/>
              <w:right w:val="single" w:sz="4" w:space="0" w:color="auto"/>
            </w:tcBorders>
          </w:tcPr>
          <w:p w14:paraId="13847BCD" w14:textId="77777777" w:rsidR="0003402D" w:rsidRPr="00AF1D09" w:rsidRDefault="0003402D" w:rsidP="009A4875">
            <w:pPr>
              <w:rPr>
                <w:rFonts w:asciiTheme="minorHAnsi" w:hAnsiTheme="minorHAnsi" w:cstheme="minorHAnsi"/>
                <w:b/>
                <w:sz w:val="20"/>
                <w:szCs w:val="20"/>
              </w:rPr>
            </w:pPr>
          </w:p>
        </w:tc>
        <w:tc>
          <w:tcPr>
            <w:tcW w:w="1701" w:type="dxa"/>
            <w:vMerge/>
            <w:tcBorders>
              <w:left w:val="single" w:sz="4" w:space="0" w:color="auto"/>
              <w:right w:val="single" w:sz="4" w:space="0" w:color="auto"/>
            </w:tcBorders>
          </w:tcPr>
          <w:p w14:paraId="5C8E2B22" w14:textId="77777777" w:rsidR="0003402D" w:rsidRPr="00AF1D09" w:rsidRDefault="0003402D" w:rsidP="009A4875">
            <w:pPr>
              <w:rPr>
                <w:rFonts w:asciiTheme="minorHAnsi" w:hAnsiTheme="minorHAnsi" w:cstheme="minorHAnsi"/>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199204"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F3</w:t>
            </w:r>
          </w:p>
        </w:tc>
        <w:tc>
          <w:tcPr>
            <w:tcW w:w="3543" w:type="dxa"/>
            <w:tcBorders>
              <w:top w:val="single" w:sz="4" w:space="0" w:color="auto"/>
              <w:left w:val="single" w:sz="4" w:space="0" w:color="auto"/>
              <w:bottom w:val="single" w:sz="4" w:space="0" w:color="auto"/>
              <w:right w:val="single" w:sz="4" w:space="0" w:color="auto"/>
            </w:tcBorders>
          </w:tcPr>
          <w:p w14:paraId="5103750D"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Franchise (whole programmes)</w:t>
            </w:r>
          </w:p>
        </w:tc>
        <w:tc>
          <w:tcPr>
            <w:tcW w:w="2217" w:type="dxa"/>
            <w:tcBorders>
              <w:top w:val="single" w:sz="4" w:space="0" w:color="auto"/>
              <w:left w:val="single" w:sz="4" w:space="0" w:color="auto"/>
              <w:bottom w:val="single" w:sz="4" w:space="0" w:color="auto"/>
              <w:right w:val="single" w:sz="4" w:space="0" w:color="auto"/>
            </w:tcBorders>
          </w:tcPr>
          <w:p w14:paraId="0CAE4626"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3D8D1744" w14:textId="77777777" w:rsidTr="00E267AF">
        <w:trPr>
          <w:tblHeader/>
        </w:trPr>
        <w:tc>
          <w:tcPr>
            <w:tcW w:w="421" w:type="dxa"/>
            <w:vMerge/>
            <w:tcBorders>
              <w:left w:val="single" w:sz="4" w:space="0" w:color="auto"/>
              <w:right w:val="single" w:sz="4" w:space="0" w:color="auto"/>
            </w:tcBorders>
          </w:tcPr>
          <w:p w14:paraId="0327CFC4" w14:textId="77777777" w:rsidR="0003402D" w:rsidRPr="00AF1D09" w:rsidRDefault="0003402D" w:rsidP="009A4875">
            <w:pPr>
              <w:rPr>
                <w:rFonts w:asciiTheme="minorHAnsi" w:hAnsiTheme="minorHAnsi" w:cstheme="minorHAnsi"/>
                <w:b/>
                <w:sz w:val="20"/>
                <w:szCs w:val="20"/>
              </w:rPr>
            </w:pPr>
          </w:p>
        </w:tc>
        <w:tc>
          <w:tcPr>
            <w:tcW w:w="1701" w:type="dxa"/>
            <w:vMerge/>
            <w:tcBorders>
              <w:left w:val="single" w:sz="4" w:space="0" w:color="auto"/>
              <w:right w:val="single" w:sz="4" w:space="0" w:color="auto"/>
            </w:tcBorders>
          </w:tcPr>
          <w:p w14:paraId="295A3B57" w14:textId="77777777" w:rsidR="0003402D" w:rsidRPr="00AF1D09" w:rsidRDefault="0003402D" w:rsidP="009A4875">
            <w:pPr>
              <w:rPr>
                <w:rFonts w:asciiTheme="minorHAnsi" w:hAnsiTheme="minorHAnsi" w:cstheme="minorHAnsi"/>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A347BC"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F4</w:t>
            </w:r>
          </w:p>
        </w:tc>
        <w:tc>
          <w:tcPr>
            <w:tcW w:w="3543" w:type="dxa"/>
            <w:tcBorders>
              <w:top w:val="single" w:sz="4" w:space="0" w:color="auto"/>
              <w:left w:val="single" w:sz="4" w:space="0" w:color="auto"/>
              <w:bottom w:val="single" w:sz="4" w:space="0" w:color="auto"/>
              <w:right w:val="single" w:sz="4" w:space="0" w:color="auto"/>
            </w:tcBorders>
          </w:tcPr>
          <w:p w14:paraId="6403BA95"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Validation</w:t>
            </w:r>
          </w:p>
        </w:tc>
        <w:tc>
          <w:tcPr>
            <w:tcW w:w="2217" w:type="dxa"/>
            <w:tcBorders>
              <w:top w:val="single" w:sz="4" w:space="0" w:color="auto"/>
              <w:left w:val="single" w:sz="4" w:space="0" w:color="auto"/>
              <w:bottom w:val="single" w:sz="4" w:space="0" w:color="auto"/>
              <w:right w:val="single" w:sz="4" w:space="0" w:color="auto"/>
            </w:tcBorders>
          </w:tcPr>
          <w:p w14:paraId="7E19C44F"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r w:rsidR="0003402D" w:rsidRPr="00E5308E" w14:paraId="59D7A24A" w14:textId="77777777" w:rsidTr="00E267AF">
        <w:trPr>
          <w:trHeight w:val="444"/>
          <w:tblHeader/>
        </w:trPr>
        <w:tc>
          <w:tcPr>
            <w:tcW w:w="421" w:type="dxa"/>
            <w:vMerge/>
            <w:tcBorders>
              <w:left w:val="single" w:sz="4" w:space="0" w:color="auto"/>
              <w:bottom w:val="single" w:sz="4" w:space="0" w:color="auto"/>
              <w:right w:val="single" w:sz="4" w:space="0" w:color="auto"/>
            </w:tcBorders>
          </w:tcPr>
          <w:p w14:paraId="68C25C40" w14:textId="77777777" w:rsidR="0003402D" w:rsidRPr="00AF1D09" w:rsidRDefault="0003402D" w:rsidP="009A4875">
            <w:pPr>
              <w:rPr>
                <w:rFonts w:asciiTheme="minorHAnsi" w:hAnsiTheme="minorHAnsi" w:cstheme="minorHAnsi"/>
                <w:b/>
                <w:sz w:val="20"/>
                <w:szCs w:val="20"/>
              </w:rPr>
            </w:pPr>
          </w:p>
        </w:tc>
        <w:tc>
          <w:tcPr>
            <w:tcW w:w="1701" w:type="dxa"/>
            <w:vMerge/>
            <w:tcBorders>
              <w:left w:val="single" w:sz="4" w:space="0" w:color="auto"/>
              <w:bottom w:val="single" w:sz="4" w:space="0" w:color="auto"/>
              <w:right w:val="single" w:sz="4" w:space="0" w:color="auto"/>
            </w:tcBorders>
          </w:tcPr>
          <w:p w14:paraId="0359E735" w14:textId="77777777" w:rsidR="0003402D" w:rsidRPr="00AF1D09" w:rsidRDefault="0003402D" w:rsidP="009A4875">
            <w:pPr>
              <w:rPr>
                <w:rFonts w:asciiTheme="minorHAnsi" w:hAnsiTheme="minorHAnsi" w:cstheme="minorHAnsi"/>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079B92"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F5</w:t>
            </w:r>
          </w:p>
        </w:tc>
        <w:tc>
          <w:tcPr>
            <w:tcW w:w="3543" w:type="dxa"/>
            <w:tcBorders>
              <w:top w:val="single" w:sz="4" w:space="0" w:color="auto"/>
              <w:left w:val="single" w:sz="4" w:space="0" w:color="auto"/>
              <w:bottom w:val="single" w:sz="4" w:space="0" w:color="auto"/>
              <w:right w:val="single" w:sz="4" w:space="0" w:color="auto"/>
            </w:tcBorders>
          </w:tcPr>
          <w:p w14:paraId="5DE7F62C" w14:textId="77777777" w:rsidR="0003402D" w:rsidRPr="00AF1D09" w:rsidRDefault="0003402D" w:rsidP="009A4875">
            <w:pPr>
              <w:rPr>
                <w:rFonts w:asciiTheme="minorHAnsi" w:hAnsiTheme="minorHAnsi" w:cstheme="minorHAnsi"/>
                <w:sz w:val="20"/>
                <w:szCs w:val="20"/>
              </w:rPr>
            </w:pPr>
            <w:r w:rsidRPr="00AF1D09">
              <w:rPr>
                <w:rFonts w:asciiTheme="minorHAnsi" w:hAnsiTheme="minorHAnsi" w:cstheme="minorHAnsi"/>
                <w:sz w:val="20"/>
                <w:szCs w:val="20"/>
              </w:rPr>
              <w:t>Joint awards</w:t>
            </w:r>
          </w:p>
        </w:tc>
        <w:tc>
          <w:tcPr>
            <w:tcW w:w="2217" w:type="dxa"/>
            <w:tcBorders>
              <w:top w:val="single" w:sz="4" w:space="0" w:color="auto"/>
              <w:left w:val="single" w:sz="4" w:space="0" w:color="auto"/>
              <w:bottom w:val="single" w:sz="4" w:space="0" w:color="auto"/>
              <w:right w:val="single" w:sz="4" w:space="0" w:color="auto"/>
            </w:tcBorders>
          </w:tcPr>
          <w:p w14:paraId="26DBD06D"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bookmarkEnd w:id="80"/>
      <w:tr w:rsidR="0003402D" w:rsidRPr="00E5308E" w14:paraId="056AC517" w14:textId="77777777" w:rsidTr="00E267AF">
        <w:trPr>
          <w:tblHeader/>
        </w:trPr>
        <w:tc>
          <w:tcPr>
            <w:tcW w:w="2122" w:type="dxa"/>
            <w:gridSpan w:val="2"/>
            <w:tcBorders>
              <w:top w:val="single" w:sz="4" w:space="0" w:color="auto"/>
              <w:left w:val="single" w:sz="4" w:space="0" w:color="auto"/>
              <w:bottom w:val="single" w:sz="4" w:space="0" w:color="auto"/>
              <w:right w:val="single" w:sz="4" w:space="0" w:color="auto"/>
            </w:tcBorders>
          </w:tcPr>
          <w:p w14:paraId="4079CFAB" w14:textId="34CC7AB3" w:rsidR="0003402D" w:rsidRPr="00AF1D09" w:rsidRDefault="009A71D4" w:rsidP="009A4875">
            <w:pPr>
              <w:rPr>
                <w:rFonts w:asciiTheme="minorHAnsi" w:hAnsiTheme="minorHAnsi" w:cstheme="minorHAnsi"/>
                <w:b/>
                <w:sz w:val="20"/>
                <w:szCs w:val="20"/>
              </w:rPr>
            </w:pPr>
            <w:r w:rsidRPr="00AF1D09">
              <w:rPr>
                <w:rFonts w:asciiTheme="minorHAnsi" w:hAnsiTheme="minorHAnsi" w:cstheme="minorHAnsi"/>
                <w:b/>
                <w:bCs/>
                <w:sz w:val="20"/>
                <w:szCs w:val="20"/>
              </w:rPr>
              <w:t>PGCE with Lead Delivery partnerships</w:t>
            </w:r>
          </w:p>
        </w:tc>
        <w:tc>
          <w:tcPr>
            <w:tcW w:w="1134" w:type="dxa"/>
            <w:tcBorders>
              <w:top w:val="single" w:sz="4" w:space="0" w:color="auto"/>
              <w:left w:val="nil"/>
              <w:bottom w:val="single" w:sz="4" w:space="0" w:color="auto"/>
              <w:right w:val="nil"/>
            </w:tcBorders>
          </w:tcPr>
          <w:p w14:paraId="1C20A459" w14:textId="77777777" w:rsidR="0003402D" w:rsidRPr="00AF1D09" w:rsidRDefault="0003402D" w:rsidP="009A4875">
            <w:pPr>
              <w:rPr>
                <w:rFonts w:asciiTheme="minorHAnsi" w:hAnsiTheme="minorHAnsi" w:cstheme="minorHAnsi"/>
                <w:b/>
                <w:sz w:val="20"/>
                <w:szCs w:val="20"/>
              </w:rPr>
            </w:pPr>
          </w:p>
        </w:tc>
        <w:tc>
          <w:tcPr>
            <w:tcW w:w="3543" w:type="dxa"/>
            <w:tcBorders>
              <w:top w:val="single" w:sz="4" w:space="0" w:color="auto"/>
              <w:left w:val="nil"/>
              <w:bottom w:val="single" w:sz="4" w:space="0" w:color="auto"/>
              <w:right w:val="single" w:sz="4" w:space="0" w:color="auto"/>
            </w:tcBorders>
          </w:tcPr>
          <w:p w14:paraId="2B4D99EA" w14:textId="77777777" w:rsidR="0003402D" w:rsidRPr="00AF1D09" w:rsidRDefault="0003402D" w:rsidP="009A4875">
            <w:pPr>
              <w:rPr>
                <w:rFonts w:asciiTheme="minorHAnsi" w:hAnsiTheme="minorHAnsi" w:cstheme="minorHAnsi"/>
                <w:b/>
                <w:sz w:val="20"/>
                <w:szCs w:val="20"/>
              </w:rPr>
            </w:pPr>
          </w:p>
        </w:tc>
        <w:tc>
          <w:tcPr>
            <w:tcW w:w="2217" w:type="dxa"/>
            <w:tcBorders>
              <w:top w:val="single" w:sz="4" w:space="0" w:color="auto"/>
              <w:left w:val="single" w:sz="4" w:space="0" w:color="auto"/>
              <w:bottom w:val="single" w:sz="4" w:space="0" w:color="auto"/>
              <w:right w:val="single" w:sz="4" w:space="0" w:color="auto"/>
            </w:tcBorders>
          </w:tcPr>
          <w:p w14:paraId="5B166698" w14:textId="77777777" w:rsidR="0003402D" w:rsidRPr="00AF1D09" w:rsidRDefault="0003402D" w:rsidP="009A4875">
            <w:pPr>
              <w:jc w:val="center"/>
              <w:rPr>
                <w:rFonts w:asciiTheme="minorHAnsi" w:hAnsiTheme="minorHAnsi" w:cstheme="minorHAnsi"/>
                <w:sz w:val="20"/>
                <w:szCs w:val="20"/>
              </w:rPr>
            </w:pPr>
            <w:r w:rsidRPr="00AF1D09">
              <w:rPr>
                <w:rFonts w:asciiTheme="minorHAnsi" w:hAnsiTheme="minorHAnsi" w:cstheme="minorHAnsi"/>
                <w:sz w:val="20"/>
                <w:szCs w:val="20"/>
              </w:rPr>
              <w:t>5 years</w:t>
            </w:r>
          </w:p>
        </w:tc>
      </w:tr>
    </w:tbl>
    <w:p w14:paraId="6C17BE19" w14:textId="77777777" w:rsidR="0003402D" w:rsidRDefault="0003402D" w:rsidP="0003402D"/>
    <w:p w14:paraId="650B8243" w14:textId="01155ED5" w:rsidR="00246279" w:rsidRDefault="00423C6E" w:rsidP="007C4F7B">
      <w:pPr>
        <w:jc w:val="both"/>
      </w:pPr>
      <w:r>
        <w:t>C</w:t>
      </w:r>
      <w:r w:rsidR="00575432">
        <w:t>ategory C+ partners</w:t>
      </w:r>
      <w:r>
        <w:t xml:space="preserve"> are approved for a standard five years and</w:t>
      </w:r>
      <w:r w:rsidR="00575432">
        <w:t>, a</w:t>
      </w:r>
      <w:r w:rsidR="0003402D">
        <w:t>t the point of renewal, may be extended and new contracts issued. Additional delivery approvals may take place at any point however (to add new provision to the partnership) and this extends the partner’s approval period</w:t>
      </w:r>
      <w:r w:rsidR="00575432">
        <w:t xml:space="preserve"> by five years</w:t>
      </w:r>
      <w:r w:rsidR="0003402D">
        <w:t xml:space="preserve">. </w:t>
      </w:r>
      <w:r w:rsidR="00E35439">
        <w:t xml:space="preserve">Contracts should be reviewed at their original expiry and re-issued as </w:t>
      </w:r>
      <w:r w:rsidR="00631455">
        <w:t>appropriate,</w:t>
      </w:r>
      <w:r w:rsidR="00E35439">
        <w:t xml:space="preserve"> but this should not change any agreed delivery arrangements as this would trigger a formal re-approval of the partnership.</w:t>
      </w:r>
    </w:p>
    <w:p w14:paraId="65E4AE81" w14:textId="66F7F005" w:rsidR="0003402D" w:rsidRDefault="0003402D" w:rsidP="007C4F7B">
      <w:pPr>
        <w:jc w:val="both"/>
      </w:pPr>
      <w:r>
        <w:t xml:space="preserve">Where changes occur to programmes or modules delivered with a partner, a delivery re-approval for individual partnership arrangements </w:t>
      </w:r>
      <w:r w:rsidR="00742445">
        <w:t>is</w:t>
      </w:r>
      <w:r>
        <w:t xml:space="preserve"> required.</w:t>
      </w:r>
      <w:r w:rsidR="00D92A37">
        <w:t xml:space="preserve"> </w:t>
      </w:r>
      <w:r w:rsidR="006A3404" w:rsidRPr="00817294">
        <w:t>A proportionate approach</w:t>
      </w:r>
      <w:r w:rsidR="00742445">
        <w:t xml:space="preserve"> </w:t>
      </w:r>
      <w:r w:rsidR="006A3404" w:rsidRPr="00817294">
        <w:t>to documentation and processes will be applied and should be discussed as early as possible with the Governance, Quality Assurance and Student Casework team.</w:t>
      </w:r>
      <w:r w:rsidR="00644AED">
        <w:rPr>
          <w:rStyle w:val="cf01"/>
        </w:rPr>
        <w:t xml:space="preserve"> </w:t>
      </w:r>
      <w:r w:rsidR="006F2EBD">
        <w:rPr>
          <w:rStyle w:val="cf01"/>
        </w:rPr>
        <w:t xml:space="preserve"> </w:t>
      </w:r>
      <w:r w:rsidR="00D92A37">
        <w:t>Where no new delivery approvals have been granted, for category C and F only, these partnerships shall be subject to a standalone partner re-approval which looks at all provision delivered with that partner. Reapproval events include all standard documentation, with the addition of student feedback to inform the review.</w:t>
      </w:r>
    </w:p>
    <w:p w14:paraId="498854F8" w14:textId="0269EA83" w:rsidR="001E5610" w:rsidRPr="00D3044F" w:rsidRDefault="0003402D" w:rsidP="00AF1D09">
      <w:pPr>
        <w:jc w:val="both"/>
      </w:pPr>
      <w:bookmarkStart w:id="81" w:name="Business_Approval"/>
      <w:bookmarkStart w:id="82" w:name="_bookmark8"/>
      <w:bookmarkEnd w:id="81"/>
      <w:bookmarkEnd w:id="82"/>
      <w:r w:rsidRPr="009934F8">
        <w:t xml:space="preserve">Where a </w:t>
      </w:r>
      <w:r>
        <w:t xml:space="preserve">partnership </w:t>
      </w:r>
      <w:r w:rsidRPr="009934F8">
        <w:t>programme does not recruit its first cohort within 2 years of the intended start date, or recruitment has been suspended for two consecutive cycles, re-commencement of delivery is subject to a formal review by the host Faculty of the Programme Specification and Delivery Plan to identify any changes that may affect delivery, particularly in relation to staffing and resources.</w:t>
      </w:r>
    </w:p>
    <w:p w14:paraId="015B2B3C" w14:textId="77777777" w:rsidR="00477AAF" w:rsidRPr="00D3044F" w:rsidRDefault="00477AAF" w:rsidP="00E777D1">
      <w:pPr>
        <w:pStyle w:val="Heading2"/>
      </w:pPr>
      <w:bookmarkStart w:id="83" w:name="Internal_/_External_Verifiers"/>
      <w:bookmarkStart w:id="84" w:name="_bookmark6"/>
      <w:bookmarkStart w:id="85" w:name="4._Partnership_Approval_Overview"/>
      <w:bookmarkStart w:id="86" w:name="_bookmark7"/>
      <w:bookmarkStart w:id="87" w:name="_Toc183094973"/>
      <w:bookmarkEnd w:id="83"/>
      <w:bookmarkEnd w:id="84"/>
      <w:bookmarkEnd w:id="85"/>
      <w:bookmarkEnd w:id="86"/>
      <w:r w:rsidRPr="00D3044F">
        <w:t>Contractual Arrangements</w:t>
      </w:r>
      <w:bookmarkEnd w:id="87"/>
    </w:p>
    <w:p w14:paraId="21964D81" w14:textId="10FB09B8" w:rsidR="00477AAF" w:rsidRPr="00477AAF" w:rsidRDefault="0070024E" w:rsidP="007C4F7B">
      <w:pPr>
        <w:jc w:val="both"/>
      </w:pPr>
      <w:r w:rsidRPr="0070024E">
        <w:t xml:space="preserve">Final approval of category C+ provision is via panel recommendation to </w:t>
      </w:r>
      <w:r w:rsidR="002945FC">
        <w:t>AQEC</w:t>
      </w:r>
      <w:r w:rsidRPr="0070024E">
        <w:t xml:space="preserve"> (validation report) and is contingent on the signing of a formal Contract between the University and partner organisation. </w:t>
      </w:r>
      <w:r w:rsidR="00477AAF" w:rsidRPr="00477AAF">
        <w:t xml:space="preserve">For partnerships in category D and E, a straightforward agreement is </w:t>
      </w:r>
      <w:r w:rsidR="00477AAF" w:rsidRPr="00477AAF">
        <w:lastRenderedPageBreak/>
        <w:t xml:space="preserve">produced following the approval panel’s recommendation and </w:t>
      </w:r>
      <w:r w:rsidR="00BE6DD8">
        <w:t>AQEC</w:t>
      </w:r>
      <w:r w:rsidR="00477AAF" w:rsidRPr="00477AAF">
        <w:t xml:space="preserve"> sign off, to confirm the arrangements agreed for the partnership. A Memorandum of Articulation template is available for Faculties to use to issue to approved category E partners as standard.</w:t>
      </w:r>
    </w:p>
    <w:p w14:paraId="1E2803E4" w14:textId="6F7E7B4F" w:rsidR="00477AAF" w:rsidRPr="00477AAF" w:rsidRDefault="00477AAF" w:rsidP="007C4F7B">
      <w:pPr>
        <w:jc w:val="both"/>
      </w:pPr>
      <w:r w:rsidRPr="00477AAF">
        <w:t>For category C</w:t>
      </w:r>
      <w:r w:rsidR="00495A42">
        <w:t xml:space="preserve"> and</w:t>
      </w:r>
      <w:r w:rsidRPr="00477AAF">
        <w:t xml:space="preserve"> F </w:t>
      </w:r>
      <w:r w:rsidR="009A71D4">
        <w:t xml:space="preserve">Partners </w:t>
      </w:r>
      <w:r w:rsidRPr="00477AAF">
        <w:t xml:space="preserve">and </w:t>
      </w:r>
      <w:r w:rsidR="009A71D4" w:rsidRPr="007C4F7B">
        <w:t>PGCE with Lead Delivery partnerships</w:t>
      </w:r>
      <w:r w:rsidR="009A71D4" w:rsidRPr="007C4F7B">
        <w:rPr>
          <w:b/>
          <w:bCs/>
        </w:rPr>
        <w:t xml:space="preserve"> </w:t>
      </w:r>
      <w:r w:rsidRPr="00477AAF">
        <w:t xml:space="preserve">however, a full contract requires completion by Faculties and submission to the partner with relevant schedules. The contractual paperwork should be developed alongside the validation paperwork to ensure continual alignment and the </w:t>
      </w:r>
      <w:r w:rsidR="002714D3" w:rsidRPr="00477AAF">
        <w:t>appropriate</w:t>
      </w:r>
      <w:r w:rsidRPr="00477AAF">
        <w:t xml:space="preserve"> Departments must be consulted in its development. This includes but is not limited to, Learning Services, Student Recruitment, Academic Registry, Admissions, </w:t>
      </w:r>
      <w:r w:rsidR="009A4875">
        <w:t>GQASC</w:t>
      </w:r>
      <w:r w:rsidRPr="00477AAF">
        <w:t xml:space="preserve"> and SPPU. Prior to sign-off by AQEC, the final contract and schedules which reflects the final version of documents from the approval event must be signed by all parties. </w:t>
      </w:r>
    </w:p>
    <w:p w14:paraId="0029FF63" w14:textId="6D938273" w:rsidR="00477AAF" w:rsidRPr="00477AAF" w:rsidRDefault="00477AAF" w:rsidP="007C4F7B">
      <w:pPr>
        <w:jc w:val="both"/>
      </w:pPr>
      <w:r w:rsidRPr="00477AAF">
        <w:t xml:space="preserve">A standard </w:t>
      </w:r>
      <w:r w:rsidRPr="00477AAF">
        <w:rPr>
          <w:b/>
          <w:bCs/>
        </w:rPr>
        <w:t>Contract</w:t>
      </w:r>
      <w:r w:rsidRPr="00477AAF">
        <w:t xml:space="preserve"> template and guidance for its completion is available on </w:t>
      </w:r>
      <w:hyperlink r:id="rId45" w:history="1">
        <w:r w:rsidR="007C4F7B" w:rsidRPr="008C7B58">
          <w:rPr>
            <w:rStyle w:val="Hyperlink"/>
          </w:rPr>
          <w:t>GQASC Wiki</w:t>
        </w:r>
        <w:r w:rsidRPr="008C7B58">
          <w:rPr>
            <w:rStyle w:val="Hyperlink"/>
          </w:rPr>
          <w:t>.</w:t>
        </w:r>
      </w:hyperlink>
      <w:r w:rsidRPr="00477AAF">
        <w:t xml:space="preserve"> All partnerships must be accompanied by the relevant schedules to the contract. These schedules may be reissued annually or as required by changes without impact on the core contract terms. </w:t>
      </w:r>
      <w:r w:rsidR="008C6A02">
        <w:t xml:space="preserve">The Delivery Plan schedule provides the detailed division of responsibilities for each programme or module </w:t>
      </w:r>
      <w:r w:rsidR="00EC3FEA">
        <w:t xml:space="preserve">delivered in partnership and may be updated and reissued where required. </w:t>
      </w:r>
      <w:r w:rsidRPr="00477AAF">
        <w:t>Responsibility for co-ordinating the completion of an appropriate contract for academic partnerships resides with the Faculty Partnership Lead, with ultimate responsibility residing with the Pro Vice-Chancellor and Dean of Faculty.</w:t>
      </w:r>
    </w:p>
    <w:p w14:paraId="6637219D" w14:textId="77777777" w:rsidR="00477AAF" w:rsidRPr="00477AAF" w:rsidRDefault="00477AAF" w:rsidP="007C4F7B">
      <w:pPr>
        <w:jc w:val="both"/>
      </w:pPr>
      <w:r w:rsidRPr="00477AAF">
        <w:t>Advice for Faculties to support the completion or negotiation of contracts can be sought from colleagues across Edge Hill University, including but not limited to:</w:t>
      </w:r>
    </w:p>
    <w:tbl>
      <w:tblPr>
        <w:tblStyle w:val="TableGrid"/>
        <w:tblW w:w="9209" w:type="dxa"/>
        <w:tblLook w:val="04A0" w:firstRow="1" w:lastRow="0" w:firstColumn="1" w:lastColumn="0" w:noHBand="0" w:noVBand="1"/>
      </w:tblPr>
      <w:tblGrid>
        <w:gridCol w:w="4106"/>
        <w:gridCol w:w="5103"/>
      </w:tblGrid>
      <w:tr w:rsidR="00477AAF" w:rsidRPr="00477AAF" w14:paraId="42AF93BE" w14:textId="77777777" w:rsidTr="009A4875">
        <w:tc>
          <w:tcPr>
            <w:tcW w:w="4106" w:type="dxa"/>
          </w:tcPr>
          <w:p w14:paraId="6C115F69" w14:textId="77777777" w:rsidR="00477AAF" w:rsidRPr="00477AAF" w:rsidRDefault="00477AAF" w:rsidP="009A4875">
            <w:r w:rsidRPr="00477AAF">
              <w:t>Fees and financial terms or clauses</w:t>
            </w:r>
          </w:p>
        </w:tc>
        <w:tc>
          <w:tcPr>
            <w:tcW w:w="5103" w:type="dxa"/>
          </w:tcPr>
          <w:p w14:paraId="718627BE" w14:textId="77777777" w:rsidR="00477AAF" w:rsidRPr="00477AAF" w:rsidRDefault="00477AAF" w:rsidP="009A4875">
            <w:r w:rsidRPr="00477AAF">
              <w:t xml:space="preserve">Director of Finance </w:t>
            </w:r>
          </w:p>
        </w:tc>
      </w:tr>
      <w:tr w:rsidR="00477AAF" w:rsidRPr="00477AAF" w14:paraId="08683E05" w14:textId="77777777" w:rsidTr="009A4875">
        <w:tc>
          <w:tcPr>
            <w:tcW w:w="4106" w:type="dxa"/>
          </w:tcPr>
          <w:p w14:paraId="64C3B344" w14:textId="77777777" w:rsidR="00477AAF" w:rsidRPr="00477AAF" w:rsidRDefault="00477AAF" w:rsidP="009A4875">
            <w:r w:rsidRPr="00477AAF">
              <w:t>Staff terms or support</w:t>
            </w:r>
          </w:p>
        </w:tc>
        <w:tc>
          <w:tcPr>
            <w:tcW w:w="5103" w:type="dxa"/>
          </w:tcPr>
          <w:p w14:paraId="42C13056" w14:textId="77777777" w:rsidR="00477AAF" w:rsidRPr="00477AAF" w:rsidRDefault="00477AAF" w:rsidP="009A4875">
            <w:r w:rsidRPr="00477AAF">
              <w:t>Head of Human Resources</w:t>
            </w:r>
          </w:p>
        </w:tc>
      </w:tr>
      <w:tr w:rsidR="00477AAF" w:rsidRPr="00477AAF" w14:paraId="711C52D5" w14:textId="77777777" w:rsidTr="009A4875">
        <w:tc>
          <w:tcPr>
            <w:tcW w:w="4106" w:type="dxa"/>
          </w:tcPr>
          <w:p w14:paraId="221FF313" w14:textId="77777777" w:rsidR="00477AAF" w:rsidRPr="00477AAF" w:rsidRDefault="00477AAF" w:rsidP="009A4875">
            <w:r w:rsidRPr="00477AAF">
              <w:t>GDPR and data handling</w:t>
            </w:r>
          </w:p>
        </w:tc>
        <w:tc>
          <w:tcPr>
            <w:tcW w:w="5103" w:type="dxa"/>
          </w:tcPr>
          <w:p w14:paraId="3EBCEEA7" w14:textId="77777777" w:rsidR="00477AAF" w:rsidRPr="00477AAF" w:rsidRDefault="00477AAF" w:rsidP="009A4875">
            <w:r w:rsidRPr="00477AAF">
              <w:t>Director of the Strategic Policy and Planning Unit</w:t>
            </w:r>
          </w:p>
        </w:tc>
      </w:tr>
      <w:tr w:rsidR="00477AAF" w:rsidRPr="00477AAF" w14:paraId="72DE0212" w14:textId="77777777" w:rsidTr="009A4875">
        <w:tc>
          <w:tcPr>
            <w:tcW w:w="4106" w:type="dxa"/>
          </w:tcPr>
          <w:p w14:paraId="66A2B13C" w14:textId="77777777" w:rsidR="00477AAF" w:rsidRPr="00477AAF" w:rsidRDefault="00477AAF" w:rsidP="009A4875">
            <w:r w:rsidRPr="00477AAF">
              <w:t>Curriculum, quality and standards</w:t>
            </w:r>
          </w:p>
        </w:tc>
        <w:tc>
          <w:tcPr>
            <w:tcW w:w="5103" w:type="dxa"/>
          </w:tcPr>
          <w:p w14:paraId="0A762E61" w14:textId="77777777" w:rsidR="00477AAF" w:rsidRPr="00477AAF" w:rsidRDefault="00477AAF" w:rsidP="009A4875">
            <w:r w:rsidRPr="00477AAF">
              <w:t>Director of Governance and Assurance</w:t>
            </w:r>
          </w:p>
        </w:tc>
      </w:tr>
      <w:tr w:rsidR="00477AAF" w:rsidRPr="00477AAF" w14:paraId="3F160A9D" w14:textId="77777777" w:rsidTr="009A4875">
        <w:tc>
          <w:tcPr>
            <w:tcW w:w="4106" w:type="dxa"/>
          </w:tcPr>
          <w:p w14:paraId="4A026DA4" w14:textId="77777777" w:rsidR="00477AAF" w:rsidRPr="00477AAF" w:rsidRDefault="00477AAF" w:rsidP="009A4875">
            <w:r w:rsidRPr="00477AAF">
              <w:t>Learning resources or facilities</w:t>
            </w:r>
          </w:p>
        </w:tc>
        <w:tc>
          <w:tcPr>
            <w:tcW w:w="5103" w:type="dxa"/>
          </w:tcPr>
          <w:p w14:paraId="5A350538" w14:textId="77777777" w:rsidR="00477AAF" w:rsidRPr="00477AAF" w:rsidRDefault="00477AAF" w:rsidP="009A4875">
            <w:r w:rsidRPr="00477AAF">
              <w:t>Director of Learning Services</w:t>
            </w:r>
          </w:p>
        </w:tc>
      </w:tr>
      <w:tr w:rsidR="00477AAF" w:rsidRPr="00477AAF" w14:paraId="3C062326" w14:textId="77777777" w:rsidTr="009A4875">
        <w:tc>
          <w:tcPr>
            <w:tcW w:w="4106" w:type="dxa"/>
          </w:tcPr>
          <w:p w14:paraId="4BA1F7A2" w14:textId="77777777" w:rsidR="00477AAF" w:rsidRPr="00477AAF" w:rsidRDefault="00477AAF" w:rsidP="009A4875">
            <w:r w:rsidRPr="00477AAF">
              <w:t xml:space="preserve">Student record or award administration </w:t>
            </w:r>
          </w:p>
        </w:tc>
        <w:tc>
          <w:tcPr>
            <w:tcW w:w="5103" w:type="dxa"/>
          </w:tcPr>
          <w:p w14:paraId="1FA5F073" w14:textId="77777777" w:rsidR="00477AAF" w:rsidRPr="00477AAF" w:rsidRDefault="00477AAF" w:rsidP="009A4875">
            <w:r w:rsidRPr="00477AAF">
              <w:t>Head of Academic Registry</w:t>
            </w:r>
          </w:p>
        </w:tc>
      </w:tr>
      <w:tr w:rsidR="00477AAF" w:rsidRPr="00477AAF" w14:paraId="44C9EA6A" w14:textId="77777777" w:rsidTr="009A4875">
        <w:tc>
          <w:tcPr>
            <w:tcW w:w="4106" w:type="dxa"/>
          </w:tcPr>
          <w:p w14:paraId="527F4B8F" w14:textId="77777777" w:rsidR="00477AAF" w:rsidRPr="00477AAF" w:rsidRDefault="00477AAF" w:rsidP="009A4875">
            <w:r w:rsidRPr="00477AAF">
              <w:t>Health and safety</w:t>
            </w:r>
          </w:p>
        </w:tc>
        <w:tc>
          <w:tcPr>
            <w:tcW w:w="5103" w:type="dxa"/>
          </w:tcPr>
          <w:p w14:paraId="78829638" w14:textId="77777777" w:rsidR="00477AAF" w:rsidRPr="00477AAF" w:rsidRDefault="00477AAF" w:rsidP="009A4875">
            <w:r w:rsidRPr="00477AAF">
              <w:t>Director of Facilities Management</w:t>
            </w:r>
          </w:p>
        </w:tc>
      </w:tr>
    </w:tbl>
    <w:p w14:paraId="1132B8F5" w14:textId="77777777" w:rsidR="00477AAF" w:rsidRPr="00477AAF" w:rsidRDefault="00477AAF" w:rsidP="00477AAF"/>
    <w:p w14:paraId="0ACCEDA1" w14:textId="675CF21C" w:rsidR="00477AAF" w:rsidRDefault="00477AAF" w:rsidP="00477AAF">
      <w:r w:rsidRPr="00477AAF">
        <w:t xml:space="preserve">Where internal expertise is exhausted in relation to a contractual query, bespoke legal advice may be authorised by </w:t>
      </w:r>
      <w:r w:rsidR="00631455">
        <w:t>the Pro Vice-Chancellor (Resources)</w:t>
      </w:r>
      <w:r w:rsidRPr="00477AAF">
        <w:t xml:space="preserve"> on request.</w:t>
      </w:r>
    </w:p>
    <w:p w14:paraId="4E84438C" w14:textId="3ACF5B13" w:rsidR="00F64C49" w:rsidRDefault="00F64C49" w:rsidP="00445B3A">
      <w:pPr>
        <w:pStyle w:val="Heading2"/>
      </w:pPr>
      <w:bookmarkStart w:id="88" w:name="_Toc183094974"/>
      <w:r>
        <w:t>Delivery operations</w:t>
      </w:r>
      <w:bookmarkEnd w:id="88"/>
    </w:p>
    <w:p w14:paraId="6006A430" w14:textId="13A96662" w:rsidR="00F64C49" w:rsidRDefault="00F64C49" w:rsidP="007C4F7B">
      <w:pPr>
        <w:jc w:val="both"/>
      </w:pPr>
      <w:r w:rsidRPr="00631455">
        <w:rPr>
          <w:b/>
          <w:bCs/>
        </w:rPr>
        <w:t>Primary responsibility for oversight of the ongoing success of the partnership and its delivery lies with the Academic Partnership Liaison Tutor</w:t>
      </w:r>
      <w:r>
        <w:t xml:space="preserve">, in conjunction with the Faculty Partnership Lead. This includes troubleshooting any delivery issues and liaising closely with the partner. Where multiple programmes are delivered, multiple APLTs may be identified however they </w:t>
      </w:r>
      <w:r w:rsidRPr="00631455">
        <w:rPr>
          <w:u w:val="single"/>
        </w:rPr>
        <w:t>must work together</w:t>
      </w:r>
      <w:r>
        <w:t xml:space="preserve"> and collaborate to complete Annual Reviews and Partner Visits. </w:t>
      </w:r>
    </w:p>
    <w:p w14:paraId="6773EB98" w14:textId="0BBE9027" w:rsidR="00F64C49" w:rsidRDefault="00F64C49" w:rsidP="007C4F7B">
      <w:pPr>
        <w:jc w:val="both"/>
      </w:pPr>
      <w:r>
        <w:t xml:space="preserve">Prior to the start of each academic year or term where appropriate, the Academic Partnership Liaison Tutor should liaise with the partner and confirm delivery arrangements and details for </w:t>
      </w:r>
      <w:r>
        <w:lastRenderedPageBreak/>
        <w:t xml:space="preserve">the coming term. Any emergent issues from the Annual Review, student feedback, </w:t>
      </w:r>
      <w:r w:rsidR="003E4F68">
        <w:t>partner</w:t>
      </w:r>
      <w:r>
        <w:t xml:space="preserve"> visit reports or external examiner reports should be addressed as soon as possible and reported to the Faculty Partnership Lead. </w:t>
      </w:r>
      <w:r w:rsidRPr="00631455">
        <w:rPr>
          <w:b/>
          <w:bCs/>
        </w:rPr>
        <w:t>For category F provision the following must be confirmed with the partner prior to delivery each year:</w:t>
      </w:r>
    </w:p>
    <w:p w14:paraId="0D0A0FDD" w14:textId="77777777" w:rsidR="00F64C49" w:rsidRDefault="00F64C49" w:rsidP="007C4F7B">
      <w:pPr>
        <w:pStyle w:val="ListParagraph"/>
        <w:numPr>
          <w:ilvl w:val="0"/>
          <w:numId w:val="44"/>
        </w:numPr>
        <w:jc w:val="both"/>
      </w:pPr>
      <w:r>
        <w:t>Details of the teaching team e.g. names and CVs if these have changed (these will require approval by the Faculty Quality Committee)</w:t>
      </w:r>
    </w:p>
    <w:p w14:paraId="2D6D3123" w14:textId="77777777" w:rsidR="00F64C49" w:rsidRDefault="00F64C49" w:rsidP="007C4F7B">
      <w:pPr>
        <w:pStyle w:val="ListParagraph"/>
        <w:numPr>
          <w:ilvl w:val="0"/>
          <w:numId w:val="44"/>
        </w:numPr>
        <w:jc w:val="both"/>
      </w:pPr>
      <w:r>
        <w:t xml:space="preserve">Any changes to the curriculum or assessments (the partner should be provided with all of the relevant course materials and specifications) </w:t>
      </w:r>
    </w:p>
    <w:p w14:paraId="4F4B3C5E" w14:textId="77777777" w:rsidR="00F64C49" w:rsidRDefault="00F64C49" w:rsidP="007C4F7B">
      <w:pPr>
        <w:pStyle w:val="ListParagraph"/>
        <w:numPr>
          <w:ilvl w:val="0"/>
          <w:numId w:val="44"/>
        </w:numPr>
        <w:jc w:val="both"/>
      </w:pPr>
      <w:r>
        <w:t>Assessment procedures have been set up appropriately and there is clear mutual understanding of how they will operate</w:t>
      </w:r>
    </w:p>
    <w:p w14:paraId="0C7184B8" w14:textId="2342A89C" w:rsidR="00F64C49" w:rsidRDefault="00F64C49" w:rsidP="007C4F7B">
      <w:pPr>
        <w:pStyle w:val="ListParagraph"/>
        <w:numPr>
          <w:ilvl w:val="0"/>
          <w:numId w:val="44"/>
        </w:numPr>
        <w:jc w:val="both"/>
      </w:pPr>
      <w:r>
        <w:t>Appropriate student enrolment and induction arrangements are in place</w:t>
      </w:r>
    </w:p>
    <w:p w14:paraId="23B868D5" w14:textId="352395EF" w:rsidR="00F64C49" w:rsidRDefault="00F64C49" w:rsidP="007C4F7B">
      <w:pPr>
        <w:jc w:val="both"/>
      </w:pPr>
      <w:r>
        <w:t>It is the responsibility of the Academic Partnership Liaison Tutor to ensure the partner has all of the information they require, as discussed at validation, to deliver any agreed aspects of the Edge Hill curriculum or student experience. Determining processes to support them in this role are the responsibility of the Faculty Partnership Lead.</w:t>
      </w:r>
    </w:p>
    <w:p w14:paraId="1CDEFF85" w14:textId="73D858D3" w:rsidR="009A7497" w:rsidRPr="00B00D04" w:rsidRDefault="009A7497" w:rsidP="009A7497">
      <w:pPr>
        <w:pStyle w:val="Heading2"/>
      </w:pPr>
      <w:bookmarkStart w:id="89" w:name="_Toc183094975"/>
      <w:r>
        <w:t>Risk Management Framework</w:t>
      </w:r>
      <w:bookmarkEnd w:id="89"/>
    </w:p>
    <w:p w14:paraId="17765B6E" w14:textId="4F64AB15" w:rsidR="005B21B9" w:rsidRPr="005B21B9" w:rsidRDefault="009A7497" w:rsidP="005B21B9">
      <w:pPr>
        <w:jc w:val="both"/>
      </w:pPr>
      <w:r w:rsidRPr="009A7497">
        <w:t>Th</w:t>
      </w:r>
      <w:r w:rsidR="005B21B9">
        <w:t>e</w:t>
      </w:r>
      <w:r w:rsidRPr="009A7497">
        <w:t xml:space="preserve"> </w:t>
      </w:r>
      <w:hyperlink r:id="rId46" w:history="1">
        <w:r w:rsidR="005B21B9" w:rsidRPr="005B21B9">
          <w:rPr>
            <w:rStyle w:val="Hyperlink"/>
          </w:rPr>
          <w:t>Partnership Risk Management F</w:t>
        </w:r>
        <w:r w:rsidRPr="009A7497">
          <w:rPr>
            <w:rStyle w:val="Hyperlink"/>
          </w:rPr>
          <w:t>ramework</w:t>
        </w:r>
      </w:hyperlink>
      <w:r w:rsidRPr="009A7497">
        <w:t xml:space="preserve"> applies to all </w:t>
      </w:r>
      <w:r w:rsidR="005B21B9">
        <w:t xml:space="preserve">category C+ </w:t>
      </w:r>
      <w:r w:rsidRPr="009A7497">
        <w:t>academic partners</w:t>
      </w:r>
      <w:r w:rsidR="005B21B9">
        <w:t xml:space="preserve"> </w:t>
      </w:r>
      <w:r w:rsidRPr="009A7497">
        <w:t>within the university and is intended as a tool to support risk oversight and management. It also appl</w:t>
      </w:r>
      <w:r w:rsidR="005B21B9">
        <w:t>ies</w:t>
      </w:r>
      <w:r w:rsidRPr="009A7497">
        <w:t xml:space="preserve"> to prospective partnerships in development as part of a risk-based approach to this activity. Careful risk management and oversight supports the University to avoid any adverse impacts from delivery with its partners and </w:t>
      </w:r>
      <w:r w:rsidR="005B21B9">
        <w:t>facilitate</w:t>
      </w:r>
      <w:r w:rsidRPr="009A7497">
        <w:t>s the early identification and mitigation of any potential risks.</w:t>
      </w:r>
      <w:r w:rsidR="005B21B9" w:rsidRPr="005B21B9">
        <w:rPr>
          <w:rFonts w:asciiTheme="minorHAnsi" w:hAnsiTheme="minorHAnsi" w:cstheme="minorHAnsi"/>
          <w:sz w:val="22"/>
        </w:rPr>
        <w:t xml:space="preserve"> </w:t>
      </w:r>
      <w:r w:rsidR="005B21B9">
        <w:t>R</w:t>
      </w:r>
      <w:r w:rsidR="005B21B9" w:rsidRPr="005B21B9">
        <w:t>isk assessments cover four key areas for partnership delivery, with an associated impact and likelihood score determining the overall risk rating</w:t>
      </w:r>
      <w:r w:rsidR="005B21B9">
        <w:t>.</w:t>
      </w:r>
      <w:r w:rsidR="005B21B9" w:rsidRPr="005B21B9">
        <w:t xml:space="preserve"> </w:t>
      </w:r>
      <w:r w:rsidR="005B21B9">
        <w:t>T</w:t>
      </w:r>
      <w:r w:rsidR="005B21B9" w:rsidRPr="005B21B9">
        <w:t>hese areas are:</w:t>
      </w:r>
    </w:p>
    <w:p w14:paraId="329E4422" w14:textId="77777777" w:rsidR="005B21B9" w:rsidRPr="005B21B9" w:rsidRDefault="005B21B9" w:rsidP="005B21B9">
      <w:pPr>
        <w:numPr>
          <w:ilvl w:val="0"/>
          <w:numId w:val="54"/>
        </w:numPr>
        <w:ind w:left="714" w:hanging="357"/>
        <w:contextualSpacing/>
        <w:jc w:val="both"/>
      </w:pPr>
      <w:r w:rsidRPr="005B21B9">
        <w:t>Financial risk</w:t>
      </w:r>
    </w:p>
    <w:p w14:paraId="7CA89687" w14:textId="77777777" w:rsidR="005B21B9" w:rsidRPr="005B21B9" w:rsidRDefault="005B21B9" w:rsidP="005B21B9">
      <w:pPr>
        <w:numPr>
          <w:ilvl w:val="0"/>
          <w:numId w:val="54"/>
        </w:numPr>
        <w:ind w:left="714" w:hanging="357"/>
        <w:contextualSpacing/>
        <w:jc w:val="both"/>
      </w:pPr>
      <w:r w:rsidRPr="005B21B9">
        <w:t>Legal and regulatory risk</w:t>
      </w:r>
    </w:p>
    <w:p w14:paraId="6AA3B280" w14:textId="77777777" w:rsidR="005B21B9" w:rsidRPr="005B21B9" w:rsidRDefault="005B21B9" w:rsidP="005B21B9">
      <w:pPr>
        <w:numPr>
          <w:ilvl w:val="0"/>
          <w:numId w:val="54"/>
        </w:numPr>
        <w:ind w:left="714" w:hanging="357"/>
        <w:contextualSpacing/>
        <w:jc w:val="both"/>
      </w:pPr>
      <w:r w:rsidRPr="005B21B9">
        <w:t>Operational risk</w:t>
      </w:r>
    </w:p>
    <w:p w14:paraId="2503C346" w14:textId="77777777" w:rsidR="005B21B9" w:rsidRPr="005B21B9" w:rsidRDefault="005B21B9" w:rsidP="005B21B9">
      <w:pPr>
        <w:numPr>
          <w:ilvl w:val="0"/>
          <w:numId w:val="54"/>
        </w:numPr>
        <w:ind w:left="714" w:hanging="357"/>
        <w:contextualSpacing/>
        <w:jc w:val="both"/>
      </w:pPr>
      <w:r w:rsidRPr="005B21B9">
        <w:t>Reputational risk</w:t>
      </w:r>
    </w:p>
    <w:p w14:paraId="6ECB7764" w14:textId="77777777" w:rsidR="005B21B9" w:rsidRDefault="005B21B9" w:rsidP="009A7497">
      <w:pPr>
        <w:contextualSpacing/>
        <w:jc w:val="both"/>
      </w:pPr>
    </w:p>
    <w:p w14:paraId="5B351F6F" w14:textId="4F9CCF42" w:rsidR="009A7497" w:rsidRPr="009A7497" w:rsidRDefault="005B21B9" w:rsidP="009A7497">
      <w:pPr>
        <w:jc w:val="both"/>
      </w:pPr>
      <w:r>
        <w:t xml:space="preserve">A </w:t>
      </w:r>
      <w:r w:rsidRPr="005B21B9">
        <w:t xml:space="preserve">risk matrix is used to score each of the risk categories and informs </w:t>
      </w:r>
      <w:r>
        <w:t>an</w:t>
      </w:r>
      <w:r w:rsidRPr="005B21B9">
        <w:t xml:space="preserve"> overall risk rating</w:t>
      </w:r>
      <w:r w:rsidR="00663C87">
        <w:rPr>
          <w:rStyle w:val="FootnoteReference"/>
        </w:rPr>
        <w:footnoteReference w:id="43"/>
      </w:r>
      <w:r>
        <w:t>.</w:t>
      </w:r>
      <w:r w:rsidRPr="005B21B9">
        <w:rPr>
          <w:rFonts w:asciiTheme="minorHAnsi" w:eastAsia="Calibri" w:hAnsiTheme="minorHAnsi" w:cstheme="minorHAnsi"/>
          <w:sz w:val="22"/>
        </w:rPr>
        <w:t xml:space="preserve"> </w:t>
      </w:r>
      <w:r w:rsidRPr="005B21B9">
        <w:t>This score is reviewed at several points throughout the lifecycle of a partner as detailed</w:t>
      </w:r>
      <w:r w:rsidR="007A788A">
        <w:t xml:space="preserve"> in Figure 2.</w:t>
      </w:r>
    </w:p>
    <w:p w14:paraId="1341F486" w14:textId="1055AF9C" w:rsidR="009A7497" w:rsidRDefault="009A7497" w:rsidP="007C4F7B">
      <w:pPr>
        <w:jc w:val="both"/>
      </w:pPr>
    </w:p>
    <w:p w14:paraId="127D885A" w14:textId="3175F03C" w:rsidR="00663C87" w:rsidRPr="00445B3A" w:rsidRDefault="00663C87" w:rsidP="00663C87">
      <w:pPr>
        <w:pStyle w:val="Heading3"/>
        <w:rPr>
          <w:sz w:val="20"/>
          <w:szCs w:val="20"/>
        </w:rPr>
      </w:pPr>
      <w:bookmarkStart w:id="90" w:name="_Toc183094976"/>
      <w:r w:rsidRPr="00445B3A">
        <w:rPr>
          <w:sz w:val="20"/>
          <w:szCs w:val="20"/>
        </w:rPr>
        <w:lastRenderedPageBreak/>
        <w:t xml:space="preserve">Figure 2: </w:t>
      </w:r>
      <w:r w:rsidRPr="00663C87">
        <w:rPr>
          <w:bCs/>
          <w:sz w:val="20"/>
          <w:szCs w:val="20"/>
        </w:rPr>
        <w:t>Risk review points for academic partners</w:t>
      </w:r>
      <w:bookmarkEnd w:id="90"/>
    </w:p>
    <w:p w14:paraId="2FB4CAE9" w14:textId="423EAEA4" w:rsidR="009A7497" w:rsidRPr="00235307" w:rsidRDefault="007A788A" w:rsidP="007C4F7B">
      <w:pPr>
        <w:jc w:val="both"/>
      </w:pPr>
      <w:r w:rsidRPr="005802D3">
        <w:rPr>
          <w:rFonts w:asciiTheme="minorHAnsi" w:hAnsiTheme="minorHAnsi" w:cstheme="minorHAnsi"/>
          <w:noProof/>
          <w:sz w:val="22"/>
        </w:rPr>
        <w:drawing>
          <wp:anchor distT="0" distB="0" distL="114300" distR="114300" simplePos="0" relativeHeight="251660288" behindDoc="0" locked="0" layoutInCell="1" allowOverlap="1" wp14:anchorId="4B0087F7" wp14:editId="7DD2017D">
            <wp:simplePos x="0" y="0"/>
            <wp:positionH relativeFrom="margin">
              <wp:posOffset>596265</wp:posOffset>
            </wp:positionH>
            <wp:positionV relativeFrom="paragraph">
              <wp:posOffset>351155</wp:posOffset>
            </wp:positionV>
            <wp:extent cx="4508500" cy="3305810"/>
            <wp:effectExtent l="0" t="76200" r="0" b="0"/>
            <wp:wrapSquare wrapText="bothSides"/>
            <wp:docPr id="2" name="Diagram 2">
              <a:extLst xmlns:a="http://schemas.openxmlformats.org/drawingml/2006/main">
                <a:ext uri="{FF2B5EF4-FFF2-40B4-BE49-F238E27FC236}">
                  <a16:creationId xmlns:a16="http://schemas.microsoft.com/office/drawing/2014/main" id="{1A9970F2-9107-46F7-9A2C-9C95A9BF416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margin">
              <wp14:pctWidth>0</wp14:pctWidth>
            </wp14:sizeRelH>
            <wp14:sizeRelV relativeFrom="margin">
              <wp14:pctHeight>0</wp14:pctHeight>
            </wp14:sizeRelV>
          </wp:anchor>
        </w:drawing>
      </w:r>
    </w:p>
    <w:p w14:paraId="34E6B489" w14:textId="77777777" w:rsidR="00663C87" w:rsidRDefault="00663C87" w:rsidP="00E777D1">
      <w:pPr>
        <w:pStyle w:val="Heading2"/>
      </w:pPr>
      <w:bookmarkStart w:id="91" w:name="_Annual_Review"/>
      <w:bookmarkEnd w:id="91"/>
    </w:p>
    <w:p w14:paraId="10533EA2" w14:textId="77777777" w:rsidR="00663C87" w:rsidRDefault="00663C87" w:rsidP="00E777D1">
      <w:pPr>
        <w:pStyle w:val="Heading2"/>
      </w:pPr>
    </w:p>
    <w:p w14:paraId="0088DCDE" w14:textId="77777777" w:rsidR="00663C87" w:rsidRDefault="00663C87" w:rsidP="00E777D1">
      <w:pPr>
        <w:pStyle w:val="Heading2"/>
      </w:pPr>
    </w:p>
    <w:p w14:paraId="710A2368" w14:textId="77777777" w:rsidR="00663C87" w:rsidRDefault="00663C87" w:rsidP="00E777D1">
      <w:pPr>
        <w:pStyle w:val="Heading2"/>
      </w:pPr>
    </w:p>
    <w:p w14:paraId="28AA9A95" w14:textId="0F880A91" w:rsidR="006C567B" w:rsidRPr="00B00D04" w:rsidRDefault="006C567B" w:rsidP="00E777D1">
      <w:pPr>
        <w:pStyle w:val="Heading2"/>
      </w:pPr>
      <w:bookmarkStart w:id="92" w:name="_Toc183094977"/>
      <w:r w:rsidRPr="00B00D04">
        <w:t>Annual Review</w:t>
      </w:r>
      <w:bookmarkEnd w:id="92"/>
    </w:p>
    <w:p w14:paraId="36EA61C5" w14:textId="4D31A8C2" w:rsidR="00235307" w:rsidRDefault="006C567B" w:rsidP="007C4F7B">
      <w:pPr>
        <w:jc w:val="both"/>
      </w:pPr>
      <w:r>
        <w:t xml:space="preserve">An Annual Review process operates for all approved partners at category C+ and is required regardless of whether any students have been recruited. The Annual Review of academic partnerships is an opportunity to review and monitor the currency and effectiveness of academic partners and their associated delivery of Edge Hill provision. It serves as a delivery re-approval for individual arrangements with each </w:t>
      </w:r>
      <w:r w:rsidR="00117459">
        <w:t>partner and</w:t>
      </w:r>
      <w:r>
        <w:t xml:space="preserve"> </w:t>
      </w:r>
      <w:r w:rsidR="00070FEF">
        <w:t xml:space="preserve">is separate from the partner’s overall approval period (normally five years), although new delivery approvals granted </w:t>
      </w:r>
      <w:r w:rsidR="00117459">
        <w:t xml:space="preserve">extends the partner approval period in most cases. This process </w:t>
      </w:r>
      <w:r>
        <w:t>operates in conjunction with Departmental Annual Monitoring and programme monitoring but is a separate process. The Annual Review provides an opportunity to focus on the performance of both the academic partnership, and the provision delivered with</w:t>
      </w:r>
      <w:r w:rsidR="00F02484">
        <w:t>in it</w:t>
      </w:r>
      <w:r w:rsidR="00626DBF">
        <w:t xml:space="preserve"> from the University’s perspective and from a student experience and outcomes viewpoint</w:t>
      </w:r>
      <w:r w:rsidR="00F02484">
        <w:t>.</w:t>
      </w:r>
      <w:r w:rsidR="007F0DDE">
        <w:t xml:space="preserve"> The process for reviewing category C+ partners is </w:t>
      </w:r>
      <w:r w:rsidR="00631455">
        <w:t xml:space="preserve">illustrated in the flowchart in Figure </w:t>
      </w:r>
      <w:r w:rsidR="00663C87">
        <w:t>3</w:t>
      </w:r>
      <w:r w:rsidR="00631455">
        <w:t>.</w:t>
      </w:r>
    </w:p>
    <w:p w14:paraId="7DAC0734" w14:textId="77777777" w:rsidR="00894A76" w:rsidRDefault="00894A76" w:rsidP="007C4F7B">
      <w:pPr>
        <w:jc w:val="both"/>
      </w:pPr>
    </w:p>
    <w:p w14:paraId="6F6C97E9" w14:textId="77777777" w:rsidR="00894A76" w:rsidRDefault="00894A76" w:rsidP="007C4F7B">
      <w:pPr>
        <w:jc w:val="both"/>
      </w:pPr>
    </w:p>
    <w:p w14:paraId="65B92E10" w14:textId="77777777" w:rsidR="00894A76" w:rsidRDefault="00894A76" w:rsidP="007C4F7B">
      <w:pPr>
        <w:jc w:val="both"/>
      </w:pPr>
    </w:p>
    <w:p w14:paraId="1BDD6867" w14:textId="77777777" w:rsidR="00894A76" w:rsidRDefault="00894A76" w:rsidP="007C4F7B">
      <w:pPr>
        <w:jc w:val="both"/>
      </w:pPr>
    </w:p>
    <w:p w14:paraId="0F968A6D" w14:textId="77777777" w:rsidR="00894A76" w:rsidRDefault="00894A76" w:rsidP="007C4F7B">
      <w:pPr>
        <w:jc w:val="both"/>
      </w:pPr>
    </w:p>
    <w:p w14:paraId="4B1DEF1E" w14:textId="77777777" w:rsidR="00894A76" w:rsidRDefault="00894A76" w:rsidP="007C4F7B">
      <w:pPr>
        <w:jc w:val="both"/>
        <w:rPr>
          <w:b/>
          <w:bCs/>
          <w:sz w:val="20"/>
          <w:szCs w:val="20"/>
        </w:rPr>
      </w:pPr>
    </w:p>
    <w:p w14:paraId="765379D4" w14:textId="51DBDC84" w:rsidR="00894A76" w:rsidRPr="00445B3A" w:rsidRDefault="00894A76" w:rsidP="00445B3A">
      <w:pPr>
        <w:pStyle w:val="Heading3"/>
        <w:rPr>
          <w:sz w:val="20"/>
          <w:szCs w:val="20"/>
        </w:rPr>
      </w:pPr>
      <w:bookmarkStart w:id="93" w:name="_Toc183094978"/>
      <w:bookmarkStart w:id="94" w:name="_Hlk183084699"/>
      <w:r w:rsidRPr="00445B3A">
        <w:rPr>
          <w:sz w:val="20"/>
          <w:szCs w:val="20"/>
        </w:rPr>
        <w:lastRenderedPageBreak/>
        <w:t xml:space="preserve">Figure </w:t>
      </w:r>
      <w:r w:rsidR="00663C87">
        <w:rPr>
          <w:sz w:val="20"/>
          <w:szCs w:val="20"/>
        </w:rPr>
        <w:t>3</w:t>
      </w:r>
      <w:r w:rsidRPr="00445B3A">
        <w:rPr>
          <w:sz w:val="20"/>
          <w:szCs w:val="20"/>
        </w:rPr>
        <w:t>: Annual Review Flowchart</w:t>
      </w:r>
      <w:bookmarkEnd w:id="93"/>
    </w:p>
    <w:bookmarkEnd w:id="94"/>
    <w:p w14:paraId="6803E8A2" w14:textId="77777777" w:rsidR="00894A76" w:rsidRPr="00894A76" w:rsidRDefault="00894A76" w:rsidP="007C4F7B">
      <w:pPr>
        <w:jc w:val="both"/>
        <w:rPr>
          <w:b/>
          <w:bCs/>
          <w:sz w:val="20"/>
          <w:szCs w:val="20"/>
        </w:rPr>
      </w:pPr>
    </w:p>
    <w:p w14:paraId="67A5D2CA" w14:textId="5C9694DF" w:rsidR="00894A76" w:rsidRPr="007F0DDE" w:rsidRDefault="00894A76" w:rsidP="00894A76">
      <w:r>
        <w:rPr>
          <w:noProof/>
        </w:rPr>
        <w:drawing>
          <wp:inline distT="0" distB="0" distL="0" distR="0" wp14:anchorId="1F9B8E12" wp14:editId="3F8E3490">
            <wp:extent cx="5951228" cy="7842250"/>
            <wp:effectExtent l="0" t="0" r="0" b="6350"/>
            <wp:docPr id="1339704558" name="Picture 11" descr="Annual Review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04558" name="Picture 11" descr="Annual Review Flowchar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61759" cy="7856127"/>
                    </a:xfrm>
                    <a:prstGeom prst="rect">
                      <a:avLst/>
                    </a:prstGeom>
                    <a:noFill/>
                  </pic:spPr>
                </pic:pic>
              </a:graphicData>
            </a:graphic>
          </wp:inline>
        </w:drawing>
      </w:r>
    </w:p>
    <w:p w14:paraId="5B6A7C5C" w14:textId="694A5B21" w:rsidR="00F009E3" w:rsidRDefault="007F0DDE" w:rsidP="007C4F7B">
      <w:pPr>
        <w:jc w:val="both"/>
      </w:pPr>
      <w:r>
        <w:lastRenderedPageBreak/>
        <w:t>The</w:t>
      </w:r>
      <w:r w:rsidR="006C567B" w:rsidRPr="00B00D04">
        <w:t xml:space="preserve"> </w:t>
      </w:r>
      <w:hyperlink r:id="rId53" w:history="1">
        <w:r w:rsidR="006C567B" w:rsidRPr="007C4F7B">
          <w:rPr>
            <w:rStyle w:val="Hyperlink"/>
            <w:b/>
          </w:rPr>
          <w:t>Annual Review form</w:t>
        </w:r>
      </w:hyperlink>
      <w:r w:rsidR="006C567B" w:rsidRPr="00B00D04">
        <w:t xml:space="preserve"> completed at the start of each new academic year</w:t>
      </w:r>
      <w:r>
        <w:t xml:space="preserve"> considers</w:t>
      </w:r>
      <w:r w:rsidR="006C567B" w:rsidRPr="00B00D04">
        <w:t xml:space="preserve"> any provision delivered in the previous academic year. This is usually completed by the Academic Partnership Liaison Tutor, with support and input from the Faculty Partnership Lead and any other related Programme Leaders who can provide peer support and review where required.</w:t>
      </w:r>
      <w:r w:rsidR="00216B85" w:rsidRPr="00B00D04">
        <w:t xml:space="preserve"> </w:t>
      </w:r>
      <w:r w:rsidR="006C567B" w:rsidRPr="00B00D04">
        <w:t xml:space="preserve">The Annual Review requires the consideration of a host of available evidence </w:t>
      </w:r>
      <w:r>
        <w:t>as shown above</w:t>
      </w:r>
      <w:r w:rsidR="00F009E3">
        <w:t xml:space="preserve">, including </w:t>
      </w:r>
      <w:r w:rsidR="006C567B" w:rsidRPr="00B00D04">
        <w:t>external examiner reports</w:t>
      </w:r>
      <w:r w:rsidR="006C567B" w:rsidRPr="00B00D04">
        <w:rPr>
          <w:rStyle w:val="FootnoteReference"/>
        </w:rPr>
        <w:footnoteReference w:id="44"/>
      </w:r>
      <w:r w:rsidR="006C567B" w:rsidRPr="00B00D04">
        <w:t>, retention, recruitment and other performance data, student feedback (formal and informal) and evidenc</w:t>
      </w:r>
      <w:r w:rsidR="007C4F7B">
        <w:t>e</w:t>
      </w:r>
      <w:r w:rsidR="006C567B" w:rsidRPr="00B00D04">
        <w:t xml:space="preserve">.  </w:t>
      </w:r>
    </w:p>
    <w:p w14:paraId="6CE3B717" w14:textId="65993FC9" w:rsidR="006C567B" w:rsidRPr="00B00D04" w:rsidRDefault="006C567B" w:rsidP="007C4F7B">
      <w:pPr>
        <w:jc w:val="both"/>
      </w:pPr>
      <w:r w:rsidRPr="00B00D04">
        <w:t>A Partner Visit by the Academic Partnership Liaison Tutor shall normally form part of the evidence for annual reviews and is an opportunity to confirm the ongoing currency of facilities as well as discuss performance of the partnership</w:t>
      </w:r>
      <w:r w:rsidR="009A4875">
        <w:t xml:space="preserve"> or potential developments.</w:t>
      </w:r>
    </w:p>
    <w:p w14:paraId="02920AE1" w14:textId="61C0899B" w:rsidR="006C567B" w:rsidRDefault="006C567B" w:rsidP="007C4F7B">
      <w:pPr>
        <w:jc w:val="both"/>
      </w:pPr>
      <w:r w:rsidRPr="00B00D04">
        <w:t>The Academic Partnership Liaison Tutor should also use the Annual Review exercise to review the programme Delivery Plan to ensure its ongoing appropriateness. Any required changes can be made in agreement with the partner but must not affect the division of approved responsibilities; any major changes would require formal delivery re-approval.</w:t>
      </w:r>
    </w:p>
    <w:p w14:paraId="326BD9C0" w14:textId="37F5A72C" w:rsidR="00216B85" w:rsidRPr="00B00D04" w:rsidRDefault="002955FF" w:rsidP="007C4F7B">
      <w:pPr>
        <w:jc w:val="both"/>
      </w:pPr>
      <w:r>
        <w:t>Fo</w:t>
      </w:r>
      <w:r w:rsidR="00C23C06">
        <w:t xml:space="preserve">r category E arrangements, </w:t>
      </w:r>
      <w:r w:rsidR="00297400">
        <w:t xml:space="preserve">Annual Review </w:t>
      </w:r>
      <w:r w:rsidR="000A5949">
        <w:t>serves as the verification process for the ongoing validity of curriculum mapping</w:t>
      </w:r>
      <w:r w:rsidR="00E46C1B">
        <w:t xml:space="preserve">.  </w:t>
      </w:r>
      <w:r w:rsidR="00C36B46">
        <w:t>T</w:t>
      </w:r>
      <w:r w:rsidR="00C1346A">
        <w:t xml:space="preserve">he section on </w:t>
      </w:r>
      <w:r w:rsidR="00E46C1B">
        <w:t xml:space="preserve">Category E partnerships </w:t>
      </w:r>
      <w:r w:rsidR="00C36B46">
        <w:t>outlines</w:t>
      </w:r>
      <w:r w:rsidR="00E46C1B">
        <w:t xml:space="preserve"> the action required</w:t>
      </w:r>
      <w:r w:rsidR="00054108">
        <w:t xml:space="preserve"> when there have been changes to the EHU and/or partner’s </w:t>
      </w:r>
      <w:r w:rsidR="007C4F7B">
        <w:t xml:space="preserve">curriculum. </w:t>
      </w:r>
      <w:r w:rsidR="00216B85" w:rsidRPr="00B00D04">
        <w:t xml:space="preserve">For category F arrangements, the Annual Review also provides a trigger point to consider any partner staffing changes and confirm plans for the upcoming year. </w:t>
      </w:r>
      <w:r w:rsidR="00B00D04" w:rsidRPr="00B00D04">
        <w:t>T</w:t>
      </w:r>
      <w:r w:rsidR="00216B85" w:rsidRPr="00B00D04">
        <w:t xml:space="preserve">he CVs of any </w:t>
      </w:r>
      <w:r w:rsidR="00B00D04" w:rsidRPr="00B00D04">
        <w:t xml:space="preserve">new </w:t>
      </w:r>
      <w:r w:rsidR="00216B85" w:rsidRPr="00B00D04">
        <w:t>partner staff must be submitted for approval to the relevant Faculty Quality Committee in advance of any delivery</w:t>
      </w:r>
      <w:r w:rsidR="00B00D04" w:rsidRPr="00B00D04">
        <w:t xml:space="preserve"> in this category</w:t>
      </w:r>
      <w:r w:rsidR="00216B85" w:rsidRPr="00B00D04">
        <w:t>.</w:t>
      </w:r>
    </w:p>
    <w:p w14:paraId="37B80785" w14:textId="2268A5E2" w:rsidR="006C567B" w:rsidRPr="00B00D04" w:rsidRDefault="006C567B" w:rsidP="007C4F7B">
      <w:pPr>
        <w:spacing w:after="0"/>
        <w:jc w:val="both"/>
      </w:pPr>
      <w:r w:rsidRPr="00B00D04">
        <w:t xml:space="preserve">Annual Reviews of more complex and involved arrangements for category F partners, for example those with overseas partners, should be completed collaboratively with key internal stakeholders. This might for example include Academic Registry for reflection on operational matters with the partner over the previous year, </w:t>
      </w:r>
      <w:r w:rsidR="009A4875">
        <w:t>GQASC</w:t>
      </w:r>
      <w:r w:rsidRPr="00B00D04">
        <w:t xml:space="preserve"> regarding curriculum matters or international strategy, and Learning Services for learning resources and engagement with the partner. </w:t>
      </w:r>
    </w:p>
    <w:p w14:paraId="790EDCC2" w14:textId="77777777" w:rsidR="00072A64" w:rsidRDefault="00072A64">
      <w:pPr>
        <w:spacing w:line="276" w:lineRule="auto"/>
        <w:rPr>
          <w:rFonts w:eastAsiaTheme="majorEastAsia" w:cstheme="majorBidi"/>
          <w:b/>
          <w:sz w:val="28"/>
          <w:szCs w:val="26"/>
        </w:rPr>
      </w:pPr>
      <w:r>
        <w:br w:type="page"/>
      </w:r>
    </w:p>
    <w:p w14:paraId="3732BCBD" w14:textId="05145BB5" w:rsidR="00477AAF" w:rsidRPr="00B00D04" w:rsidRDefault="00477AAF" w:rsidP="00E777D1">
      <w:pPr>
        <w:pStyle w:val="Heading2"/>
      </w:pPr>
      <w:bookmarkStart w:id="95" w:name="_Toc183094979"/>
      <w:r w:rsidRPr="00B00D04">
        <w:lastRenderedPageBreak/>
        <w:t>Closure</w:t>
      </w:r>
      <w:bookmarkEnd w:id="95"/>
    </w:p>
    <w:p w14:paraId="189994E4" w14:textId="27694230" w:rsidR="00DB3D94" w:rsidRDefault="00DB3D94" w:rsidP="00477AAF">
      <w:r>
        <w:t xml:space="preserve">The standard process for a closure of a category C or F partner is described in </w:t>
      </w:r>
      <w:r w:rsidR="00894A76">
        <w:t xml:space="preserve">Figure </w:t>
      </w:r>
      <w:r w:rsidR="00663C87">
        <w:t>4</w:t>
      </w:r>
      <w:r w:rsidR="00894A76">
        <w:t>.</w:t>
      </w:r>
    </w:p>
    <w:p w14:paraId="39FDDE50" w14:textId="0A6485FF" w:rsidR="00894A76" w:rsidRPr="00445B3A" w:rsidRDefault="00894A76" w:rsidP="00445B3A">
      <w:pPr>
        <w:pStyle w:val="Heading3"/>
        <w:rPr>
          <w:sz w:val="20"/>
          <w:szCs w:val="20"/>
        </w:rPr>
      </w:pPr>
      <w:bookmarkStart w:id="96" w:name="_Toc183094980"/>
      <w:r w:rsidRPr="00445B3A">
        <w:rPr>
          <w:sz w:val="20"/>
          <w:szCs w:val="20"/>
        </w:rPr>
        <w:t xml:space="preserve">Figure </w:t>
      </w:r>
      <w:r w:rsidR="00663C87">
        <w:rPr>
          <w:sz w:val="20"/>
          <w:szCs w:val="20"/>
        </w:rPr>
        <w:t>4</w:t>
      </w:r>
      <w:r w:rsidRPr="00445B3A">
        <w:rPr>
          <w:sz w:val="20"/>
          <w:szCs w:val="20"/>
        </w:rPr>
        <w:t>: Closure Process for Academic Partners with Category C and F Arrangements</w:t>
      </w:r>
      <w:bookmarkEnd w:id="96"/>
    </w:p>
    <w:p w14:paraId="19F31DD5" w14:textId="51D4FCE9" w:rsidR="005F332C" w:rsidRDefault="00AF1D09" w:rsidP="005F332C">
      <w:pPr>
        <w:jc w:val="center"/>
      </w:pPr>
      <w:r w:rsidRPr="009F2C1F">
        <w:rPr>
          <w:rFonts w:cs="Arial"/>
          <w:sz w:val="22"/>
          <w:szCs w:val="24"/>
        </w:rPr>
        <w:object w:dxaOrig="8988" w:dyaOrig="14160" w14:anchorId="1ECC3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for partner closure- flowchart&#10;&#10;Partnership liaison tutor reviews contract for any specific clauses for termination and exit strategy section of POD and delivery plan(s). &#10;&#10;Closure plan drafted in line with university student protection plan and shared with stakeholders for input e.g. Registry, Fees.&#10;&#10;Plan submitted to FASQAC and then AQEC before implementation. Monitoring against plan done by FASQAC" style="width:354pt;height:564pt" o:ole="">
            <v:imagedata r:id="rId54" o:title=""/>
          </v:shape>
          <o:OLEObject Type="Embed" ProgID="Visio.Drawing.15" ShapeID="_x0000_i1025" DrawAspect="Content" ObjectID="_1794136488" r:id="rId55"/>
        </w:object>
      </w:r>
    </w:p>
    <w:p w14:paraId="307F7428" w14:textId="029725F6" w:rsidR="00477AAF" w:rsidRPr="00B00D04" w:rsidRDefault="00477AAF" w:rsidP="007C4F7B">
      <w:pPr>
        <w:jc w:val="both"/>
      </w:pPr>
      <w:r w:rsidRPr="00B00D04">
        <w:t xml:space="preserve">Upon identification of a required closure of either a partnership (and all its associated provision) or specific provision delivered with a partner (where the partnership is to </w:t>
      </w:r>
      <w:r w:rsidRPr="00B00D04">
        <w:lastRenderedPageBreak/>
        <w:t xml:space="preserve">continue), a </w:t>
      </w:r>
      <w:r w:rsidRPr="00B00D04">
        <w:rPr>
          <w:b/>
        </w:rPr>
        <w:t>Closure Plan</w:t>
      </w:r>
      <w:r w:rsidRPr="00B00D04">
        <w:t xml:space="preserve"> requires completion</w:t>
      </w:r>
      <w:r w:rsidR="00274A33">
        <w:t xml:space="preserve"> for category C+ partnerships</w:t>
      </w:r>
      <w:r w:rsidRPr="00B00D04">
        <w:rPr>
          <w:rStyle w:val="FootnoteReference"/>
        </w:rPr>
        <w:footnoteReference w:id="45"/>
      </w:r>
      <w:r w:rsidRPr="00B00D04">
        <w:t xml:space="preserve">. This is normally undertaken by the Academic Partnership Liaison Tutor, with input from other stakeholders from across the University such as Learning Services. This plan is based upon the exit strategy information from the latest available version of the Partner </w:t>
      </w:r>
      <w:r w:rsidR="001B503C">
        <w:t>Approval</w:t>
      </w:r>
      <w:r w:rsidRPr="00B00D04">
        <w:t xml:space="preserve"> Document, updated with additional details where appropriate. The Closure Plans are developed with consideration of the University </w:t>
      </w:r>
      <w:hyperlink r:id="rId56" w:history="1">
        <w:r w:rsidR="007C4F7B" w:rsidRPr="00BE6DD8">
          <w:rPr>
            <w:rStyle w:val="Hyperlink"/>
          </w:rPr>
          <w:t>Student Protection Plan</w:t>
        </w:r>
      </w:hyperlink>
      <w:r w:rsidRPr="00B00D04">
        <w:t xml:space="preserve">, adherence to Office for Students’ </w:t>
      </w:r>
      <w:hyperlink r:id="rId57" w:history="1">
        <w:r w:rsidRPr="007C4F7B">
          <w:rPr>
            <w:rStyle w:val="Hyperlink"/>
          </w:rPr>
          <w:t>Conditions of Registration</w:t>
        </w:r>
      </w:hyperlink>
      <w:r w:rsidRPr="00B00D04">
        <w:t xml:space="preserve"> C1-3 related to student protection and due consideration of the impact on students.</w:t>
      </w:r>
    </w:p>
    <w:p w14:paraId="2497DFAD" w14:textId="55E444A2" w:rsidR="00477AAF" w:rsidRPr="00B00D04" w:rsidRDefault="00477AAF" w:rsidP="007C4F7B">
      <w:pPr>
        <w:jc w:val="both"/>
      </w:pPr>
      <w:r w:rsidRPr="00B00D04">
        <w:t xml:space="preserve">Faculty Quality Committees are responsible for approval of the plan and the ongoing monitoring of any actions identified through closure and teach out (this should remain on the committee’s agenda until the final student cohort has completed). The </w:t>
      </w:r>
      <w:r w:rsidR="00BE6DD8">
        <w:t>AQEC</w:t>
      </w:r>
      <w:r w:rsidRPr="00B00D04">
        <w:t xml:space="preserve"> also receives the Closure Plans for approval, recommended from the Faculty Quality Committee.</w:t>
      </w:r>
    </w:p>
    <w:p w14:paraId="63B05624" w14:textId="40B7071C" w:rsidR="006B67D4" w:rsidRPr="007C4F7B" w:rsidRDefault="00477AAF" w:rsidP="007C4F7B">
      <w:pPr>
        <w:jc w:val="both"/>
        <w:rPr>
          <w:b/>
          <w:bCs/>
        </w:rPr>
      </w:pPr>
      <w:r w:rsidRPr="007C4F7B">
        <w:rPr>
          <w:b/>
          <w:bCs/>
        </w:rPr>
        <w:t>Academic Partnerships which are in closure (i.e. teach-out is ongoing) still require completion of the Annual Review process until the final student cohort has completed.</w:t>
      </w:r>
    </w:p>
    <w:p w14:paraId="22934CB5" w14:textId="4D9C98F5" w:rsidR="00C966E4" w:rsidRDefault="00C966E4" w:rsidP="00EF1EED">
      <w:pPr>
        <w:pStyle w:val="Heading1"/>
      </w:pPr>
      <w:bookmarkStart w:id="97" w:name="_Toc183094981"/>
      <w:r>
        <w:t>Document Management and Retention</w:t>
      </w:r>
      <w:bookmarkEnd w:id="97"/>
    </w:p>
    <w:p w14:paraId="68E95000" w14:textId="77777777" w:rsidR="00EF1EED" w:rsidRDefault="00EF1EED" w:rsidP="007C4F7B">
      <w:pPr>
        <w:jc w:val="both"/>
      </w:pPr>
      <w:r>
        <w:t xml:space="preserve">The </w:t>
      </w:r>
      <w:r w:rsidRPr="007C4F7B">
        <w:rPr>
          <w:b/>
          <w:bCs/>
        </w:rPr>
        <w:t>Faculty Partnership Lead</w:t>
      </w:r>
      <w:r>
        <w:t xml:space="preserve"> will m</w:t>
      </w:r>
      <w:r w:rsidRPr="00D3044F">
        <w:t>aintain comprehensive records of all partnership</w:t>
      </w:r>
      <w:r>
        <w:t>s</w:t>
      </w:r>
      <w:r w:rsidRPr="00D3044F">
        <w:t>, including any correspondence with partners or students</w:t>
      </w:r>
      <w:r>
        <w:t xml:space="preserve"> and a record of current Academic Partnership Liaison Tutors.</w:t>
      </w:r>
    </w:p>
    <w:p w14:paraId="1AA20970" w14:textId="301B09C9" w:rsidR="006B67D4" w:rsidRDefault="00FF03A2" w:rsidP="007C4F7B">
      <w:pPr>
        <w:jc w:val="both"/>
      </w:pPr>
      <w:r>
        <w:t xml:space="preserve">For </w:t>
      </w:r>
      <w:r w:rsidR="00EF1EED">
        <w:t>category C+</w:t>
      </w:r>
      <w:r>
        <w:t xml:space="preserve"> partnership</w:t>
      </w:r>
      <w:r w:rsidR="00EF1EED">
        <w:t>s</w:t>
      </w:r>
      <w:r>
        <w:t>, the</w:t>
      </w:r>
      <w:r w:rsidR="002036B6">
        <w:t xml:space="preserve"> Faculty Partnership Lead will ensure that the </w:t>
      </w:r>
      <w:r w:rsidR="00EF1EED">
        <w:t xml:space="preserve">key </w:t>
      </w:r>
      <w:r w:rsidR="004E755D">
        <w:t>documents are</w:t>
      </w:r>
      <w:r w:rsidR="002036B6">
        <w:t xml:space="preserve"> stored centrally on the University Y Drive (Academic Partnerships</w:t>
      </w:r>
      <w:r w:rsidR="00A061B1">
        <w:t xml:space="preserve"> folder</w:t>
      </w:r>
      <w:r w:rsidR="002036B6">
        <w:t>)</w:t>
      </w:r>
      <w:r w:rsidR="00EF1EED">
        <w:t xml:space="preserve">.  </w:t>
      </w:r>
      <w:r w:rsidR="003C4249">
        <w:t>T</w:t>
      </w:r>
      <w:r w:rsidR="00EF1EED">
        <w:t>hese records include, but are not limited to</w:t>
      </w:r>
      <w:r w:rsidR="000079CC">
        <w:t>:</w:t>
      </w:r>
    </w:p>
    <w:p w14:paraId="273F492A" w14:textId="513ED7A3" w:rsidR="00F511D2" w:rsidRDefault="00F511D2" w:rsidP="007C4F7B">
      <w:pPr>
        <w:pStyle w:val="ListParagraph"/>
        <w:numPr>
          <w:ilvl w:val="0"/>
          <w:numId w:val="50"/>
        </w:numPr>
        <w:jc w:val="both"/>
      </w:pPr>
      <w:r>
        <w:t>Business Case (financial) submission</w:t>
      </w:r>
      <w:r w:rsidR="003C4249">
        <w:t>s</w:t>
      </w:r>
      <w:r>
        <w:t>, including the supporting spreadsheet</w:t>
      </w:r>
      <w:r w:rsidR="00EF1EED">
        <w:t xml:space="preserve"> (where applicable).</w:t>
      </w:r>
    </w:p>
    <w:p w14:paraId="778CC3AD" w14:textId="39F7943C" w:rsidR="000079CC" w:rsidRDefault="00122797" w:rsidP="007C4F7B">
      <w:pPr>
        <w:pStyle w:val="ListParagraph"/>
        <w:numPr>
          <w:ilvl w:val="0"/>
          <w:numId w:val="50"/>
        </w:numPr>
        <w:jc w:val="both"/>
      </w:pPr>
      <w:r>
        <w:t xml:space="preserve">Due </w:t>
      </w:r>
      <w:r w:rsidR="00393F98">
        <w:t xml:space="preserve">diligence </w:t>
      </w:r>
      <w:r w:rsidR="00884F3E">
        <w:t>reports</w:t>
      </w:r>
      <w:r w:rsidR="00EF1EED">
        <w:t>.</w:t>
      </w:r>
    </w:p>
    <w:p w14:paraId="7C305C99" w14:textId="1F6650B3" w:rsidR="00865700" w:rsidRDefault="00865700" w:rsidP="007C4F7B">
      <w:pPr>
        <w:pStyle w:val="ListParagraph"/>
        <w:numPr>
          <w:ilvl w:val="0"/>
          <w:numId w:val="50"/>
        </w:numPr>
        <w:jc w:val="both"/>
      </w:pPr>
      <w:r>
        <w:t>Country profile (where applicable)</w:t>
      </w:r>
      <w:r w:rsidR="00EF1EED">
        <w:t>.</w:t>
      </w:r>
    </w:p>
    <w:p w14:paraId="59AAA998" w14:textId="3F37E6E9" w:rsidR="00730AA5" w:rsidRDefault="00730AA5" w:rsidP="007C4F7B">
      <w:pPr>
        <w:pStyle w:val="ListParagraph"/>
        <w:numPr>
          <w:ilvl w:val="0"/>
          <w:numId w:val="50"/>
        </w:numPr>
        <w:jc w:val="both"/>
      </w:pPr>
      <w:r>
        <w:t>Memoranda of Understanding</w:t>
      </w:r>
      <w:r w:rsidR="00EF1EED">
        <w:t>.</w:t>
      </w:r>
    </w:p>
    <w:p w14:paraId="79710325" w14:textId="040C7E5D" w:rsidR="00C42501" w:rsidRDefault="004E755D" w:rsidP="007C4F7B">
      <w:pPr>
        <w:pStyle w:val="ListParagraph"/>
        <w:numPr>
          <w:ilvl w:val="0"/>
          <w:numId w:val="50"/>
        </w:numPr>
        <w:jc w:val="both"/>
      </w:pPr>
      <w:r>
        <w:t>Contracts</w:t>
      </w:r>
      <w:r w:rsidR="00E006A8">
        <w:t xml:space="preserve"> </w:t>
      </w:r>
      <w:r w:rsidR="00730AA5">
        <w:t>(</w:t>
      </w:r>
      <w:r w:rsidR="00E473BC">
        <w:t xml:space="preserve">aka Modular Agreements </w:t>
      </w:r>
      <w:r w:rsidR="009C639F">
        <w:t>and Memoranda of Articulation)</w:t>
      </w:r>
      <w:r w:rsidR="00EF1EED">
        <w:t>.</w:t>
      </w:r>
    </w:p>
    <w:p w14:paraId="323B900C" w14:textId="754E8F8B" w:rsidR="00884F3E" w:rsidRDefault="00884F3E" w:rsidP="007C4F7B">
      <w:pPr>
        <w:pStyle w:val="ListParagraph"/>
        <w:numPr>
          <w:ilvl w:val="0"/>
          <w:numId w:val="50"/>
        </w:numPr>
        <w:jc w:val="both"/>
      </w:pPr>
      <w:r>
        <w:t>Delivery Plans</w:t>
      </w:r>
      <w:r w:rsidR="00730AA5">
        <w:t xml:space="preserve"> (completed and signed)</w:t>
      </w:r>
      <w:r w:rsidR="00EF1EED">
        <w:t>.</w:t>
      </w:r>
    </w:p>
    <w:p w14:paraId="0AB7ADB4" w14:textId="04C5A707" w:rsidR="00884F3E" w:rsidRDefault="00A42F7D" w:rsidP="007C4F7B">
      <w:pPr>
        <w:pStyle w:val="ListParagraph"/>
        <w:numPr>
          <w:ilvl w:val="0"/>
          <w:numId w:val="50"/>
        </w:numPr>
        <w:jc w:val="both"/>
      </w:pPr>
      <w:r>
        <w:t>Partner Visit Reports</w:t>
      </w:r>
      <w:r w:rsidR="00EF1EED">
        <w:t>.</w:t>
      </w:r>
    </w:p>
    <w:p w14:paraId="25E9655A" w14:textId="018C6207" w:rsidR="00F0467B" w:rsidRDefault="00F0467B" w:rsidP="007C4F7B">
      <w:pPr>
        <w:pStyle w:val="ListParagraph"/>
        <w:numPr>
          <w:ilvl w:val="0"/>
          <w:numId w:val="50"/>
        </w:numPr>
        <w:jc w:val="both"/>
      </w:pPr>
      <w:r>
        <w:t xml:space="preserve">Closure Plan (as approved by </w:t>
      </w:r>
      <w:r w:rsidR="00BE6DD8">
        <w:t>AQEC</w:t>
      </w:r>
      <w:r w:rsidR="00421A36">
        <w:t xml:space="preserve"> and letter to the partner</w:t>
      </w:r>
      <w:r w:rsidR="00EF1EED">
        <w:t>.</w:t>
      </w:r>
    </w:p>
    <w:p w14:paraId="7A87A4E8" w14:textId="7EBA99D0" w:rsidR="00A42F7D" w:rsidRDefault="003C4249" w:rsidP="007C4F7B">
      <w:pPr>
        <w:jc w:val="both"/>
      </w:pPr>
      <w:r>
        <w:t>T</w:t>
      </w:r>
      <w:r w:rsidR="00A42F7D">
        <w:t>h</w:t>
      </w:r>
      <w:r w:rsidR="008F1709">
        <w:t xml:space="preserve">e </w:t>
      </w:r>
      <w:r w:rsidR="0080590C">
        <w:t>GQASC</w:t>
      </w:r>
      <w:r w:rsidR="008F1709">
        <w:t xml:space="preserve"> team will ensure that the following documents are stored centrally on the University Y Drive</w:t>
      </w:r>
      <w:r w:rsidR="00A061B1">
        <w:t xml:space="preserve"> </w:t>
      </w:r>
      <w:r>
        <w:t>for each category C+ partnership,</w:t>
      </w:r>
      <w:r w:rsidR="002E59E4">
        <w:t>:</w:t>
      </w:r>
    </w:p>
    <w:p w14:paraId="7577739B" w14:textId="6D1FCD97" w:rsidR="006F7DC2" w:rsidRDefault="006F7DC2" w:rsidP="00923314">
      <w:pPr>
        <w:pStyle w:val="ListParagraph"/>
        <w:numPr>
          <w:ilvl w:val="0"/>
          <w:numId w:val="50"/>
        </w:numPr>
      </w:pPr>
      <w:r>
        <w:t>Business Approval decision</w:t>
      </w:r>
      <w:r w:rsidR="00EF1EED">
        <w:t>.</w:t>
      </w:r>
      <w:r>
        <w:t xml:space="preserve"> </w:t>
      </w:r>
    </w:p>
    <w:p w14:paraId="264FE74A" w14:textId="1D300226" w:rsidR="00A654AB" w:rsidRDefault="00A654AB" w:rsidP="00923314">
      <w:pPr>
        <w:pStyle w:val="ListParagraph"/>
        <w:numPr>
          <w:ilvl w:val="0"/>
          <w:numId w:val="50"/>
        </w:numPr>
      </w:pPr>
      <w:r>
        <w:t xml:space="preserve">Annual Review Reports (as submitted </w:t>
      </w:r>
      <w:r w:rsidR="0080590C">
        <w:t xml:space="preserve">to GQASC by </w:t>
      </w:r>
      <w:r>
        <w:t>the Faculty).</w:t>
      </w:r>
    </w:p>
    <w:p w14:paraId="163EFA3B" w14:textId="1EC5AE80" w:rsidR="00923314" w:rsidRDefault="00A061B1" w:rsidP="009C639F">
      <w:pPr>
        <w:pStyle w:val="ListParagraph"/>
        <w:numPr>
          <w:ilvl w:val="0"/>
          <w:numId w:val="50"/>
        </w:numPr>
      </w:pPr>
      <w:r>
        <w:t xml:space="preserve">Academic Partnership Proposal (as submitted to the </w:t>
      </w:r>
      <w:r w:rsidR="00BD193A">
        <w:t>APC</w:t>
      </w:r>
      <w:r>
        <w:t>)</w:t>
      </w:r>
    </w:p>
    <w:p w14:paraId="743E0E03" w14:textId="1A544052" w:rsidR="009D4429" w:rsidRDefault="009D4429" w:rsidP="00C80691">
      <w:pPr>
        <w:pStyle w:val="ListParagraph"/>
        <w:numPr>
          <w:ilvl w:val="0"/>
          <w:numId w:val="50"/>
        </w:numPr>
      </w:pPr>
      <w:r>
        <w:lastRenderedPageBreak/>
        <w:t xml:space="preserve">All paperwork submitted to support articulation, validation and delivery approval events, including (where relevant): </w:t>
      </w:r>
    </w:p>
    <w:p w14:paraId="32E81066" w14:textId="3E2C3AB6" w:rsidR="00C80691" w:rsidRDefault="00C80691" w:rsidP="007E157C">
      <w:pPr>
        <w:pStyle w:val="ListParagraph"/>
        <w:numPr>
          <w:ilvl w:val="1"/>
          <w:numId w:val="50"/>
        </w:numPr>
      </w:pPr>
      <w:r>
        <w:t>Site Visit Reports</w:t>
      </w:r>
      <w:r w:rsidR="00611704">
        <w:t xml:space="preserve"> </w:t>
      </w:r>
    </w:p>
    <w:p w14:paraId="10F3F6B7" w14:textId="02BEC3B7" w:rsidR="00C80691" w:rsidRDefault="00611704" w:rsidP="007E157C">
      <w:pPr>
        <w:pStyle w:val="ListParagraph"/>
        <w:numPr>
          <w:ilvl w:val="1"/>
          <w:numId w:val="50"/>
        </w:numPr>
      </w:pPr>
      <w:r>
        <w:t>Partner Overview Document</w:t>
      </w:r>
      <w:r w:rsidR="00730AA5">
        <w:t xml:space="preserve"> </w:t>
      </w:r>
    </w:p>
    <w:p w14:paraId="65818AC5" w14:textId="5B369BEA" w:rsidR="00611704" w:rsidRDefault="00116BD8" w:rsidP="007E157C">
      <w:pPr>
        <w:pStyle w:val="ListParagraph"/>
        <w:numPr>
          <w:ilvl w:val="1"/>
          <w:numId w:val="50"/>
        </w:numPr>
      </w:pPr>
      <w:r>
        <w:t xml:space="preserve">Faculty Approval Panel report </w:t>
      </w:r>
    </w:p>
    <w:p w14:paraId="508AEEC7" w14:textId="653DE8B6" w:rsidR="00116BD8" w:rsidRDefault="00286636" w:rsidP="007E157C">
      <w:pPr>
        <w:pStyle w:val="ListParagraph"/>
        <w:numPr>
          <w:ilvl w:val="1"/>
          <w:numId w:val="50"/>
        </w:numPr>
      </w:pPr>
      <w:r w:rsidRPr="00286636">
        <w:t>Inventory of course specific facilities, resources and software</w:t>
      </w:r>
      <w:r>
        <w:t xml:space="preserve"> </w:t>
      </w:r>
    </w:p>
    <w:p w14:paraId="07761205" w14:textId="5156292C" w:rsidR="00FC0112" w:rsidRDefault="006832CF" w:rsidP="009C639F">
      <w:pPr>
        <w:pStyle w:val="ListParagraph"/>
        <w:numPr>
          <w:ilvl w:val="0"/>
          <w:numId w:val="50"/>
        </w:numPr>
      </w:pPr>
      <w:r>
        <w:t xml:space="preserve">Institutional level Partner Approval </w:t>
      </w:r>
      <w:r w:rsidR="009D4429">
        <w:t>PVM</w:t>
      </w:r>
      <w:r w:rsidR="00EF1EED">
        <w:t>.</w:t>
      </w:r>
    </w:p>
    <w:p w14:paraId="30BDBC3C" w14:textId="730CB2D1" w:rsidR="009D4429" w:rsidRDefault="009D4429" w:rsidP="009C639F">
      <w:pPr>
        <w:pStyle w:val="ListParagraph"/>
        <w:numPr>
          <w:ilvl w:val="0"/>
          <w:numId w:val="50"/>
        </w:numPr>
      </w:pPr>
      <w:r>
        <w:t>Institutional level Partner Closure PVM</w:t>
      </w:r>
      <w:r w:rsidR="00EF1EED">
        <w:t>.</w:t>
      </w:r>
    </w:p>
    <w:p w14:paraId="35905110" w14:textId="4DC9BCD9" w:rsidR="00286636" w:rsidRDefault="00286636" w:rsidP="007E157C">
      <w:pPr>
        <w:pStyle w:val="ListParagraph"/>
      </w:pPr>
    </w:p>
    <w:p w14:paraId="547698FD" w14:textId="1FAE29B3" w:rsidR="00A061B1" w:rsidRDefault="00807CDA" w:rsidP="007E157C">
      <w:r>
        <w:t xml:space="preserve">The University’s central records documenting the formation and management of academic partnerships will be retained </w:t>
      </w:r>
      <w:r w:rsidR="008164FC">
        <w:t>until six years following the e</w:t>
      </w:r>
      <w:r w:rsidR="008164FC" w:rsidRPr="008164FC">
        <w:t>nd of partnership</w:t>
      </w:r>
      <w:r w:rsidR="008164FC">
        <w:t xml:space="preserve">. The records will </w:t>
      </w:r>
      <w:r w:rsidR="008164FC" w:rsidRPr="008164FC">
        <w:t>then</w:t>
      </w:r>
      <w:r w:rsidR="008164FC">
        <w:t xml:space="preserve"> </w:t>
      </w:r>
      <w:r w:rsidR="008164FC" w:rsidRPr="008164FC">
        <w:t>review for</w:t>
      </w:r>
      <w:r w:rsidR="008164FC">
        <w:t xml:space="preserve"> </w:t>
      </w:r>
      <w:r w:rsidR="008164FC" w:rsidRPr="008164FC">
        <w:t>archiving value</w:t>
      </w:r>
      <w:r w:rsidR="008164FC">
        <w:t>.</w:t>
      </w:r>
    </w:p>
    <w:p w14:paraId="3B3B397F" w14:textId="77777777" w:rsidR="00FE7FA5" w:rsidRDefault="00FE7FA5" w:rsidP="00A42F7D"/>
    <w:p w14:paraId="006251D8" w14:textId="77777777" w:rsidR="007345E2" w:rsidRDefault="007345E2" w:rsidP="007E157C"/>
    <w:p w14:paraId="5308A472" w14:textId="77777777" w:rsidR="00C966E4" w:rsidRPr="000C5126" w:rsidRDefault="00C966E4" w:rsidP="00477AAF"/>
    <w:p w14:paraId="4DA2B45F" w14:textId="77777777" w:rsidR="00477AAF" w:rsidRDefault="00477AAF" w:rsidP="00477AAF"/>
    <w:sectPr w:rsidR="00477AAF" w:rsidSect="006B5598">
      <w:footerReference w:type="default" r:id="rId58"/>
      <w:pgSz w:w="11906" w:h="16838"/>
      <w:pgMar w:top="1440" w:right="1440" w:bottom="1440" w:left="1440" w:header="709" w:footer="709" w:gutter="0"/>
      <w:pgBorders w:offsetFrom="page">
        <w:lef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29B05" w14:textId="77777777" w:rsidR="008021CA" w:rsidRDefault="008021CA" w:rsidP="00840176">
      <w:pPr>
        <w:spacing w:after="0"/>
      </w:pPr>
      <w:r>
        <w:separator/>
      </w:r>
    </w:p>
  </w:endnote>
  <w:endnote w:type="continuationSeparator" w:id="0">
    <w:p w14:paraId="7EC9024D" w14:textId="77777777" w:rsidR="008021CA" w:rsidRDefault="008021CA" w:rsidP="00840176">
      <w:pPr>
        <w:spacing w:after="0"/>
      </w:pPr>
      <w:r>
        <w:continuationSeparator/>
      </w:r>
    </w:p>
  </w:endnote>
  <w:endnote w:type="continuationNotice" w:id="1">
    <w:p w14:paraId="09B4ADDB" w14:textId="77777777" w:rsidR="008021CA" w:rsidRDefault="008021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6530543"/>
      <w:docPartObj>
        <w:docPartGallery w:val="Page Numbers (Bottom of Page)"/>
        <w:docPartUnique/>
      </w:docPartObj>
    </w:sdtPr>
    <w:sdtEndPr>
      <w:rPr>
        <w:noProof/>
      </w:rPr>
    </w:sdtEndPr>
    <w:sdtContent>
      <w:p w14:paraId="247BC7F5" w14:textId="77777777" w:rsidR="00CB2078" w:rsidRDefault="00CB20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B2C481" w14:textId="77777777" w:rsidR="00CB2078" w:rsidRPr="001D66C1" w:rsidRDefault="00CB2078" w:rsidP="001D66C1">
    <w:pPr>
      <w:spacing w:after="0"/>
      <w:ind w:left="20"/>
      <w:rPr>
        <w:sz w:val="20"/>
        <w:szCs w:val="20"/>
      </w:rPr>
    </w:pPr>
    <w:r w:rsidRPr="001D66C1">
      <w:rPr>
        <w:sz w:val="20"/>
        <w:szCs w:val="20"/>
      </w:rPr>
      <w:t>Edge Hill University Quality Management Handbook</w:t>
    </w:r>
  </w:p>
  <w:p w14:paraId="5429576D" w14:textId="77777777" w:rsidR="00CB2078" w:rsidRPr="001D66C1" w:rsidRDefault="00CB2078" w:rsidP="001D66C1">
    <w:pPr>
      <w:spacing w:after="0"/>
      <w:ind w:left="20" w:right="-3" w:firstLine="6"/>
      <w:rPr>
        <w:sz w:val="20"/>
        <w:szCs w:val="20"/>
      </w:rPr>
    </w:pPr>
    <w:r w:rsidRPr="001D66C1">
      <w:rPr>
        <w:sz w:val="20"/>
        <w:szCs w:val="20"/>
      </w:rPr>
      <w:t>Chapter 5 Academic Partnerships</w:t>
    </w:r>
  </w:p>
  <w:p w14:paraId="510BC890" w14:textId="1F606E19" w:rsidR="00CB2078" w:rsidRPr="001D66C1" w:rsidRDefault="00CB2078" w:rsidP="001D66C1">
    <w:pPr>
      <w:spacing w:after="0"/>
      <w:ind w:left="20" w:right="444"/>
      <w:rPr>
        <w:sz w:val="20"/>
        <w:szCs w:val="20"/>
      </w:rPr>
    </w:pPr>
    <w:r w:rsidRPr="001D66C1">
      <w:rPr>
        <w:sz w:val="20"/>
        <w:szCs w:val="20"/>
      </w:rPr>
      <w:t xml:space="preserve">Institutional contact: </w:t>
    </w:r>
    <w:r w:rsidR="0050587E">
      <w:rPr>
        <w:sz w:val="20"/>
        <w:szCs w:val="20"/>
      </w:rPr>
      <w:t>Victoria Winstanley</w:t>
    </w:r>
    <w:r w:rsidRPr="001D66C1">
      <w:rPr>
        <w:sz w:val="20"/>
        <w:szCs w:val="20"/>
      </w:rPr>
      <w:t xml:space="preserve"> (ext. </w:t>
    </w:r>
    <w:r w:rsidR="0050587E">
      <w:rPr>
        <w:sz w:val="20"/>
        <w:szCs w:val="20"/>
      </w:rPr>
      <w:t>6407</w:t>
    </w:r>
    <w:r w:rsidRPr="001D66C1">
      <w:rPr>
        <w:sz w:val="20"/>
        <w:szCs w:val="20"/>
      </w:rPr>
      <w:t xml:space="preserve">) </w:t>
    </w:r>
  </w:p>
  <w:p w14:paraId="4C1A1F98" w14:textId="5373FE6E" w:rsidR="00CB2078" w:rsidRPr="001D66C1" w:rsidRDefault="00CB2078" w:rsidP="001D66C1">
    <w:pPr>
      <w:spacing w:after="0"/>
      <w:ind w:left="20" w:right="444"/>
      <w:rPr>
        <w:sz w:val="20"/>
        <w:szCs w:val="20"/>
      </w:rPr>
    </w:pPr>
    <w:r w:rsidRPr="001D66C1">
      <w:rPr>
        <w:sz w:val="20"/>
        <w:szCs w:val="20"/>
      </w:rPr>
      <w:t>Latest version: October 202</w:t>
    </w:r>
    <w:r w:rsidR="0050587E">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D6A0E" w14:textId="77777777" w:rsidR="008021CA" w:rsidRDefault="008021CA" w:rsidP="00840176">
      <w:pPr>
        <w:spacing w:after="0"/>
      </w:pPr>
      <w:r>
        <w:separator/>
      </w:r>
    </w:p>
  </w:footnote>
  <w:footnote w:type="continuationSeparator" w:id="0">
    <w:p w14:paraId="138778ED" w14:textId="77777777" w:rsidR="008021CA" w:rsidRDefault="008021CA" w:rsidP="00840176">
      <w:pPr>
        <w:spacing w:after="0"/>
      </w:pPr>
      <w:r>
        <w:continuationSeparator/>
      </w:r>
    </w:p>
  </w:footnote>
  <w:footnote w:type="continuationNotice" w:id="1">
    <w:p w14:paraId="06303BC8" w14:textId="77777777" w:rsidR="008021CA" w:rsidRDefault="008021CA">
      <w:pPr>
        <w:spacing w:after="0"/>
      </w:pPr>
    </w:p>
  </w:footnote>
  <w:footnote w:id="2">
    <w:p w14:paraId="5CEB980B" w14:textId="77777777" w:rsidR="004B3696" w:rsidRPr="003079F5" w:rsidRDefault="004B3696" w:rsidP="004B3696">
      <w:pPr>
        <w:pStyle w:val="FootnoteText"/>
        <w:rPr>
          <w:rFonts w:asciiTheme="minorHAnsi" w:hAnsiTheme="minorHAnsi" w:cstheme="minorHAnsi"/>
          <w:sz w:val="18"/>
          <w:szCs w:val="18"/>
        </w:rPr>
      </w:pPr>
      <w:r w:rsidRPr="003079F5">
        <w:rPr>
          <w:rStyle w:val="FootnoteReference"/>
          <w:rFonts w:asciiTheme="minorHAnsi" w:hAnsiTheme="minorHAnsi" w:cstheme="minorHAnsi"/>
          <w:sz w:val="18"/>
          <w:szCs w:val="18"/>
        </w:rPr>
        <w:footnoteRef/>
      </w:r>
      <w:r w:rsidRPr="003079F5">
        <w:rPr>
          <w:rFonts w:asciiTheme="minorHAnsi" w:hAnsiTheme="minorHAnsi" w:cstheme="minorHAnsi"/>
          <w:sz w:val="18"/>
          <w:szCs w:val="18"/>
        </w:rPr>
        <w:t xml:space="preserve"> The </w:t>
      </w:r>
      <w:r>
        <w:rPr>
          <w:rFonts w:asciiTheme="minorHAnsi" w:hAnsiTheme="minorHAnsi" w:cstheme="minorHAnsi"/>
          <w:sz w:val="18"/>
          <w:szCs w:val="18"/>
        </w:rPr>
        <w:t>A</w:t>
      </w:r>
      <w:r w:rsidRPr="003079F5">
        <w:rPr>
          <w:rFonts w:asciiTheme="minorHAnsi" w:hAnsiTheme="minorHAnsi" w:cstheme="minorHAnsi"/>
          <w:sz w:val="18"/>
          <w:szCs w:val="18"/>
        </w:rPr>
        <w:t xml:space="preserve">dvice and </w:t>
      </w:r>
      <w:r>
        <w:rPr>
          <w:rFonts w:asciiTheme="minorHAnsi" w:hAnsiTheme="minorHAnsi" w:cstheme="minorHAnsi"/>
          <w:sz w:val="18"/>
          <w:szCs w:val="18"/>
        </w:rPr>
        <w:t>G</w:t>
      </w:r>
      <w:r w:rsidRPr="003079F5">
        <w:rPr>
          <w:rFonts w:asciiTheme="minorHAnsi" w:hAnsiTheme="minorHAnsi" w:cstheme="minorHAnsi"/>
          <w:sz w:val="18"/>
          <w:szCs w:val="18"/>
        </w:rPr>
        <w:t>uidance which will accompany Principle 8</w:t>
      </w:r>
      <w:r>
        <w:rPr>
          <w:rFonts w:asciiTheme="minorHAnsi" w:hAnsiTheme="minorHAnsi" w:cstheme="minorHAnsi"/>
          <w:sz w:val="18"/>
          <w:szCs w:val="18"/>
        </w:rPr>
        <w:t xml:space="preserve"> ‘Operating partnerships with other organisations’</w:t>
      </w:r>
      <w:r w:rsidRPr="003079F5">
        <w:rPr>
          <w:rFonts w:asciiTheme="minorHAnsi" w:hAnsiTheme="minorHAnsi" w:cstheme="minorHAnsi"/>
          <w:sz w:val="18"/>
          <w:szCs w:val="18"/>
        </w:rPr>
        <w:t xml:space="preserve"> of the updated</w:t>
      </w:r>
      <w:r>
        <w:rPr>
          <w:rFonts w:asciiTheme="minorHAnsi" w:hAnsiTheme="minorHAnsi" w:cstheme="minorHAnsi"/>
          <w:sz w:val="18"/>
          <w:szCs w:val="18"/>
        </w:rPr>
        <w:t xml:space="preserve"> </w:t>
      </w:r>
      <w:hyperlink r:id="rId1" w:history="1">
        <w:r w:rsidRPr="003079F5">
          <w:rPr>
            <w:rStyle w:val="Hyperlink"/>
            <w:rFonts w:asciiTheme="minorHAnsi" w:hAnsiTheme="minorHAnsi" w:cstheme="minorHAnsi"/>
            <w:sz w:val="18"/>
            <w:szCs w:val="18"/>
          </w:rPr>
          <w:t>UK Quality Code (2024)</w:t>
        </w:r>
      </w:hyperlink>
      <w:r w:rsidRPr="003079F5">
        <w:rPr>
          <w:rFonts w:asciiTheme="minorHAnsi" w:hAnsiTheme="minorHAnsi" w:cstheme="minorHAnsi"/>
          <w:sz w:val="18"/>
          <w:szCs w:val="18"/>
        </w:rPr>
        <w:t xml:space="preserve"> is not yet available</w:t>
      </w:r>
      <w:r>
        <w:rPr>
          <w:rFonts w:asciiTheme="minorHAnsi" w:hAnsiTheme="minorHAnsi" w:cstheme="minorHAnsi"/>
          <w:sz w:val="18"/>
          <w:szCs w:val="18"/>
        </w:rPr>
        <w:t>.</w:t>
      </w:r>
    </w:p>
  </w:footnote>
  <w:footnote w:id="3">
    <w:p w14:paraId="6E26085B" w14:textId="6842575B" w:rsidR="0069166A" w:rsidRDefault="0069166A">
      <w:pPr>
        <w:pStyle w:val="FootnoteText"/>
      </w:pPr>
      <w:r>
        <w:rPr>
          <w:rStyle w:val="FootnoteReference"/>
        </w:rPr>
        <w:footnoteRef/>
      </w:r>
      <w:r>
        <w:t xml:space="preserve"> </w:t>
      </w:r>
      <w:r>
        <w:rPr>
          <w:sz w:val="18"/>
          <w:szCs w:val="18"/>
        </w:rPr>
        <w:t>D</w:t>
      </w:r>
      <w:r w:rsidRPr="0069166A">
        <w:rPr>
          <w:sz w:val="18"/>
          <w:szCs w:val="18"/>
        </w:rPr>
        <w:t>eveloped by the University for delivery wholly by a partner organisation</w:t>
      </w:r>
      <w:r>
        <w:rPr>
          <w:sz w:val="18"/>
          <w:szCs w:val="18"/>
        </w:rPr>
        <w:t>. See Table 1.</w:t>
      </w:r>
    </w:p>
  </w:footnote>
  <w:footnote w:id="4">
    <w:p w14:paraId="1E01A4D6" w14:textId="1320C0C8" w:rsidR="00277FAE" w:rsidRDefault="00277FAE">
      <w:pPr>
        <w:pStyle w:val="FootnoteText"/>
      </w:pPr>
      <w:r>
        <w:rPr>
          <w:rStyle w:val="FootnoteReference"/>
        </w:rPr>
        <w:footnoteRef/>
      </w:r>
      <w:r>
        <w:t xml:space="preserve"> Category A2 was formerly used for the management of ERASMUS partnerships and therefore is no longer in use.</w:t>
      </w:r>
    </w:p>
  </w:footnote>
  <w:footnote w:id="5">
    <w:p w14:paraId="3B14C165" w14:textId="005CA0C7" w:rsidR="00CB2078" w:rsidRDefault="00CB2078">
      <w:pPr>
        <w:pStyle w:val="FootnoteText"/>
      </w:pPr>
      <w:r>
        <w:rPr>
          <w:rStyle w:val="FootnoteReference"/>
        </w:rPr>
        <w:footnoteRef/>
      </w:r>
      <w:r>
        <w:t xml:space="preserve"> Governance, Quality Assurance and Student Case work team.</w:t>
      </w:r>
    </w:p>
  </w:footnote>
  <w:footnote w:id="6">
    <w:p w14:paraId="77E18818" w14:textId="57C69BAC" w:rsidR="00CB2078" w:rsidRPr="00D3044F" w:rsidRDefault="00CB2078" w:rsidP="00074F13">
      <w:pPr>
        <w:pStyle w:val="FootnoteText"/>
      </w:pPr>
      <w:r w:rsidRPr="00D3044F">
        <w:rPr>
          <w:rStyle w:val="FootnoteReference"/>
        </w:rPr>
        <w:footnoteRef/>
      </w:r>
      <w:r w:rsidR="00C6162E">
        <w:t xml:space="preserve"> S</w:t>
      </w:r>
      <w:r w:rsidRPr="00D3044F">
        <w:t>ee Chapter 1</w:t>
      </w:r>
      <w:r>
        <w:t>.</w:t>
      </w:r>
      <w:r w:rsidRPr="00D3044F">
        <w:t xml:space="preserve"> </w:t>
      </w:r>
    </w:p>
  </w:footnote>
  <w:footnote w:id="7">
    <w:p w14:paraId="06E66806" w14:textId="6CD04C33" w:rsidR="00453EB8" w:rsidRDefault="00453EB8">
      <w:pPr>
        <w:pStyle w:val="FootnoteText"/>
      </w:pPr>
      <w:r>
        <w:rPr>
          <w:rStyle w:val="FootnoteReference"/>
        </w:rPr>
        <w:footnoteRef/>
      </w:r>
      <w:r>
        <w:t xml:space="preserve"> </w:t>
      </w:r>
      <w:r w:rsidR="00EB2430">
        <w:t xml:space="preserve">Requirements </w:t>
      </w:r>
      <w:r w:rsidR="001759E2">
        <w:t>to maintain</w:t>
      </w:r>
      <w:r w:rsidR="00A2110C">
        <w:t xml:space="preserve"> a</w:t>
      </w:r>
      <w:r w:rsidR="001759E2">
        <w:t xml:space="preserve"> central </w:t>
      </w:r>
      <w:r w:rsidR="00A2110C">
        <w:t xml:space="preserve">record of </w:t>
      </w:r>
      <w:r w:rsidR="001759E2">
        <w:t>partnership</w:t>
      </w:r>
      <w:r w:rsidR="00540A5C">
        <w:t xml:space="preserve">s </w:t>
      </w:r>
      <w:r w:rsidR="00EB2430">
        <w:t xml:space="preserve">are </w:t>
      </w:r>
      <w:r w:rsidR="00540A5C">
        <w:t>stipulated at the en</w:t>
      </w:r>
      <w:r w:rsidR="001759E2">
        <w:t>d of this chapter.</w:t>
      </w:r>
    </w:p>
  </w:footnote>
  <w:footnote w:id="8">
    <w:p w14:paraId="222EF5D5" w14:textId="5B573CEE" w:rsidR="00CB2078" w:rsidRPr="00D3044F" w:rsidRDefault="00CB2078" w:rsidP="00074F13">
      <w:pPr>
        <w:pStyle w:val="FootnoteText"/>
      </w:pPr>
      <w:r w:rsidRPr="00D3044F">
        <w:rPr>
          <w:rStyle w:val="FootnoteReference"/>
        </w:rPr>
        <w:footnoteRef/>
      </w:r>
      <w:r w:rsidRPr="00D3044F">
        <w:t xml:space="preserve"> </w:t>
      </w:r>
      <w:r w:rsidR="00C6162E" w:rsidRPr="00D3044F">
        <w:t>Except for</w:t>
      </w:r>
      <w:r w:rsidRPr="00D3044F">
        <w:t xml:space="preserve"> category F4</w:t>
      </w:r>
      <w:r w:rsidR="00C6162E">
        <w:t>,</w:t>
      </w:r>
      <w:r w:rsidRPr="00D3044F">
        <w:t xml:space="preserve"> where there is no equivalent EHU programme and </w:t>
      </w:r>
      <w:r>
        <w:t xml:space="preserve">therefore </w:t>
      </w:r>
      <w:r w:rsidRPr="00D3044F">
        <w:t xml:space="preserve">a separate Academic Partnership Liaison Tutor </w:t>
      </w:r>
      <w:r>
        <w:t>is</w:t>
      </w:r>
      <w:r w:rsidRPr="00D3044F">
        <w:t xml:space="preserve"> required.</w:t>
      </w:r>
    </w:p>
  </w:footnote>
  <w:footnote w:id="9">
    <w:p w14:paraId="54EC3D5D" w14:textId="39750384" w:rsidR="000B3181" w:rsidRDefault="000B3181">
      <w:pPr>
        <w:pStyle w:val="FootnoteText"/>
      </w:pPr>
      <w:r>
        <w:rPr>
          <w:rStyle w:val="FootnoteReference"/>
        </w:rPr>
        <w:footnoteRef/>
      </w:r>
      <w:r>
        <w:t xml:space="preserve"> E.g., completion of Partner Visit Reports. Template available </w:t>
      </w:r>
      <w:hyperlink r:id="rId2" w:history="1">
        <w:r w:rsidRPr="000B3181">
          <w:rPr>
            <w:rStyle w:val="Hyperlink"/>
          </w:rPr>
          <w:t>here</w:t>
        </w:r>
      </w:hyperlink>
      <w:r>
        <w:t xml:space="preserve">. </w:t>
      </w:r>
    </w:p>
  </w:footnote>
  <w:footnote w:id="10">
    <w:p w14:paraId="7E99C29E" w14:textId="77777777" w:rsidR="00CB2078" w:rsidRPr="00D3044F" w:rsidRDefault="00CB2078" w:rsidP="00074F13">
      <w:pPr>
        <w:pStyle w:val="FootnoteText"/>
      </w:pPr>
      <w:r w:rsidRPr="00D3044F">
        <w:rPr>
          <w:rStyle w:val="FootnoteReference"/>
        </w:rPr>
        <w:footnoteRef/>
      </w:r>
      <w:r w:rsidRPr="00D3044F">
        <w:t xml:space="preserve">   Only one Academic Partnership Liaison Tutor is normally required per partner, with the expectation that they will liaise accordingly with other colleagues in the completion of the Annual Review paperwork.</w:t>
      </w:r>
    </w:p>
  </w:footnote>
  <w:footnote w:id="11">
    <w:p w14:paraId="11FAA6AF" w14:textId="2D4792B3" w:rsidR="000B3181" w:rsidRPr="00D3044F" w:rsidRDefault="000B3181" w:rsidP="000B3181">
      <w:pPr>
        <w:pStyle w:val="FootnoteText"/>
      </w:pPr>
      <w:r w:rsidRPr="00D3044F">
        <w:rPr>
          <w:rStyle w:val="FootnoteReference"/>
        </w:rPr>
        <w:footnoteRef/>
      </w:r>
      <w:r w:rsidRPr="00D3044F">
        <w:t xml:space="preserve"> </w:t>
      </w:r>
      <w:r>
        <w:t xml:space="preserve">Business approval is granted by the </w:t>
      </w:r>
      <w:bookmarkStart w:id="15" w:name="_Hlk182923791"/>
      <w:r>
        <w:t xml:space="preserve">Partnership Advisory Sub-Group </w:t>
      </w:r>
      <w:bookmarkStart w:id="16" w:name="_Hlk182923763"/>
      <w:bookmarkEnd w:id="15"/>
      <w:r>
        <w:t xml:space="preserve">(PASG) of the </w:t>
      </w:r>
      <w:r w:rsidR="00655970">
        <w:t>PMG</w:t>
      </w:r>
      <w:r>
        <w:t xml:space="preserve"> prior to any submissions to </w:t>
      </w:r>
      <w:r w:rsidR="00655970">
        <w:t>the Academic Planning Committee (APC)</w:t>
      </w:r>
      <w:bookmarkEnd w:id="16"/>
      <w:r w:rsidRPr="00D3044F">
        <w:t>.</w:t>
      </w:r>
      <w:r>
        <w:t xml:space="preserve"> </w:t>
      </w:r>
    </w:p>
  </w:footnote>
  <w:footnote w:id="12">
    <w:p w14:paraId="53E890C7" w14:textId="4C6D2137" w:rsidR="00CB2078" w:rsidRPr="00D3044F" w:rsidRDefault="00CB2078" w:rsidP="00074F13">
      <w:pPr>
        <w:pStyle w:val="FootnoteText"/>
      </w:pPr>
      <w:r w:rsidRPr="00D3044F">
        <w:rPr>
          <w:rStyle w:val="FootnoteReference"/>
        </w:rPr>
        <w:footnoteRef/>
      </w:r>
      <w:r w:rsidRPr="00D3044F">
        <w:t xml:space="preserve"> This is jointly authored by the Faculty Partnership Leads</w:t>
      </w:r>
      <w:r w:rsidR="00F8329D">
        <w:t xml:space="preserve"> and the</w:t>
      </w:r>
      <w:r w:rsidRPr="00D3044F">
        <w:t xml:space="preserve"> </w:t>
      </w:r>
      <w:r w:rsidR="00655970">
        <w:t xml:space="preserve">nominated </w:t>
      </w:r>
      <w:r w:rsidR="00F8329D">
        <w:t xml:space="preserve">Academic Quality and </w:t>
      </w:r>
      <w:r w:rsidR="00D93E7E">
        <w:t>Standards Manager and</w:t>
      </w:r>
      <w:r w:rsidRPr="00D3044F">
        <w:t xml:space="preserve"> </w:t>
      </w:r>
      <w:r w:rsidR="00F8329D">
        <w:t>is</w:t>
      </w:r>
      <w:r w:rsidRPr="00D3044F">
        <w:t xml:space="preserve"> received by </w:t>
      </w:r>
      <w:r w:rsidR="00BE6DD8">
        <w:t>AQEC</w:t>
      </w:r>
      <w:r w:rsidRPr="00D3044F">
        <w:t xml:space="preserve"> for approval.</w:t>
      </w:r>
    </w:p>
  </w:footnote>
  <w:footnote w:id="13">
    <w:p w14:paraId="530C15A2" w14:textId="0D3D07F0" w:rsidR="00CB2078" w:rsidRPr="00D3044F" w:rsidRDefault="00CB2078" w:rsidP="00074F13">
      <w:pPr>
        <w:pStyle w:val="FootnoteText"/>
      </w:pPr>
      <w:r w:rsidRPr="00D3044F">
        <w:rPr>
          <w:rStyle w:val="FootnoteReference"/>
        </w:rPr>
        <w:footnoteRef/>
      </w:r>
      <w:r w:rsidRPr="00D3044F">
        <w:t xml:space="preserve"> See Chapter 1</w:t>
      </w:r>
      <w:r>
        <w:t>.</w:t>
      </w:r>
    </w:p>
  </w:footnote>
  <w:footnote w:id="14">
    <w:p w14:paraId="0967AE2F" w14:textId="38B0ED9E" w:rsidR="00655970" w:rsidRDefault="00655970">
      <w:pPr>
        <w:pStyle w:val="FootnoteText"/>
      </w:pPr>
      <w:r>
        <w:rPr>
          <w:rStyle w:val="FootnoteReference"/>
        </w:rPr>
        <w:footnoteRef/>
      </w:r>
      <w:r>
        <w:t xml:space="preserve"> The </w:t>
      </w:r>
      <w:hyperlink r:id="rId3" w:history="1">
        <w:r w:rsidRPr="00655970">
          <w:rPr>
            <w:rStyle w:val="Hyperlink"/>
          </w:rPr>
          <w:t>ESFA</w:t>
        </w:r>
      </w:hyperlink>
      <w:r w:rsidRPr="00655970">
        <w:t xml:space="preserve"> set to close in March 2025, bringing</w:t>
      </w:r>
      <w:r>
        <w:t xml:space="preserve"> its</w:t>
      </w:r>
      <w:r w:rsidRPr="00655970">
        <w:t xml:space="preserve"> functions into the Department for Education</w:t>
      </w:r>
      <w:r>
        <w:t>.</w:t>
      </w:r>
    </w:p>
  </w:footnote>
  <w:footnote w:id="15">
    <w:p w14:paraId="767E87F9" w14:textId="4AC3C465" w:rsidR="00CB2078" w:rsidRPr="00890448" w:rsidRDefault="00CB2078" w:rsidP="00890448">
      <w:pPr>
        <w:spacing w:after="0"/>
        <w:contextualSpacing/>
        <w:rPr>
          <w:sz w:val="20"/>
          <w:szCs w:val="20"/>
        </w:rPr>
      </w:pPr>
      <w:r w:rsidRPr="00890448">
        <w:rPr>
          <w:rStyle w:val="FootnoteReference"/>
          <w:sz w:val="20"/>
          <w:szCs w:val="20"/>
        </w:rPr>
        <w:footnoteRef/>
      </w:r>
      <w:r w:rsidRPr="00890448">
        <w:rPr>
          <w:sz w:val="20"/>
          <w:szCs w:val="20"/>
        </w:rPr>
        <w:t xml:space="preserve"> See </w:t>
      </w:r>
      <w:hyperlink r:id="rId4" w:history="1">
        <w:r w:rsidRPr="00890448">
          <w:rPr>
            <w:rStyle w:val="Hyperlink"/>
            <w:sz w:val="20"/>
            <w:szCs w:val="20"/>
            <w:u w:val="none"/>
          </w:rPr>
          <w:t>Foundation Degree Characteristics Statement</w:t>
        </w:r>
      </w:hyperlink>
      <w:r w:rsidRPr="00890448">
        <w:rPr>
          <w:sz w:val="20"/>
          <w:szCs w:val="20"/>
        </w:rPr>
        <w:t xml:space="preserve"> (QAA, 2015).  </w:t>
      </w:r>
      <w:r w:rsidR="00F8329D">
        <w:rPr>
          <w:sz w:val="20"/>
          <w:szCs w:val="20"/>
        </w:rPr>
        <w:t>For Foundation Degrees, t</w:t>
      </w:r>
      <w:r w:rsidRPr="00890448">
        <w:rPr>
          <w:sz w:val="20"/>
          <w:szCs w:val="20"/>
        </w:rPr>
        <w:t>he University’s Academic Regulations require at least a quarter of students’ learning to be experienced in the workplace, either through discrete work-based learning modules or embedded across the curriculum.</w:t>
      </w:r>
    </w:p>
  </w:footnote>
  <w:footnote w:id="16">
    <w:p w14:paraId="676335A2" w14:textId="3F42CCB0" w:rsidR="00CB2078" w:rsidRPr="00FB1FF2" w:rsidRDefault="00CB2078" w:rsidP="00FB1FF2">
      <w:pPr>
        <w:spacing w:after="0"/>
        <w:contextualSpacing/>
        <w:jc w:val="both"/>
        <w:rPr>
          <w:sz w:val="20"/>
          <w:szCs w:val="20"/>
        </w:rPr>
      </w:pPr>
      <w:r w:rsidRPr="00FB1FF2">
        <w:rPr>
          <w:rStyle w:val="FootnoteReference"/>
          <w:sz w:val="20"/>
          <w:szCs w:val="20"/>
        </w:rPr>
        <w:footnoteRef/>
      </w:r>
      <w:r w:rsidRPr="00FB1FF2">
        <w:rPr>
          <w:i/>
          <w:iCs/>
          <w:sz w:val="20"/>
          <w:szCs w:val="20"/>
        </w:rPr>
        <w:t>‘ASET Good Practice Guide for Work based and Placement Learning in Higher Education’</w:t>
      </w:r>
      <w:r w:rsidRPr="00FB1FF2">
        <w:rPr>
          <w:sz w:val="20"/>
          <w:szCs w:val="20"/>
        </w:rPr>
        <w:t>, ASET Work Based and Placement Learning Association, 20</w:t>
      </w:r>
      <w:r w:rsidR="00D93E7E">
        <w:rPr>
          <w:sz w:val="20"/>
          <w:szCs w:val="20"/>
        </w:rPr>
        <w:t>22</w:t>
      </w:r>
      <w:r w:rsidRPr="00FB1FF2">
        <w:rPr>
          <w:sz w:val="20"/>
          <w:szCs w:val="20"/>
        </w:rPr>
        <w:t>), p.</w:t>
      </w:r>
      <w:r w:rsidR="00D93E7E">
        <w:rPr>
          <w:sz w:val="20"/>
          <w:szCs w:val="20"/>
        </w:rPr>
        <w:t>6</w:t>
      </w:r>
      <w:r w:rsidRPr="00FB1FF2">
        <w:rPr>
          <w:sz w:val="20"/>
          <w:szCs w:val="20"/>
        </w:rPr>
        <w:t xml:space="preserve"> </w:t>
      </w:r>
      <w:hyperlink r:id="rId5" w:history="1">
        <w:r w:rsidR="00D93E7E">
          <w:rPr>
            <w:rStyle w:val="Hyperlink"/>
            <w:sz w:val="20"/>
            <w:szCs w:val="20"/>
            <w:u w:val="none"/>
          </w:rPr>
          <w:t>https://www.asetonline.org/wp-content/uploads/2024/04/ASET-Good-Practice-Guide-Work-based-and-Placement-Learning.pdf</w:t>
        </w:r>
      </w:hyperlink>
      <w:r w:rsidRPr="00FB1FF2">
        <w:rPr>
          <w:sz w:val="20"/>
          <w:szCs w:val="20"/>
        </w:rPr>
        <w:t xml:space="preserve">. </w:t>
      </w:r>
    </w:p>
  </w:footnote>
  <w:footnote w:id="17">
    <w:p w14:paraId="234C2804" w14:textId="77777777" w:rsidR="00CB2078" w:rsidRPr="00FB1FF2" w:rsidRDefault="00CB2078" w:rsidP="00233E98">
      <w:pPr>
        <w:pStyle w:val="FootnoteText"/>
        <w:contextualSpacing/>
        <w:jc w:val="both"/>
      </w:pPr>
      <w:r w:rsidRPr="00FB1FF2">
        <w:rPr>
          <w:rStyle w:val="FootnoteReference"/>
        </w:rPr>
        <w:footnoteRef/>
      </w:r>
      <w:r w:rsidRPr="00FB1FF2">
        <w:t xml:space="preserve"> This complements the standard due diligence completed by the EU before granting an institution’s Erasmus Charter.</w:t>
      </w:r>
    </w:p>
  </w:footnote>
  <w:footnote w:id="18">
    <w:p w14:paraId="7BF6F910" w14:textId="7B3C47A2" w:rsidR="00D93E7E" w:rsidRDefault="00D93E7E">
      <w:pPr>
        <w:pStyle w:val="FootnoteText"/>
      </w:pPr>
      <w:r>
        <w:rPr>
          <w:rStyle w:val="FootnoteReference"/>
        </w:rPr>
        <w:footnoteRef/>
      </w:r>
      <w:r>
        <w:t xml:space="preserve"> </w:t>
      </w:r>
      <w:hyperlink r:id="rId6" w:history="1">
        <w:r w:rsidRPr="00D93E7E">
          <w:rPr>
            <w:rStyle w:val="Hyperlink"/>
          </w:rPr>
          <w:t>https://www.enic.org.uk/</w:t>
        </w:r>
      </w:hyperlink>
    </w:p>
  </w:footnote>
  <w:footnote w:id="19">
    <w:p w14:paraId="0DCBB5C0" w14:textId="24694454" w:rsidR="00CB2078" w:rsidRPr="00D3044F" w:rsidRDefault="00CB2078" w:rsidP="007F317A">
      <w:pPr>
        <w:pStyle w:val="FootnoteText"/>
      </w:pPr>
      <w:r w:rsidRPr="00D3044F">
        <w:rPr>
          <w:rStyle w:val="FootnoteReference"/>
        </w:rPr>
        <w:footnoteRef/>
      </w:r>
      <w:r w:rsidRPr="00D3044F">
        <w:t xml:space="preserve"> </w:t>
      </w:r>
      <w:r w:rsidR="00E255A6">
        <w:t>See</w:t>
      </w:r>
      <w:r w:rsidRPr="00D3044F">
        <w:t xml:space="preserve"> </w:t>
      </w:r>
      <w:hyperlink r:id="rId7" w:history="1">
        <w:r w:rsidR="00E255A6" w:rsidRPr="009D6590">
          <w:rPr>
            <w:rStyle w:val="Hyperlink"/>
          </w:rPr>
          <w:t>Faculty Academic Quality Statements</w:t>
        </w:r>
      </w:hyperlink>
      <w:r w:rsidR="00E255A6">
        <w:t>.</w:t>
      </w:r>
    </w:p>
  </w:footnote>
  <w:footnote w:id="20">
    <w:p w14:paraId="5B082E16" w14:textId="77777777" w:rsidR="00CB2078" w:rsidRPr="00D3044F" w:rsidRDefault="00CB2078" w:rsidP="007F317A">
      <w:pPr>
        <w:spacing w:after="0" w:line="209" w:lineRule="exact"/>
        <w:rPr>
          <w:sz w:val="20"/>
        </w:rPr>
      </w:pPr>
      <w:r w:rsidRPr="00D3044F">
        <w:rPr>
          <w:rStyle w:val="FootnoteReference"/>
        </w:rPr>
        <w:footnoteRef/>
      </w:r>
      <w:r w:rsidRPr="00D3044F">
        <w:t xml:space="preserve"> </w:t>
      </w:r>
      <w:r w:rsidRPr="00D3044F">
        <w:rPr>
          <w:sz w:val="20"/>
        </w:rPr>
        <w:t>These typically cover:</w:t>
      </w:r>
    </w:p>
    <w:p w14:paraId="63DCE9B1" w14:textId="77777777" w:rsidR="00CB2078" w:rsidRPr="00D3044F" w:rsidRDefault="00CB2078" w:rsidP="007F317A">
      <w:pPr>
        <w:pStyle w:val="ListParagraph"/>
        <w:widowControl w:val="0"/>
        <w:numPr>
          <w:ilvl w:val="0"/>
          <w:numId w:val="6"/>
        </w:numPr>
        <w:tabs>
          <w:tab w:val="left" w:pos="781"/>
          <w:tab w:val="left" w:pos="782"/>
        </w:tabs>
        <w:autoSpaceDE w:val="0"/>
        <w:autoSpaceDN w:val="0"/>
        <w:spacing w:after="0" w:line="207" w:lineRule="exact"/>
        <w:ind w:hanging="284"/>
        <w:contextualSpacing w:val="0"/>
        <w:rPr>
          <w:sz w:val="20"/>
          <w:szCs w:val="20"/>
        </w:rPr>
      </w:pPr>
      <w:r w:rsidRPr="0755090A">
        <w:rPr>
          <w:sz w:val="20"/>
          <w:szCs w:val="20"/>
        </w:rPr>
        <w:t>The roles, responsibilities and obligations of the University, the placement provider and the</w:t>
      </w:r>
      <w:r w:rsidRPr="0755090A">
        <w:rPr>
          <w:spacing w:val="-21"/>
          <w:sz w:val="20"/>
          <w:szCs w:val="20"/>
        </w:rPr>
        <w:t xml:space="preserve"> </w:t>
      </w:r>
      <w:r w:rsidRPr="0755090A">
        <w:rPr>
          <w:sz w:val="20"/>
          <w:szCs w:val="20"/>
        </w:rPr>
        <w:t>student.</w:t>
      </w:r>
    </w:p>
    <w:p w14:paraId="2CFE1420" w14:textId="608269FA" w:rsidR="00CB2078" w:rsidRPr="00D3044F" w:rsidRDefault="00CB2078" w:rsidP="007F317A">
      <w:pPr>
        <w:pStyle w:val="ListParagraph"/>
        <w:widowControl w:val="0"/>
        <w:numPr>
          <w:ilvl w:val="0"/>
          <w:numId w:val="6"/>
        </w:numPr>
        <w:tabs>
          <w:tab w:val="left" w:pos="781"/>
          <w:tab w:val="left" w:pos="782"/>
        </w:tabs>
        <w:autoSpaceDE w:val="0"/>
        <w:autoSpaceDN w:val="0"/>
        <w:spacing w:after="0"/>
        <w:ind w:right="755" w:hanging="284"/>
        <w:contextualSpacing w:val="0"/>
        <w:rPr>
          <w:sz w:val="20"/>
          <w:szCs w:val="20"/>
        </w:rPr>
      </w:pPr>
      <w:r w:rsidRPr="0755090A">
        <w:rPr>
          <w:sz w:val="20"/>
          <w:szCs w:val="20"/>
        </w:rPr>
        <w:t>Employer’s</w:t>
      </w:r>
      <w:r w:rsidRPr="0755090A">
        <w:rPr>
          <w:spacing w:val="-4"/>
          <w:sz w:val="20"/>
          <w:szCs w:val="20"/>
        </w:rPr>
        <w:t xml:space="preserve"> </w:t>
      </w:r>
      <w:r w:rsidRPr="0755090A">
        <w:rPr>
          <w:sz w:val="20"/>
          <w:szCs w:val="20"/>
        </w:rPr>
        <w:t>liability</w:t>
      </w:r>
      <w:r w:rsidRPr="0755090A">
        <w:rPr>
          <w:spacing w:val="-5"/>
          <w:sz w:val="20"/>
          <w:szCs w:val="20"/>
        </w:rPr>
        <w:t xml:space="preserve"> </w:t>
      </w:r>
      <w:r w:rsidRPr="0755090A">
        <w:rPr>
          <w:sz w:val="20"/>
          <w:szCs w:val="20"/>
        </w:rPr>
        <w:t>and</w:t>
      </w:r>
      <w:r w:rsidRPr="0755090A">
        <w:rPr>
          <w:spacing w:val="-5"/>
          <w:sz w:val="20"/>
          <w:szCs w:val="20"/>
        </w:rPr>
        <w:t xml:space="preserve"> </w:t>
      </w:r>
      <w:r w:rsidRPr="0755090A">
        <w:rPr>
          <w:sz w:val="20"/>
          <w:szCs w:val="20"/>
        </w:rPr>
        <w:t>compliance</w:t>
      </w:r>
      <w:r w:rsidRPr="0755090A">
        <w:rPr>
          <w:spacing w:val="-3"/>
          <w:sz w:val="20"/>
          <w:szCs w:val="20"/>
        </w:rPr>
        <w:t xml:space="preserve"> </w:t>
      </w:r>
      <w:r w:rsidRPr="0755090A">
        <w:rPr>
          <w:sz w:val="20"/>
          <w:szCs w:val="20"/>
        </w:rPr>
        <w:t>with</w:t>
      </w:r>
      <w:r w:rsidRPr="0755090A">
        <w:rPr>
          <w:spacing w:val="-5"/>
          <w:sz w:val="20"/>
          <w:szCs w:val="20"/>
        </w:rPr>
        <w:t xml:space="preserve"> </w:t>
      </w:r>
      <w:r w:rsidRPr="0755090A">
        <w:rPr>
          <w:sz w:val="20"/>
          <w:szCs w:val="20"/>
        </w:rPr>
        <w:t>statutory</w:t>
      </w:r>
      <w:r w:rsidRPr="0755090A">
        <w:rPr>
          <w:spacing w:val="-7"/>
          <w:sz w:val="20"/>
          <w:szCs w:val="20"/>
        </w:rPr>
        <w:t xml:space="preserve"> </w:t>
      </w:r>
      <w:r w:rsidRPr="0755090A">
        <w:rPr>
          <w:sz w:val="20"/>
          <w:szCs w:val="20"/>
        </w:rPr>
        <w:t>obligations</w:t>
      </w:r>
      <w:r w:rsidRPr="0755090A">
        <w:rPr>
          <w:spacing w:val="-4"/>
          <w:sz w:val="20"/>
          <w:szCs w:val="20"/>
        </w:rPr>
        <w:t xml:space="preserve"> </w:t>
      </w:r>
      <w:r w:rsidRPr="0755090A">
        <w:rPr>
          <w:sz w:val="20"/>
          <w:szCs w:val="20"/>
        </w:rPr>
        <w:t>e.g.</w:t>
      </w:r>
      <w:r>
        <w:rPr>
          <w:sz w:val="20"/>
          <w:szCs w:val="20"/>
        </w:rPr>
        <w:t>,</w:t>
      </w:r>
      <w:r w:rsidRPr="0755090A">
        <w:rPr>
          <w:spacing w:val="-4"/>
          <w:sz w:val="20"/>
          <w:szCs w:val="20"/>
        </w:rPr>
        <w:t xml:space="preserve"> </w:t>
      </w:r>
      <w:r w:rsidRPr="0755090A">
        <w:rPr>
          <w:sz w:val="20"/>
          <w:szCs w:val="20"/>
        </w:rPr>
        <w:t>concerning</w:t>
      </w:r>
      <w:r w:rsidRPr="0755090A">
        <w:rPr>
          <w:spacing w:val="-5"/>
          <w:sz w:val="20"/>
          <w:szCs w:val="20"/>
        </w:rPr>
        <w:t xml:space="preserve"> </w:t>
      </w:r>
      <w:r w:rsidRPr="0755090A">
        <w:rPr>
          <w:sz w:val="20"/>
          <w:szCs w:val="20"/>
        </w:rPr>
        <w:t>equality,</w:t>
      </w:r>
      <w:r w:rsidRPr="0755090A">
        <w:rPr>
          <w:spacing w:val="-4"/>
          <w:sz w:val="20"/>
          <w:szCs w:val="20"/>
        </w:rPr>
        <w:t xml:space="preserve"> </w:t>
      </w:r>
      <w:r w:rsidRPr="0755090A">
        <w:rPr>
          <w:sz w:val="20"/>
          <w:szCs w:val="20"/>
        </w:rPr>
        <w:t>data</w:t>
      </w:r>
      <w:r w:rsidRPr="0755090A">
        <w:rPr>
          <w:spacing w:val="-4"/>
          <w:sz w:val="20"/>
          <w:szCs w:val="20"/>
        </w:rPr>
        <w:t xml:space="preserve"> </w:t>
      </w:r>
      <w:r w:rsidRPr="0755090A">
        <w:rPr>
          <w:sz w:val="20"/>
          <w:szCs w:val="20"/>
        </w:rPr>
        <w:t>protection, freedom of information, health and safety, and environmental</w:t>
      </w:r>
      <w:r w:rsidRPr="0755090A">
        <w:rPr>
          <w:spacing w:val="-4"/>
          <w:sz w:val="20"/>
          <w:szCs w:val="20"/>
        </w:rPr>
        <w:t xml:space="preserve"> </w:t>
      </w:r>
      <w:r w:rsidRPr="0755090A">
        <w:rPr>
          <w:sz w:val="20"/>
          <w:szCs w:val="20"/>
        </w:rPr>
        <w:t>law.</w:t>
      </w:r>
    </w:p>
    <w:p w14:paraId="2A56EDE3" w14:textId="77777777" w:rsidR="00CB2078" w:rsidRPr="00D3044F" w:rsidRDefault="00CB2078" w:rsidP="007F317A">
      <w:pPr>
        <w:pStyle w:val="ListParagraph"/>
        <w:widowControl w:val="0"/>
        <w:numPr>
          <w:ilvl w:val="0"/>
          <w:numId w:val="6"/>
        </w:numPr>
        <w:tabs>
          <w:tab w:val="left" w:pos="781"/>
          <w:tab w:val="left" w:pos="782"/>
        </w:tabs>
        <w:autoSpaceDE w:val="0"/>
        <w:autoSpaceDN w:val="0"/>
        <w:spacing w:after="0"/>
        <w:ind w:right="1186" w:hanging="284"/>
        <w:contextualSpacing w:val="0"/>
        <w:rPr>
          <w:sz w:val="20"/>
          <w:szCs w:val="20"/>
        </w:rPr>
      </w:pPr>
      <w:r w:rsidRPr="0755090A">
        <w:rPr>
          <w:sz w:val="20"/>
          <w:szCs w:val="20"/>
        </w:rPr>
        <w:t>Ownership</w:t>
      </w:r>
      <w:r w:rsidRPr="0755090A">
        <w:rPr>
          <w:spacing w:val="-4"/>
          <w:sz w:val="20"/>
          <w:szCs w:val="20"/>
        </w:rPr>
        <w:t xml:space="preserve"> </w:t>
      </w:r>
      <w:r w:rsidRPr="0755090A">
        <w:rPr>
          <w:sz w:val="20"/>
          <w:szCs w:val="20"/>
        </w:rPr>
        <w:t>of</w:t>
      </w:r>
      <w:r w:rsidRPr="0755090A">
        <w:rPr>
          <w:spacing w:val="-3"/>
          <w:sz w:val="20"/>
          <w:szCs w:val="20"/>
        </w:rPr>
        <w:t xml:space="preserve"> </w:t>
      </w:r>
      <w:r w:rsidRPr="0755090A">
        <w:rPr>
          <w:sz w:val="20"/>
          <w:szCs w:val="20"/>
        </w:rPr>
        <w:t>copyright</w:t>
      </w:r>
      <w:r w:rsidRPr="0755090A">
        <w:rPr>
          <w:spacing w:val="-3"/>
          <w:sz w:val="20"/>
          <w:szCs w:val="20"/>
        </w:rPr>
        <w:t xml:space="preserve"> </w:t>
      </w:r>
      <w:r w:rsidRPr="0755090A">
        <w:rPr>
          <w:sz w:val="20"/>
          <w:szCs w:val="20"/>
        </w:rPr>
        <w:t>and</w:t>
      </w:r>
      <w:r w:rsidRPr="0755090A">
        <w:rPr>
          <w:spacing w:val="-4"/>
          <w:sz w:val="20"/>
          <w:szCs w:val="20"/>
        </w:rPr>
        <w:t xml:space="preserve"> </w:t>
      </w:r>
      <w:r w:rsidRPr="0755090A">
        <w:rPr>
          <w:sz w:val="20"/>
          <w:szCs w:val="20"/>
        </w:rPr>
        <w:t>intellectual</w:t>
      </w:r>
      <w:r w:rsidRPr="0755090A">
        <w:rPr>
          <w:spacing w:val="-3"/>
          <w:sz w:val="20"/>
          <w:szCs w:val="20"/>
        </w:rPr>
        <w:t xml:space="preserve"> </w:t>
      </w:r>
      <w:r w:rsidRPr="0755090A">
        <w:rPr>
          <w:sz w:val="20"/>
          <w:szCs w:val="20"/>
        </w:rPr>
        <w:t>property</w:t>
      </w:r>
      <w:r w:rsidRPr="0755090A">
        <w:rPr>
          <w:spacing w:val="-6"/>
          <w:sz w:val="20"/>
          <w:szCs w:val="20"/>
        </w:rPr>
        <w:t xml:space="preserve"> </w:t>
      </w:r>
      <w:r w:rsidRPr="0755090A">
        <w:rPr>
          <w:sz w:val="20"/>
          <w:szCs w:val="20"/>
        </w:rPr>
        <w:t>rights</w:t>
      </w:r>
      <w:r w:rsidRPr="0755090A">
        <w:rPr>
          <w:spacing w:val="-3"/>
          <w:sz w:val="20"/>
          <w:szCs w:val="20"/>
        </w:rPr>
        <w:t xml:space="preserve"> </w:t>
      </w:r>
      <w:r w:rsidRPr="0755090A">
        <w:rPr>
          <w:sz w:val="20"/>
          <w:szCs w:val="20"/>
        </w:rPr>
        <w:t>for</w:t>
      </w:r>
      <w:r w:rsidRPr="0755090A">
        <w:rPr>
          <w:spacing w:val="-1"/>
          <w:sz w:val="20"/>
          <w:szCs w:val="20"/>
        </w:rPr>
        <w:t xml:space="preserve"> </w:t>
      </w:r>
      <w:r w:rsidRPr="0755090A">
        <w:rPr>
          <w:sz w:val="20"/>
          <w:szCs w:val="20"/>
        </w:rPr>
        <w:t>work</w:t>
      </w:r>
      <w:r w:rsidRPr="0755090A">
        <w:rPr>
          <w:spacing w:val="-3"/>
          <w:sz w:val="20"/>
          <w:szCs w:val="20"/>
        </w:rPr>
        <w:t xml:space="preserve"> </w:t>
      </w:r>
      <w:r w:rsidRPr="0755090A">
        <w:rPr>
          <w:sz w:val="20"/>
          <w:szCs w:val="20"/>
        </w:rPr>
        <w:t>produced</w:t>
      </w:r>
      <w:r w:rsidRPr="0755090A">
        <w:rPr>
          <w:spacing w:val="-4"/>
          <w:sz w:val="20"/>
          <w:szCs w:val="20"/>
        </w:rPr>
        <w:t xml:space="preserve"> </w:t>
      </w:r>
      <w:r w:rsidRPr="0755090A">
        <w:rPr>
          <w:sz w:val="20"/>
          <w:szCs w:val="20"/>
        </w:rPr>
        <w:t>by</w:t>
      </w:r>
      <w:r w:rsidRPr="0755090A">
        <w:rPr>
          <w:spacing w:val="-4"/>
          <w:sz w:val="20"/>
          <w:szCs w:val="20"/>
        </w:rPr>
        <w:t xml:space="preserve"> </w:t>
      </w:r>
      <w:r w:rsidRPr="0755090A">
        <w:rPr>
          <w:sz w:val="20"/>
          <w:szCs w:val="20"/>
        </w:rPr>
        <w:t>the</w:t>
      </w:r>
      <w:r w:rsidRPr="0755090A">
        <w:rPr>
          <w:spacing w:val="-4"/>
          <w:sz w:val="20"/>
          <w:szCs w:val="20"/>
        </w:rPr>
        <w:t xml:space="preserve"> </w:t>
      </w:r>
      <w:r w:rsidRPr="0755090A">
        <w:rPr>
          <w:sz w:val="20"/>
          <w:szCs w:val="20"/>
        </w:rPr>
        <w:t>student while</w:t>
      </w:r>
      <w:r w:rsidRPr="0755090A">
        <w:rPr>
          <w:spacing w:val="-2"/>
          <w:sz w:val="20"/>
          <w:szCs w:val="20"/>
        </w:rPr>
        <w:t xml:space="preserve"> </w:t>
      </w:r>
      <w:r w:rsidRPr="0755090A">
        <w:rPr>
          <w:sz w:val="20"/>
          <w:szCs w:val="20"/>
        </w:rPr>
        <w:t>on placement.</w:t>
      </w:r>
    </w:p>
    <w:p w14:paraId="63F0E445" w14:textId="77777777" w:rsidR="00CB2078" w:rsidRPr="00D3044F" w:rsidRDefault="00CB2078" w:rsidP="007F317A">
      <w:pPr>
        <w:pStyle w:val="ListParagraph"/>
        <w:widowControl w:val="0"/>
        <w:numPr>
          <w:ilvl w:val="0"/>
          <w:numId w:val="6"/>
        </w:numPr>
        <w:tabs>
          <w:tab w:val="left" w:pos="781"/>
          <w:tab w:val="left" w:pos="782"/>
        </w:tabs>
        <w:autoSpaceDE w:val="0"/>
        <w:autoSpaceDN w:val="0"/>
        <w:spacing w:after="0"/>
        <w:ind w:right="635" w:hanging="284"/>
        <w:contextualSpacing w:val="0"/>
        <w:rPr>
          <w:sz w:val="20"/>
          <w:szCs w:val="20"/>
        </w:rPr>
      </w:pPr>
      <w:r w:rsidRPr="0755090A">
        <w:rPr>
          <w:sz w:val="20"/>
          <w:szCs w:val="20"/>
        </w:rPr>
        <w:t>Provisions</w:t>
      </w:r>
      <w:r w:rsidRPr="0755090A">
        <w:rPr>
          <w:spacing w:val="-3"/>
          <w:sz w:val="20"/>
          <w:szCs w:val="20"/>
        </w:rPr>
        <w:t xml:space="preserve"> </w:t>
      </w:r>
      <w:r w:rsidRPr="0755090A">
        <w:rPr>
          <w:sz w:val="20"/>
          <w:szCs w:val="20"/>
        </w:rPr>
        <w:t>that</w:t>
      </w:r>
      <w:r w:rsidRPr="0755090A">
        <w:rPr>
          <w:spacing w:val="-2"/>
          <w:sz w:val="20"/>
          <w:szCs w:val="20"/>
        </w:rPr>
        <w:t xml:space="preserve"> </w:t>
      </w:r>
      <w:r w:rsidRPr="0755090A">
        <w:rPr>
          <w:sz w:val="20"/>
          <w:szCs w:val="20"/>
        </w:rPr>
        <w:t>enable</w:t>
      </w:r>
      <w:r w:rsidRPr="0755090A">
        <w:rPr>
          <w:spacing w:val="-4"/>
          <w:sz w:val="20"/>
          <w:szCs w:val="20"/>
        </w:rPr>
        <w:t xml:space="preserve"> </w:t>
      </w:r>
      <w:r w:rsidRPr="0755090A">
        <w:rPr>
          <w:sz w:val="20"/>
          <w:szCs w:val="20"/>
        </w:rPr>
        <w:t>the</w:t>
      </w:r>
      <w:r w:rsidRPr="0755090A">
        <w:rPr>
          <w:spacing w:val="-4"/>
          <w:sz w:val="20"/>
          <w:szCs w:val="20"/>
        </w:rPr>
        <w:t xml:space="preserve"> </w:t>
      </w:r>
      <w:r w:rsidRPr="0755090A">
        <w:rPr>
          <w:sz w:val="20"/>
          <w:szCs w:val="20"/>
        </w:rPr>
        <w:t>University</w:t>
      </w:r>
      <w:r w:rsidRPr="0755090A">
        <w:rPr>
          <w:spacing w:val="-6"/>
          <w:sz w:val="20"/>
          <w:szCs w:val="20"/>
        </w:rPr>
        <w:t xml:space="preserve"> </w:t>
      </w:r>
      <w:r w:rsidRPr="0755090A">
        <w:rPr>
          <w:sz w:val="20"/>
          <w:szCs w:val="20"/>
        </w:rPr>
        <w:t>or</w:t>
      </w:r>
      <w:r w:rsidRPr="0755090A">
        <w:rPr>
          <w:spacing w:val="-3"/>
          <w:sz w:val="20"/>
          <w:szCs w:val="20"/>
        </w:rPr>
        <w:t xml:space="preserve"> </w:t>
      </w:r>
      <w:r w:rsidRPr="0755090A">
        <w:rPr>
          <w:sz w:val="20"/>
          <w:szCs w:val="20"/>
        </w:rPr>
        <w:t>placement</w:t>
      </w:r>
      <w:r w:rsidRPr="0755090A">
        <w:rPr>
          <w:spacing w:val="-3"/>
          <w:sz w:val="20"/>
          <w:szCs w:val="20"/>
        </w:rPr>
        <w:t xml:space="preserve"> </w:t>
      </w:r>
      <w:r w:rsidRPr="0755090A">
        <w:rPr>
          <w:sz w:val="20"/>
          <w:szCs w:val="20"/>
        </w:rPr>
        <w:t>provider</w:t>
      </w:r>
      <w:r w:rsidRPr="0755090A">
        <w:rPr>
          <w:spacing w:val="-3"/>
          <w:sz w:val="20"/>
          <w:szCs w:val="20"/>
        </w:rPr>
        <w:t xml:space="preserve"> </w:t>
      </w:r>
      <w:r w:rsidRPr="0755090A">
        <w:rPr>
          <w:sz w:val="20"/>
          <w:szCs w:val="20"/>
        </w:rPr>
        <w:t>to</w:t>
      </w:r>
      <w:r w:rsidRPr="0755090A">
        <w:rPr>
          <w:spacing w:val="-4"/>
          <w:sz w:val="20"/>
          <w:szCs w:val="20"/>
        </w:rPr>
        <w:t xml:space="preserve"> </w:t>
      </w:r>
      <w:r w:rsidRPr="0755090A">
        <w:rPr>
          <w:sz w:val="20"/>
          <w:szCs w:val="20"/>
        </w:rPr>
        <w:t>suspend</w:t>
      </w:r>
      <w:r w:rsidRPr="0755090A">
        <w:rPr>
          <w:spacing w:val="-4"/>
          <w:sz w:val="20"/>
          <w:szCs w:val="20"/>
        </w:rPr>
        <w:t xml:space="preserve"> </w:t>
      </w:r>
      <w:r w:rsidRPr="0755090A">
        <w:rPr>
          <w:sz w:val="20"/>
          <w:szCs w:val="20"/>
        </w:rPr>
        <w:t>or</w:t>
      </w:r>
      <w:r w:rsidRPr="0755090A">
        <w:rPr>
          <w:spacing w:val="-1"/>
          <w:sz w:val="20"/>
          <w:szCs w:val="20"/>
        </w:rPr>
        <w:t xml:space="preserve"> </w:t>
      </w:r>
      <w:r w:rsidRPr="0755090A">
        <w:rPr>
          <w:sz w:val="20"/>
          <w:szCs w:val="20"/>
        </w:rPr>
        <w:t>withdraw</w:t>
      </w:r>
      <w:r w:rsidRPr="0755090A">
        <w:rPr>
          <w:spacing w:val="-6"/>
          <w:sz w:val="20"/>
          <w:szCs w:val="20"/>
        </w:rPr>
        <w:t xml:space="preserve"> </w:t>
      </w:r>
      <w:r w:rsidRPr="0755090A">
        <w:rPr>
          <w:sz w:val="20"/>
          <w:szCs w:val="20"/>
        </w:rPr>
        <w:t>from</w:t>
      </w:r>
      <w:r w:rsidRPr="0755090A">
        <w:rPr>
          <w:spacing w:val="-3"/>
          <w:sz w:val="20"/>
          <w:szCs w:val="20"/>
        </w:rPr>
        <w:t xml:space="preserve"> </w:t>
      </w:r>
      <w:r w:rsidRPr="0755090A">
        <w:rPr>
          <w:sz w:val="20"/>
          <w:szCs w:val="20"/>
        </w:rPr>
        <w:t>the</w:t>
      </w:r>
      <w:r w:rsidRPr="0755090A">
        <w:rPr>
          <w:spacing w:val="-4"/>
          <w:sz w:val="20"/>
          <w:szCs w:val="20"/>
        </w:rPr>
        <w:t xml:space="preserve"> </w:t>
      </w:r>
      <w:r w:rsidRPr="0755090A">
        <w:rPr>
          <w:sz w:val="20"/>
          <w:szCs w:val="20"/>
        </w:rPr>
        <w:t>agreement if any party fails to meet its</w:t>
      </w:r>
      <w:r w:rsidRPr="0755090A">
        <w:rPr>
          <w:spacing w:val="-6"/>
          <w:sz w:val="20"/>
          <w:szCs w:val="20"/>
        </w:rPr>
        <w:t xml:space="preserve"> </w:t>
      </w:r>
      <w:r w:rsidRPr="0755090A">
        <w:rPr>
          <w:sz w:val="20"/>
          <w:szCs w:val="20"/>
        </w:rPr>
        <w:t>obligations.</w:t>
      </w:r>
    </w:p>
    <w:p w14:paraId="2B721DDC" w14:textId="77777777" w:rsidR="00CB2078" w:rsidRPr="00D3044F" w:rsidRDefault="00CB2078" w:rsidP="007F317A">
      <w:pPr>
        <w:pStyle w:val="FootnoteText"/>
      </w:pPr>
    </w:p>
  </w:footnote>
  <w:footnote w:id="21">
    <w:p w14:paraId="53F03EE3" w14:textId="64DE286A" w:rsidR="00CB2078" w:rsidRPr="00CD6878" w:rsidRDefault="00CB2078" w:rsidP="00CD6878">
      <w:pPr>
        <w:pStyle w:val="NoSpacing"/>
        <w:rPr>
          <w:rFonts w:asciiTheme="minorHAnsi" w:hAnsiTheme="minorHAnsi" w:cstheme="minorHAnsi"/>
          <w:sz w:val="20"/>
          <w:szCs w:val="20"/>
        </w:rPr>
      </w:pPr>
      <w:r w:rsidRPr="00CD6878">
        <w:rPr>
          <w:rStyle w:val="FootnoteReference"/>
          <w:rFonts w:asciiTheme="minorHAnsi" w:hAnsiTheme="minorHAnsi" w:cstheme="minorHAnsi"/>
          <w:sz w:val="20"/>
          <w:szCs w:val="20"/>
        </w:rPr>
        <w:footnoteRef/>
      </w:r>
      <w:r w:rsidRPr="00CD6878">
        <w:rPr>
          <w:rFonts w:asciiTheme="minorHAnsi" w:hAnsiTheme="minorHAnsi" w:cstheme="minorHAnsi"/>
          <w:sz w:val="20"/>
          <w:szCs w:val="20"/>
        </w:rPr>
        <w:t xml:space="preserve"> Where a substitute placement cannot be provided and an alternative mode of assessment is required, course teams describe this in the Additional Assessment Information section of the relevant Module Specification. In all circumstances, alternative assessment must be capable of testing the </w:t>
      </w:r>
      <w:r w:rsidR="00E255A6">
        <w:rPr>
          <w:rFonts w:asciiTheme="minorHAnsi" w:hAnsiTheme="minorHAnsi" w:cstheme="minorHAnsi"/>
          <w:sz w:val="20"/>
          <w:szCs w:val="20"/>
        </w:rPr>
        <w:t xml:space="preserve">validated </w:t>
      </w:r>
      <w:r w:rsidRPr="00CD6878">
        <w:rPr>
          <w:rFonts w:asciiTheme="minorHAnsi" w:hAnsiTheme="minorHAnsi" w:cstheme="minorHAnsi"/>
          <w:sz w:val="20"/>
          <w:szCs w:val="20"/>
        </w:rPr>
        <w:t>Intended Learning Outcome(s).</w:t>
      </w:r>
    </w:p>
  </w:footnote>
  <w:footnote w:id="22">
    <w:p w14:paraId="47640FEC" w14:textId="50ADE9F6" w:rsidR="00CD6878" w:rsidRPr="00CE7072" w:rsidRDefault="00CD6878" w:rsidP="00CD6878">
      <w:pPr>
        <w:spacing w:after="0"/>
        <w:rPr>
          <w:sz w:val="20"/>
          <w:szCs w:val="20"/>
        </w:rPr>
      </w:pPr>
      <w:r w:rsidRPr="00CE7072">
        <w:rPr>
          <w:rStyle w:val="FootnoteReference"/>
          <w:sz w:val="20"/>
          <w:szCs w:val="20"/>
        </w:rPr>
        <w:footnoteRef/>
      </w:r>
      <w:r w:rsidRPr="00CE7072">
        <w:rPr>
          <w:sz w:val="20"/>
          <w:szCs w:val="20"/>
        </w:rPr>
        <w:t xml:space="preserve"> Including consideration of any potential implications of such a closure for compliance with Competition and Markets Authority guidance</w:t>
      </w:r>
      <w:r w:rsidR="00CE7072">
        <w:rPr>
          <w:sz w:val="20"/>
          <w:szCs w:val="20"/>
        </w:rPr>
        <w:t>. S</w:t>
      </w:r>
      <w:r w:rsidRPr="00CE7072">
        <w:rPr>
          <w:sz w:val="20"/>
          <w:szCs w:val="20"/>
        </w:rPr>
        <w:t xml:space="preserve">ee </w:t>
      </w:r>
      <w:hyperlink r:id="rId8" w:history="1">
        <w:r w:rsidR="00CE7072">
          <w:rPr>
            <w:rStyle w:val="Hyperlink"/>
            <w:sz w:val="20"/>
            <w:szCs w:val="20"/>
            <w:u w:val="none"/>
          </w:rPr>
          <w:t>UK higher education providers – advice on consumer protection law</w:t>
        </w:r>
      </w:hyperlink>
      <w:r w:rsidR="00CE7072" w:rsidRPr="00CE7072">
        <w:rPr>
          <w:i/>
          <w:sz w:val="20"/>
          <w:szCs w:val="20"/>
        </w:rPr>
        <w:t xml:space="preserve"> </w:t>
      </w:r>
      <w:r w:rsidR="00CE7072" w:rsidRPr="00CE7072">
        <w:rPr>
          <w:sz w:val="20"/>
          <w:szCs w:val="20"/>
        </w:rPr>
        <w:t>(CMA, 20</w:t>
      </w:r>
      <w:r w:rsidR="00145B51">
        <w:rPr>
          <w:sz w:val="20"/>
          <w:szCs w:val="20"/>
        </w:rPr>
        <w:t>23</w:t>
      </w:r>
      <w:r w:rsidR="00CE7072" w:rsidRPr="00CE7072">
        <w:rPr>
          <w:sz w:val="20"/>
          <w:szCs w:val="20"/>
        </w:rPr>
        <w:t>)</w:t>
      </w:r>
      <w:r w:rsidR="00CE7072">
        <w:rPr>
          <w:sz w:val="20"/>
          <w:szCs w:val="20"/>
        </w:rPr>
        <w:t>.</w:t>
      </w:r>
    </w:p>
  </w:footnote>
  <w:footnote w:id="23">
    <w:p w14:paraId="1DC40B17" w14:textId="0D895FA9" w:rsidR="00CE7072" w:rsidRPr="00CE7072" w:rsidRDefault="00CE7072" w:rsidP="00CE7072">
      <w:pPr>
        <w:pStyle w:val="FootnoteText"/>
      </w:pPr>
      <w:r w:rsidRPr="00CE7072">
        <w:rPr>
          <w:rStyle w:val="FootnoteReference"/>
        </w:rPr>
        <w:footnoteRef/>
      </w:r>
      <w:r w:rsidRPr="00CE7072">
        <w:t xml:space="preserve"> </w:t>
      </w:r>
      <w:r w:rsidRPr="00CE7072">
        <w:rPr>
          <w:bCs/>
        </w:rPr>
        <w:t>Apprenticeship Standards,</w:t>
      </w:r>
      <w:r w:rsidRPr="00CE7072">
        <w:t xml:space="preserve"> developed by Trailblazer groups made up of employers in a particular industry sector, specify the KSBs required to demonstrate full occupational competence in the relevant job role.</w:t>
      </w:r>
    </w:p>
  </w:footnote>
  <w:footnote w:id="24">
    <w:p w14:paraId="3E7F71A0" w14:textId="6DE30ADC" w:rsidR="00CB2078" w:rsidRPr="00D3044F" w:rsidRDefault="00CB2078" w:rsidP="00274A33">
      <w:pPr>
        <w:pStyle w:val="FootnoteText"/>
      </w:pPr>
      <w:r w:rsidRPr="00D3044F">
        <w:rPr>
          <w:rStyle w:val="FootnoteReference"/>
        </w:rPr>
        <w:footnoteRef/>
      </w:r>
      <w:r w:rsidRPr="00D3044F">
        <w:t xml:space="preserve"> </w:t>
      </w:r>
      <w:r w:rsidR="00CE7072">
        <w:t>Most</w:t>
      </w:r>
      <w:r w:rsidRPr="00D3044F">
        <w:t xml:space="preserve"> learning take</w:t>
      </w:r>
      <w:r w:rsidR="00CE7072">
        <w:t>s</w:t>
      </w:r>
      <w:r w:rsidRPr="00D3044F">
        <w:t xml:space="preserve"> place 'on-the-job', </w:t>
      </w:r>
      <w:r w:rsidR="00CE7072">
        <w:t xml:space="preserve">however </w:t>
      </w:r>
      <w:r w:rsidRPr="00D3044F">
        <w:t>at least 20</w:t>
      </w:r>
      <w:r w:rsidR="00CE7072">
        <w:t xml:space="preserve"> percent </w:t>
      </w:r>
      <w:r w:rsidRPr="00D3044F">
        <w:t>of an apprenticeship must involve 'off-the-job' learning delivered through scheduled learning activities.</w:t>
      </w:r>
    </w:p>
  </w:footnote>
  <w:footnote w:id="25">
    <w:p w14:paraId="131FABBE" w14:textId="77777777" w:rsidR="00C86999" w:rsidRPr="00D3044F" w:rsidRDefault="00C86999" w:rsidP="00C86999">
      <w:pPr>
        <w:pStyle w:val="FootnoteText"/>
      </w:pPr>
      <w:r w:rsidRPr="00D3044F">
        <w:rPr>
          <w:rStyle w:val="FootnoteReference"/>
        </w:rPr>
        <w:footnoteRef/>
      </w:r>
      <w:r w:rsidRPr="00D3044F">
        <w:t xml:space="preserve"> </w:t>
      </w:r>
      <w:r>
        <w:t xml:space="preserve">See </w:t>
      </w:r>
      <w:hyperlink r:id="rId9" w:history="1">
        <w:r>
          <w:rPr>
            <w:rStyle w:val="Hyperlink"/>
          </w:rPr>
          <w:t>'Quality Assuring and Enhancing Higher Education Apprenticeships' March 2024</w:t>
        </w:r>
      </w:hyperlink>
      <w:r w:rsidRPr="00D3044F">
        <w:t>.</w:t>
      </w:r>
    </w:p>
  </w:footnote>
  <w:footnote w:id="26">
    <w:p w14:paraId="6378B6E5" w14:textId="1C883605" w:rsidR="00CB2078" w:rsidRPr="00D3044F" w:rsidRDefault="00CB2078" w:rsidP="00274A33">
      <w:pPr>
        <w:pStyle w:val="FootnoteText"/>
      </w:pPr>
      <w:r w:rsidRPr="00D3044F">
        <w:rPr>
          <w:rStyle w:val="FootnoteReference"/>
        </w:rPr>
        <w:footnoteRef/>
      </w:r>
      <w:r w:rsidRPr="00D3044F">
        <w:t xml:space="preserve"> Unless specifically </w:t>
      </w:r>
      <w:r w:rsidR="002445B6">
        <w:t>prohibited</w:t>
      </w:r>
      <w:r w:rsidRPr="00D3044F">
        <w:t xml:space="preserve"> by the relevant Apprenticeship Assessment Plan.</w:t>
      </w:r>
    </w:p>
  </w:footnote>
  <w:footnote w:id="27">
    <w:p w14:paraId="290D6821" w14:textId="2A912BF5" w:rsidR="00CB2078" w:rsidRPr="00D3044F" w:rsidRDefault="00CB2078" w:rsidP="00274A33">
      <w:pPr>
        <w:spacing w:after="0"/>
        <w:rPr>
          <w:sz w:val="18"/>
        </w:rPr>
      </w:pPr>
      <w:r w:rsidRPr="00D3044F">
        <w:rPr>
          <w:rStyle w:val="FootnoteReference"/>
          <w:sz w:val="20"/>
          <w:szCs w:val="20"/>
        </w:rPr>
        <w:footnoteRef/>
      </w:r>
      <w:r w:rsidRPr="00D3044F">
        <w:rPr>
          <w:sz w:val="20"/>
          <w:szCs w:val="20"/>
        </w:rPr>
        <w:t xml:space="preserve"> </w:t>
      </w:r>
      <w:r w:rsidRPr="002445B6">
        <w:rPr>
          <w:bCs/>
          <w:sz w:val="20"/>
          <w:szCs w:val="20"/>
        </w:rPr>
        <w:t>Apprenticeship Assessment Plans</w:t>
      </w:r>
      <w:r w:rsidRPr="00D3044F">
        <w:rPr>
          <w:sz w:val="20"/>
          <w:szCs w:val="20"/>
        </w:rPr>
        <w:t>, devised by Trailblazer groups, outline how the KSBs are to be assessed through End-Point Assessment which is conducted at the final stage of the apprenticeship and includes at least two assessment methods, e.g.</w:t>
      </w:r>
      <w:r w:rsidR="00E35FFA">
        <w:rPr>
          <w:sz w:val="20"/>
          <w:szCs w:val="20"/>
        </w:rPr>
        <w:t>,</w:t>
      </w:r>
      <w:r w:rsidRPr="00D3044F">
        <w:rPr>
          <w:sz w:val="20"/>
          <w:szCs w:val="20"/>
        </w:rPr>
        <w:t xml:space="preserve"> a work or practice-based project. Assessment Plans indicate whether EPA may be </w:t>
      </w:r>
      <w:r w:rsidRPr="00D3044F">
        <w:rPr>
          <w:i/>
          <w:sz w:val="20"/>
          <w:szCs w:val="20"/>
        </w:rPr>
        <w:t xml:space="preserve">integrated </w:t>
      </w:r>
      <w:r w:rsidRPr="00D3044F">
        <w:rPr>
          <w:sz w:val="20"/>
          <w:szCs w:val="20"/>
        </w:rPr>
        <w:t>within the programme or must be conducted through a standalone process (</w:t>
      </w:r>
      <w:r w:rsidRPr="00D3044F">
        <w:rPr>
          <w:i/>
          <w:sz w:val="20"/>
          <w:szCs w:val="20"/>
        </w:rPr>
        <w:t>non-integrated</w:t>
      </w:r>
      <w:r w:rsidRPr="00D3044F">
        <w:rPr>
          <w:sz w:val="20"/>
          <w:szCs w:val="20"/>
        </w:rPr>
        <w:t>).</w:t>
      </w:r>
    </w:p>
  </w:footnote>
  <w:footnote w:id="28">
    <w:p w14:paraId="0417A967" w14:textId="749CBF77" w:rsidR="0015680E" w:rsidRDefault="0015680E">
      <w:pPr>
        <w:pStyle w:val="FootnoteText"/>
      </w:pPr>
      <w:r>
        <w:rPr>
          <w:rStyle w:val="FootnoteReference"/>
        </w:rPr>
        <w:footnoteRef/>
      </w:r>
      <w:r>
        <w:t xml:space="preserve"> </w:t>
      </w:r>
      <w:r w:rsidR="00445B3A">
        <w:t xml:space="preserve">For more information refer </w:t>
      </w:r>
      <w:r w:rsidR="00445B3A" w:rsidRPr="00445B3A">
        <w:t>to</w:t>
      </w:r>
      <w:r w:rsidR="00445B3A" w:rsidRPr="00445B3A">
        <w:rPr>
          <w:color w:val="000000"/>
          <w:lang w:eastAsia="en-GB"/>
        </w:rPr>
        <w:t xml:space="preserve"> the </w:t>
      </w:r>
      <w:r w:rsidR="00445B3A" w:rsidRPr="00445B3A">
        <w:t>IFATE policy for degree apprenticeships (2022)</w:t>
      </w:r>
      <w:r w:rsidR="00445B3A">
        <w:t xml:space="preserve"> </w:t>
      </w:r>
      <w:hyperlink r:id="rId10" w:history="1">
        <w:r w:rsidR="00445B3A" w:rsidRPr="00445B3A">
          <w:rPr>
            <w:rStyle w:val="Hyperlink"/>
          </w:rPr>
          <w:t>https://www.instituteforapprenticeships.org/developing-new-apprenticeships/degree-apprenticeships/</w:t>
        </w:r>
      </w:hyperlink>
      <w:r w:rsidR="00445B3A">
        <w:t>.</w:t>
      </w:r>
    </w:p>
  </w:footnote>
  <w:footnote w:id="29">
    <w:p w14:paraId="27E4B5B9" w14:textId="77777777" w:rsidR="00CB2078" w:rsidRPr="00D3044F" w:rsidRDefault="00CB2078" w:rsidP="00274A33">
      <w:pPr>
        <w:pStyle w:val="FootnoteText"/>
        <w:rPr>
          <w:sz w:val="22"/>
        </w:rPr>
      </w:pPr>
      <w:r w:rsidRPr="00D3044F">
        <w:rPr>
          <w:rStyle w:val="FootnoteReference"/>
        </w:rPr>
        <w:footnoteRef/>
      </w:r>
      <w:r w:rsidRPr="00D3044F">
        <w:t xml:space="preserve"> Where more extensive use of learning resources is required an Outreach Supported Learning arrangement may be more appropriate - see ‘Category C’, below.</w:t>
      </w:r>
    </w:p>
  </w:footnote>
  <w:footnote w:id="30">
    <w:p w14:paraId="7A22390E" w14:textId="77777777" w:rsidR="00CB2078" w:rsidRDefault="00CB2078" w:rsidP="007445B1">
      <w:pPr>
        <w:pStyle w:val="FootnoteText"/>
      </w:pPr>
      <w:r>
        <w:rPr>
          <w:rStyle w:val="FootnoteReference"/>
        </w:rPr>
        <w:footnoteRef/>
      </w:r>
      <w:r>
        <w:t xml:space="preserve"> Normally at its first meeting of the academic year.</w:t>
      </w:r>
    </w:p>
  </w:footnote>
  <w:footnote w:id="31">
    <w:p w14:paraId="7F4E1812" w14:textId="5802E708" w:rsidR="00CB2078" w:rsidRPr="00D3044F" w:rsidRDefault="00CB2078" w:rsidP="00274A33">
      <w:pPr>
        <w:spacing w:after="0"/>
        <w:rPr>
          <w:sz w:val="18"/>
        </w:rPr>
      </w:pPr>
      <w:r w:rsidRPr="00D3044F">
        <w:rPr>
          <w:rStyle w:val="FootnoteReference"/>
        </w:rPr>
        <w:footnoteRef/>
      </w:r>
      <w:r w:rsidRPr="00D3044F">
        <w:t xml:space="preserve"> </w:t>
      </w:r>
      <w:r w:rsidRPr="00D3044F">
        <w:rPr>
          <w:sz w:val="20"/>
          <w:szCs w:val="20"/>
        </w:rPr>
        <w:t>See Chapter 3</w:t>
      </w:r>
      <w:r w:rsidR="004A4BE1">
        <w:rPr>
          <w:sz w:val="20"/>
          <w:szCs w:val="20"/>
        </w:rPr>
        <w:t>.</w:t>
      </w:r>
    </w:p>
  </w:footnote>
  <w:footnote w:id="32">
    <w:p w14:paraId="3A335506" w14:textId="77777777" w:rsidR="00CB2078" w:rsidRPr="00D3044F" w:rsidRDefault="00CB2078" w:rsidP="00865723">
      <w:pPr>
        <w:pStyle w:val="FootnoteText"/>
      </w:pPr>
      <w:r w:rsidRPr="00D3044F">
        <w:rPr>
          <w:rStyle w:val="FootnoteReference"/>
        </w:rPr>
        <w:footnoteRef/>
      </w:r>
      <w:r w:rsidRPr="00D3044F">
        <w:t xml:space="preserve"> See Academic Regulations s. C7.4.</w:t>
      </w:r>
    </w:p>
  </w:footnote>
  <w:footnote w:id="33">
    <w:p w14:paraId="5E5195DA" w14:textId="77777777" w:rsidR="00CB2078" w:rsidRPr="00D3044F" w:rsidRDefault="00CB2078" w:rsidP="00865723">
      <w:pPr>
        <w:pStyle w:val="FootnoteText"/>
      </w:pPr>
      <w:r w:rsidRPr="00D3044F">
        <w:rPr>
          <w:rStyle w:val="FootnoteReference"/>
        </w:rPr>
        <w:footnoteRef/>
      </w:r>
      <w:r w:rsidRPr="00D3044F">
        <w:t xml:space="preserve"> UK awarding organisations appoint external verifiers (moderators) to review marking and internal moderation undertaken in delivery centres, typically further education or private colleges.</w:t>
      </w:r>
    </w:p>
  </w:footnote>
  <w:footnote w:id="34">
    <w:p w14:paraId="49CA8DD1" w14:textId="7D8F8CFB" w:rsidR="00523A0A" w:rsidRDefault="00523A0A">
      <w:pPr>
        <w:pStyle w:val="FootnoteText"/>
      </w:pPr>
      <w:r>
        <w:rPr>
          <w:rStyle w:val="FootnoteReference"/>
        </w:rPr>
        <w:footnoteRef/>
      </w:r>
      <w:r>
        <w:t xml:space="preserve"> Typically</w:t>
      </w:r>
      <w:r w:rsidR="00BD193A">
        <w:t xml:space="preserve">, </w:t>
      </w:r>
      <w:r>
        <w:t>the Head of Quality Assurance</w:t>
      </w:r>
      <w:r w:rsidR="00553E3D">
        <w:t>.</w:t>
      </w:r>
    </w:p>
  </w:footnote>
  <w:footnote w:id="35">
    <w:p w14:paraId="110CBEE4" w14:textId="080AF42A" w:rsidR="00593058" w:rsidRDefault="00593058">
      <w:pPr>
        <w:pStyle w:val="FootnoteText"/>
      </w:pPr>
      <w:r>
        <w:rPr>
          <w:rStyle w:val="FootnoteReference"/>
        </w:rPr>
        <w:footnoteRef/>
      </w:r>
      <w:r>
        <w:t xml:space="preserve"> </w:t>
      </w:r>
      <w:r w:rsidR="00CE25D6">
        <w:t>There is no requirement to complete an Academic Partnership Proposal form for APC.</w:t>
      </w:r>
    </w:p>
  </w:footnote>
  <w:footnote w:id="36">
    <w:p w14:paraId="7AEEC1C1" w14:textId="4BAF4854" w:rsidR="00CB2078" w:rsidRPr="00D3044F" w:rsidRDefault="00CB2078" w:rsidP="00865723">
      <w:pPr>
        <w:spacing w:after="0"/>
        <w:rPr>
          <w:sz w:val="18"/>
        </w:rPr>
      </w:pPr>
      <w:r w:rsidRPr="00D3044F">
        <w:rPr>
          <w:rStyle w:val="FootnoteReference"/>
          <w:sz w:val="22"/>
        </w:rPr>
        <w:footnoteRef/>
      </w:r>
      <w:r w:rsidRPr="00D3044F">
        <w:rPr>
          <w:sz w:val="28"/>
        </w:rPr>
        <w:t xml:space="preserve"> </w:t>
      </w:r>
      <w:r w:rsidRPr="00D3044F">
        <w:rPr>
          <w:sz w:val="20"/>
        </w:rPr>
        <w:t xml:space="preserve">This form does not need to be submitted to APC for initial approval and proceeds directly to </w:t>
      </w:r>
      <w:r>
        <w:rPr>
          <w:sz w:val="20"/>
        </w:rPr>
        <w:t xml:space="preserve">the </w:t>
      </w:r>
      <w:r w:rsidRPr="00D3044F">
        <w:rPr>
          <w:sz w:val="20"/>
        </w:rPr>
        <w:t xml:space="preserve">VASP articulation approval (via </w:t>
      </w:r>
      <w:r>
        <w:rPr>
          <w:sz w:val="20"/>
        </w:rPr>
        <w:t>GQASC</w:t>
      </w:r>
      <w:r w:rsidRPr="00D3044F">
        <w:rPr>
          <w:sz w:val="20"/>
        </w:rPr>
        <w:t>).</w:t>
      </w:r>
    </w:p>
  </w:footnote>
  <w:footnote w:id="37">
    <w:p w14:paraId="348C0918" w14:textId="7513D15B" w:rsidR="00CB2078" w:rsidRDefault="00CB2078" w:rsidP="00865723">
      <w:pPr>
        <w:pStyle w:val="FootnoteText"/>
      </w:pPr>
      <w:r>
        <w:rPr>
          <w:rStyle w:val="FootnoteReference"/>
        </w:rPr>
        <w:footnoteRef/>
      </w:r>
      <w:r>
        <w:t xml:space="preserve"> The Panel will still report a recommendation to AQEC which has ultimate authority for these partnership </w:t>
      </w:r>
      <w:r w:rsidR="00BD193A">
        <w:t>arrangements.</w:t>
      </w:r>
    </w:p>
  </w:footnote>
  <w:footnote w:id="38">
    <w:p w14:paraId="7B459A7B" w14:textId="77777777" w:rsidR="00CB2078" w:rsidRPr="00D3044F" w:rsidRDefault="00CB2078" w:rsidP="00865723">
      <w:pPr>
        <w:pStyle w:val="FootnoteText"/>
      </w:pPr>
      <w:r w:rsidRPr="00D3044F">
        <w:rPr>
          <w:rStyle w:val="FootnoteReference"/>
        </w:rPr>
        <w:footnoteRef/>
      </w:r>
      <w:r w:rsidRPr="00D3044F">
        <w:t xml:space="preserve"> To facilitate this, a Lead Partner may be nominated to host Institutional validation with other partners in attendance to include representatives of academic quality and registry functions.</w:t>
      </w:r>
    </w:p>
  </w:footnote>
  <w:footnote w:id="39">
    <w:p w14:paraId="38446CCD" w14:textId="77777777" w:rsidR="00CB2078" w:rsidRPr="00D3044F" w:rsidRDefault="00CB2078" w:rsidP="00865723">
      <w:pPr>
        <w:spacing w:after="0"/>
      </w:pPr>
      <w:r w:rsidRPr="00D3044F">
        <w:rPr>
          <w:rStyle w:val="FootnoteReference"/>
        </w:rPr>
        <w:footnoteRef/>
      </w:r>
      <w:r w:rsidRPr="00D3044F">
        <w:t xml:space="preserve"> </w:t>
      </w:r>
      <w:r w:rsidRPr="00D3044F">
        <w:rPr>
          <w:sz w:val="20"/>
        </w:rPr>
        <w:t>In this arrangement, each partner is responsible for taking the programme through its own Institutional approval (validation) process.</w:t>
      </w:r>
    </w:p>
  </w:footnote>
  <w:footnote w:id="40">
    <w:p w14:paraId="6E22B68F" w14:textId="369C9074" w:rsidR="00614F78" w:rsidRDefault="00614F78">
      <w:pPr>
        <w:pStyle w:val="FootnoteText"/>
      </w:pPr>
      <w:r>
        <w:rPr>
          <w:rStyle w:val="FootnoteReference"/>
        </w:rPr>
        <w:footnoteRef/>
      </w:r>
      <w:r>
        <w:t xml:space="preserve"> </w:t>
      </w:r>
      <w:r w:rsidR="009115E4">
        <w:t xml:space="preserve">Assessment of risk is supported by the University’s </w:t>
      </w:r>
      <w:hyperlink r:id="rId11" w:history="1">
        <w:r w:rsidR="009115E4" w:rsidRPr="009115E4">
          <w:rPr>
            <w:rStyle w:val="Hyperlink"/>
          </w:rPr>
          <w:t>Partnership Risk Management Framework</w:t>
        </w:r>
      </w:hyperlink>
      <w:r w:rsidR="009115E4">
        <w:t>.</w:t>
      </w:r>
    </w:p>
  </w:footnote>
  <w:footnote w:id="41">
    <w:p w14:paraId="684A9E90" w14:textId="40C2F9DB" w:rsidR="00CB2078" w:rsidRDefault="00CB2078">
      <w:pPr>
        <w:pStyle w:val="FootnoteText"/>
      </w:pPr>
      <w:r>
        <w:rPr>
          <w:rStyle w:val="FootnoteReference"/>
        </w:rPr>
        <w:footnoteRef/>
      </w:r>
      <w:r>
        <w:t xml:space="preserve"> A full due diligence report is completed during development of the partnership paperwork and any identified risks shall be escalated appropriately to Directorate to consider.</w:t>
      </w:r>
    </w:p>
  </w:footnote>
  <w:footnote w:id="42">
    <w:p w14:paraId="694F0878" w14:textId="7571DAE9" w:rsidR="00CB2078" w:rsidRDefault="00CB2078">
      <w:pPr>
        <w:pStyle w:val="FootnoteText"/>
      </w:pPr>
      <w:r>
        <w:rPr>
          <w:rStyle w:val="FootnoteReference"/>
        </w:rPr>
        <w:footnoteRef/>
      </w:r>
      <w:r>
        <w:t xml:space="preserve"> The Academic Partnership Proposal form includes a section</w:t>
      </w:r>
      <w:r w:rsidR="001F0262">
        <w:t xml:space="preserve"> to describe the</w:t>
      </w:r>
      <w:r>
        <w:t xml:space="preserve"> </w:t>
      </w:r>
      <w:r w:rsidR="001F0262">
        <w:t>k</w:t>
      </w:r>
      <w:r w:rsidR="001F0262" w:rsidRPr="001F0262">
        <w:t xml:space="preserve">ey </w:t>
      </w:r>
      <w:r w:rsidR="001F0262">
        <w:t>f</w:t>
      </w:r>
      <w:r w:rsidR="001F0262" w:rsidRPr="001F0262">
        <w:t xml:space="preserve">eatures of the </w:t>
      </w:r>
      <w:r w:rsidR="001F0262">
        <w:t>b</w:t>
      </w:r>
      <w:r w:rsidR="001F0262" w:rsidRPr="001F0262">
        <w:t xml:space="preserve">usiness </w:t>
      </w:r>
      <w:r w:rsidR="001F0262">
        <w:t>c</w:t>
      </w:r>
      <w:r w:rsidR="001F0262" w:rsidRPr="001F0262">
        <w:t>ase</w:t>
      </w:r>
      <w:r>
        <w:t>, however a more detailed business case with anticipated income and expenditure is provided on a separate template.</w:t>
      </w:r>
    </w:p>
  </w:footnote>
  <w:footnote w:id="43">
    <w:p w14:paraId="4DC7FC0E" w14:textId="44BDC8EC" w:rsidR="00663C87" w:rsidRPr="00663C87" w:rsidRDefault="00663C87">
      <w:pPr>
        <w:pStyle w:val="FootnoteText"/>
        <w:rPr>
          <w:sz w:val="18"/>
          <w:szCs w:val="18"/>
        </w:rPr>
      </w:pPr>
      <w:r w:rsidRPr="00663C87">
        <w:rPr>
          <w:rStyle w:val="FootnoteReference"/>
          <w:sz w:val="18"/>
          <w:szCs w:val="18"/>
        </w:rPr>
        <w:footnoteRef/>
      </w:r>
      <w:r w:rsidRPr="00663C87">
        <w:rPr>
          <w:sz w:val="18"/>
          <w:szCs w:val="18"/>
        </w:rPr>
        <w:t xml:space="preserve"> A Risk Score template to support the risk assessment</w:t>
      </w:r>
      <w:r>
        <w:rPr>
          <w:sz w:val="18"/>
          <w:szCs w:val="18"/>
        </w:rPr>
        <w:t xml:space="preserve"> process</w:t>
      </w:r>
      <w:r w:rsidRPr="00663C87">
        <w:rPr>
          <w:sz w:val="18"/>
          <w:szCs w:val="18"/>
        </w:rPr>
        <w:t xml:space="preserve"> is available </w:t>
      </w:r>
      <w:hyperlink r:id="rId12" w:history="1">
        <w:r w:rsidRPr="00663C87">
          <w:rPr>
            <w:rStyle w:val="Hyperlink"/>
            <w:sz w:val="18"/>
            <w:szCs w:val="18"/>
          </w:rPr>
          <w:t>here</w:t>
        </w:r>
      </w:hyperlink>
      <w:r w:rsidRPr="00663C87">
        <w:rPr>
          <w:sz w:val="18"/>
          <w:szCs w:val="18"/>
        </w:rPr>
        <w:t>.</w:t>
      </w:r>
    </w:p>
  </w:footnote>
  <w:footnote w:id="44">
    <w:p w14:paraId="22D2F12A" w14:textId="62DCD6B5" w:rsidR="00CB2078" w:rsidRPr="00D3044F" w:rsidRDefault="00CB2078" w:rsidP="006C567B">
      <w:pPr>
        <w:pStyle w:val="FootnoteText"/>
      </w:pPr>
      <w:r w:rsidRPr="00D3044F">
        <w:rPr>
          <w:rStyle w:val="FootnoteReference"/>
        </w:rPr>
        <w:footnoteRef/>
      </w:r>
      <w:r w:rsidRPr="00D3044F">
        <w:t xml:space="preserve"> External examiners are appointed to provision at FHEQ level 5 and above (level 4 for Foundation Degrees) and where a programme is being delivered on multiple sites external examiners differentiate clearly between delivery centres and student cohorts</w:t>
      </w:r>
      <w:r w:rsidR="007C4F7B">
        <w:t>.</w:t>
      </w:r>
    </w:p>
  </w:footnote>
  <w:footnote w:id="45">
    <w:p w14:paraId="07199342" w14:textId="77777777" w:rsidR="00CB2078" w:rsidRPr="00D3044F" w:rsidRDefault="00CB2078" w:rsidP="00477AAF">
      <w:pPr>
        <w:spacing w:after="0"/>
        <w:rPr>
          <w:sz w:val="18"/>
        </w:rPr>
      </w:pPr>
      <w:r w:rsidRPr="00D3044F">
        <w:rPr>
          <w:rStyle w:val="FootnoteReference"/>
        </w:rPr>
        <w:footnoteRef/>
      </w:r>
      <w:r w:rsidRPr="00D3044F">
        <w:t xml:space="preserve"> </w:t>
      </w:r>
      <w:r w:rsidRPr="00D3044F">
        <w:rPr>
          <w:sz w:val="20"/>
        </w:rPr>
        <w:t>This Closure Plan is distinct from the standard closure proposal paperwork completed for non-partnership provision</w:t>
      </w:r>
      <w:r w:rsidRPr="00D3044F">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23C6F" w14:textId="77777777" w:rsidR="00CB2078" w:rsidRDefault="00CB2078" w:rsidP="00235C19">
    <w:pPr>
      <w:pStyle w:val="Style1"/>
    </w:pPr>
    <w:r>
      <w:t>Edge Hill University</w:t>
    </w:r>
    <w:r>
      <w:tab/>
    </w:r>
    <w:r>
      <w:tab/>
      <w:t>Quality Management Handbook</w:t>
    </w:r>
  </w:p>
  <w:p w14:paraId="07D52BFE" w14:textId="77777777" w:rsidR="00CB2078" w:rsidRDefault="00CB2078" w:rsidP="00235C19">
    <w:pPr>
      <w:pStyle w:val="Style1"/>
    </w:pPr>
    <w:r>
      <w:t xml:space="preserve">                   </w:t>
    </w:r>
    <w:r>
      <w:tab/>
      <w:t xml:space="preserve">                                                                                                     Chapter 5 Academic Partnerships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14F3"/>
    <w:multiLevelType w:val="hybridMultilevel"/>
    <w:tmpl w:val="A4249F92"/>
    <w:lvl w:ilvl="0" w:tplc="556EC5DA">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4A0246"/>
    <w:multiLevelType w:val="hybridMultilevel"/>
    <w:tmpl w:val="B4745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B5664"/>
    <w:multiLevelType w:val="hybridMultilevel"/>
    <w:tmpl w:val="05D2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237EC"/>
    <w:multiLevelType w:val="hybridMultilevel"/>
    <w:tmpl w:val="0F3C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815C8"/>
    <w:multiLevelType w:val="hybridMultilevel"/>
    <w:tmpl w:val="AB7A19F2"/>
    <w:lvl w:ilvl="0" w:tplc="556EC5DA">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BB627F"/>
    <w:multiLevelType w:val="hybridMultilevel"/>
    <w:tmpl w:val="CE9E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201E4"/>
    <w:multiLevelType w:val="hybridMultilevel"/>
    <w:tmpl w:val="70AA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B58F0"/>
    <w:multiLevelType w:val="hybridMultilevel"/>
    <w:tmpl w:val="60EA7D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A0307"/>
    <w:multiLevelType w:val="hybridMultilevel"/>
    <w:tmpl w:val="A6D8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75E65"/>
    <w:multiLevelType w:val="hybridMultilevel"/>
    <w:tmpl w:val="2E3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57E7C"/>
    <w:multiLevelType w:val="hybridMultilevel"/>
    <w:tmpl w:val="31F4CA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427FD"/>
    <w:multiLevelType w:val="hybridMultilevel"/>
    <w:tmpl w:val="9106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34BC8"/>
    <w:multiLevelType w:val="hybridMultilevel"/>
    <w:tmpl w:val="DF2069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21239"/>
    <w:multiLevelType w:val="hybridMultilevel"/>
    <w:tmpl w:val="AA28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01FAD"/>
    <w:multiLevelType w:val="hybridMultilevel"/>
    <w:tmpl w:val="CFBCF5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E64A7"/>
    <w:multiLevelType w:val="hybridMultilevel"/>
    <w:tmpl w:val="6D22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96E3C"/>
    <w:multiLevelType w:val="hybridMultilevel"/>
    <w:tmpl w:val="A864A21E"/>
    <w:lvl w:ilvl="0" w:tplc="6042233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A24665"/>
    <w:multiLevelType w:val="hybridMultilevel"/>
    <w:tmpl w:val="2CD0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B6D1B"/>
    <w:multiLevelType w:val="hybridMultilevel"/>
    <w:tmpl w:val="CC26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962BC"/>
    <w:multiLevelType w:val="hybridMultilevel"/>
    <w:tmpl w:val="562ADF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ACA1A9A"/>
    <w:multiLevelType w:val="hybridMultilevel"/>
    <w:tmpl w:val="5E788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92858"/>
    <w:multiLevelType w:val="hybridMultilevel"/>
    <w:tmpl w:val="F6B0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24EBD"/>
    <w:multiLevelType w:val="hybridMultilevel"/>
    <w:tmpl w:val="C840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46F11"/>
    <w:multiLevelType w:val="hybridMultilevel"/>
    <w:tmpl w:val="4280A04E"/>
    <w:lvl w:ilvl="0" w:tplc="6B70150A">
      <w:numFmt w:val="bullet"/>
      <w:lvlText w:val="-"/>
      <w:lvlJc w:val="left"/>
      <w:pPr>
        <w:ind w:left="781" w:hanging="285"/>
      </w:pPr>
      <w:rPr>
        <w:rFonts w:ascii="Times New Roman" w:eastAsia="Times New Roman" w:hAnsi="Times New Roman" w:cs="Times New Roman" w:hint="default"/>
        <w:spacing w:val="-2"/>
        <w:w w:val="99"/>
        <w:sz w:val="18"/>
        <w:szCs w:val="18"/>
      </w:rPr>
    </w:lvl>
    <w:lvl w:ilvl="1" w:tplc="6FDCABE2">
      <w:numFmt w:val="bullet"/>
      <w:lvlText w:val=""/>
      <w:lvlJc w:val="left"/>
      <w:pPr>
        <w:ind w:left="1217" w:hanging="360"/>
      </w:pPr>
      <w:rPr>
        <w:rFonts w:ascii="Symbol" w:eastAsia="Symbol" w:hAnsi="Symbol" w:cs="Symbol" w:hint="default"/>
        <w:w w:val="100"/>
        <w:sz w:val="24"/>
        <w:szCs w:val="24"/>
      </w:rPr>
    </w:lvl>
    <w:lvl w:ilvl="2" w:tplc="91003E96">
      <w:numFmt w:val="bullet"/>
      <w:lvlText w:val="•"/>
      <w:lvlJc w:val="left"/>
      <w:pPr>
        <w:ind w:left="2155" w:hanging="360"/>
      </w:pPr>
      <w:rPr>
        <w:rFonts w:hint="default"/>
      </w:rPr>
    </w:lvl>
    <w:lvl w:ilvl="3" w:tplc="53C0605C">
      <w:numFmt w:val="bullet"/>
      <w:lvlText w:val="•"/>
      <w:lvlJc w:val="left"/>
      <w:pPr>
        <w:ind w:left="3091" w:hanging="360"/>
      </w:pPr>
      <w:rPr>
        <w:rFonts w:hint="default"/>
      </w:rPr>
    </w:lvl>
    <w:lvl w:ilvl="4" w:tplc="146E28D0">
      <w:numFmt w:val="bullet"/>
      <w:lvlText w:val="•"/>
      <w:lvlJc w:val="left"/>
      <w:pPr>
        <w:ind w:left="4026" w:hanging="360"/>
      </w:pPr>
      <w:rPr>
        <w:rFonts w:hint="default"/>
      </w:rPr>
    </w:lvl>
    <w:lvl w:ilvl="5" w:tplc="1BFCD552">
      <w:numFmt w:val="bullet"/>
      <w:lvlText w:val="•"/>
      <w:lvlJc w:val="left"/>
      <w:pPr>
        <w:ind w:left="4962" w:hanging="360"/>
      </w:pPr>
      <w:rPr>
        <w:rFonts w:hint="default"/>
      </w:rPr>
    </w:lvl>
    <w:lvl w:ilvl="6" w:tplc="59186498">
      <w:numFmt w:val="bullet"/>
      <w:lvlText w:val="•"/>
      <w:lvlJc w:val="left"/>
      <w:pPr>
        <w:ind w:left="5897" w:hanging="360"/>
      </w:pPr>
      <w:rPr>
        <w:rFonts w:hint="default"/>
      </w:rPr>
    </w:lvl>
    <w:lvl w:ilvl="7" w:tplc="A6FECAB8">
      <w:numFmt w:val="bullet"/>
      <w:lvlText w:val="•"/>
      <w:lvlJc w:val="left"/>
      <w:pPr>
        <w:ind w:left="6833" w:hanging="360"/>
      </w:pPr>
      <w:rPr>
        <w:rFonts w:hint="default"/>
      </w:rPr>
    </w:lvl>
    <w:lvl w:ilvl="8" w:tplc="77B6F962">
      <w:numFmt w:val="bullet"/>
      <w:lvlText w:val="•"/>
      <w:lvlJc w:val="left"/>
      <w:pPr>
        <w:ind w:left="7768" w:hanging="360"/>
      </w:pPr>
      <w:rPr>
        <w:rFonts w:hint="default"/>
      </w:rPr>
    </w:lvl>
  </w:abstractNum>
  <w:abstractNum w:abstractNumId="24" w15:restartNumberingAfterBreak="0">
    <w:nsid w:val="3D314F13"/>
    <w:multiLevelType w:val="hybridMultilevel"/>
    <w:tmpl w:val="A394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1175F"/>
    <w:multiLevelType w:val="hybridMultilevel"/>
    <w:tmpl w:val="8EFA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2683F"/>
    <w:multiLevelType w:val="hybridMultilevel"/>
    <w:tmpl w:val="042EA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AF080C"/>
    <w:multiLevelType w:val="hybridMultilevel"/>
    <w:tmpl w:val="AEAEC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71803"/>
    <w:multiLevelType w:val="hybridMultilevel"/>
    <w:tmpl w:val="E6C8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644BCD"/>
    <w:multiLevelType w:val="hybridMultilevel"/>
    <w:tmpl w:val="6C60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B4649"/>
    <w:multiLevelType w:val="hybridMultilevel"/>
    <w:tmpl w:val="1FAA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B7566"/>
    <w:multiLevelType w:val="hybridMultilevel"/>
    <w:tmpl w:val="38DA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F313A"/>
    <w:multiLevelType w:val="hybridMultilevel"/>
    <w:tmpl w:val="7F44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07D9E"/>
    <w:multiLevelType w:val="hybridMultilevel"/>
    <w:tmpl w:val="C2CA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99403D"/>
    <w:multiLevelType w:val="hybridMultilevel"/>
    <w:tmpl w:val="42AC3F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4B61C72"/>
    <w:multiLevelType w:val="hybridMultilevel"/>
    <w:tmpl w:val="D896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E013BF"/>
    <w:multiLevelType w:val="hybridMultilevel"/>
    <w:tmpl w:val="90B018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6E4346B"/>
    <w:multiLevelType w:val="hybridMultilevel"/>
    <w:tmpl w:val="3236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951FAA"/>
    <w:multiLevelType w:val="hybridMultilevel"/>
    <w:tmpl w:val="FFA2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F21CA9"/>
    <w:multiLevelType w:val="hybridMultilevel"/>
    <w:tmpl w:val="DAC68918"/>
    <w:lvl w:ilvl="0" w:tplc="754A140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2168F7"/>
    <w:multiLevelType w:val="hybridMultilevel"/>
    <w:tmpl w:val="22DC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B4180"/>
    <w:multiLevelType w:val="multilevel"/>
    <w:tmpl w:val="179E5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5E5A17"/>
    <w:multiLevelType w:val="hybridMultilevel"/>
    <w:tmpl w:val="BA889A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605C25"/>
    <w:multiLevelType w:val="hybridMultilevel"/>
    <w:tmpl w:val="A55C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9157D1"/>
    <w:multiLevelType w:val="hybridMultilevel"/>
    <w:tmpl w:val="4986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A029D2"/>
    <w:multiLevelType w:val="hybridMultilevel"/>
    <w:tmpl w:val="3970E452"/>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6" w15:restartNumberingAfterBreak="0">
    <w:nsid w:val="6DA2267C"/>
    <w:multiLevelType w:val="hybridMultilevel"/>
    <w:tmpl w:val="35E6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EA0041"/>
    <w:multiLevelType w:val="hybridMultilevel"/>
    <w:tmpl w:val="F0FC858E"/>
    <w:lvl w:ilvl="0" w:tplc="556EC5D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78694F"/>
    <w:multiLevelType w:val="hybridMultilevel"/>
    <w:tmpl w:val="953E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D6190F"/>
    <w:multiLevelType w:val="hybridMultilevel"/>
    <w:tmpl w:val="F996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8F669B"/>
    <w:multiLevelType w:val="hybridMultilevel"/>
    <w:tmpl w:val="FF50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7E59DF"/>
    <w:multiLevelType w:val="hybridMultilevel"/>
    <w:tmpl w:val="4D506F90"/>
    <w:lvl w:ilvl="0" w:tplc="08090003">
      <w:start w:val="1"/>
      <w:numFmt w:val="bullet"/>
      <w:lvlText w:val="o"/>
      <w:lvlJc w:val="left"/>
      <w:pPr>
        <w:ind w:left="814" w:hanging="360"/>
      </w:pPr>
      <w:rPr>
        <w:rFonts w:ascii="Courier New" w:hAnsi="Courier New" w:cs="Courier New" w:hint="default"/>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52" w15:restartNumberingAfterBreak="0">
    <w:nsid w:val="7CA62FC8"/>
    <w:multiLevelType w:val="hybridMultilevel"/>
    <w:tmpl w:val="8D3E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C03AD1"/>
    <w:multiLevelType w:val="hybridMultilevel"/>
    <w:tmpl w:val="5D3E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757274">
    <w:abstractNumId w:val="37"/>
  </w:num>
  <w:num w:numId="2" w16cid:durableId="1187521594">
    <w:abstractNumId w:val="25"/>
  </w:num>
  <w:num w:numId="3" w16cid:durableId="1365590983">
    <w:abstractNumId w:val="10"/>
  </w:num>
  <w:num w:numId="4" w16cid:durableId="939337991">
    <w:abstractNumId w:val="13"/>
  </w:num>
  <w:num w:numId="5" w16cid:durableId="973370128">
    <w:abstractNumId w:val="8"/>
  </w:num>
  <w:num w:numId="6" w16cid:durableId="711688169">
    <w:abstractNumId w:val="23"/>
  </w:num>
  <w:num w:numId="7" w16cid:durableId="1667174986">
    <w:abstractNumId w:val="53"/>
  </w:num>
  <w:num w:numId="8" w16cid:durableId="1134711334">
    <w:abstractNumId w:val="14"/>
  </w:num>
  <w:num w:numId="9" w16cid:durableId="202987691">
    <w:abstractNumId w:val="42"/>
  </w:num>
  <w:num w:numId="10" w16cid:durableId="778063483">
    <w:abstractNumId w:val="7"/>
  </w:num>
  <w:num w:numId="11" w16cid:durableId="926961860">
    <w:abstractNumId w:val="12"/>
  </w:num>
  <w:num w:numId="12" w16cid:durableId="2038651473">
    <w:abstractNumId w:val="2"/>
  </w:num>
  <w:num w:numId="13" w16cid:durableId="1407070015">
    <w:abstractNumId w:val="46"/>
  </w:num>
  <w:num w:numId="14" w16cid:durableId="1779639108">
    <w:abstractNumId w:val="44"/>
  </w:num>
  <w:num w:numId="15" w16cid:durableId="709183290">
    <w:abstractNumId w:val="45"/>
  </w:num>
  <w:num w:numId="16" w16cid:durableId="1644627087">
    <w:abstractNumId w:val="9"/>
  </w:num>
  <w:num w:numId="17" w16cid:durableId="534272957">
    <w:abstractNumId w:val="50"/>
  </w:num>
  <w:num w:numId="18" w16cid:durableId="335765988">
    <w:abstractNumId w:val="15"/>
  </w:num>
  <w:num w:numId="19" w16cid:durableId="303436190">
    <w:abstractNumId w:val="52"/>
  </w:num>
  <w:num w:numId="20" w16cid:durableId="667486721">
    <w:abstractNumId w:val="20"/>
  </w:num>
  <w:num w:numId="21" w16cid:durableId="1588273809">
    <w:abstractNumId w:val="18"/>
  </w:num>
  <w:num w:numId="22" w16cid:durableId="244919126">
    <w:abstractNumId w:val="11"/>
  </w:num>
  <w:num w:numId="23" w16cid:durableId="1066606444">
    <w:abstractNumId w:val="32"/>
  </w:num>
  <w:num w:numId="24" w16cid:durableId="1361279689">
    <w:abstractNumId w:val="5"/>
  </w:num>
  <w:num w:numId="25" w16cid:durableId="683364323">
    <w:abstractNumId w:val="31"/>
  </w:num>
  <w:num w:numId="26" w16cid:durableId="1510173347">
    <w:abstractNumId w:val="27"/>
  </w:num>
  <w:num w:numId="27" w16cid:durableId="381906189">
    <w:abstractNumId w:val="36"/>
  </w:num>
  <w:num w:numId="28" w16cid:durableId="863858952">
    <w:abstractNumId w:val="34"/>
  </w:num>
  <w:num w:numId="29" w16cid:durableId="2014214472">
    <w:abstractNumId w:val="19"/>
  </w:num>
  <w:num w:numId="30" w16cid:durableId="533082502">
    <w:abstractNumId w:val="16"/>
  </w:num>
  <w:num w:numId="31" w16cid:durableId="1627199971">
    <w:abstractNumId w:val="39"/>
  </w:num>
  <w:num w:numId="32" w16cid:durableId="602568077">
    <w:abstractNumId w:val="47"/>
  </w:num>
  <w:num w:numId="33" w16cid:durableId="1888491248">
    <w:abstractNumId w:val="0"/>
  </w:num>
  <w:num w:numId="34" w16cid:durableId="1603805496">
    <w:abstractNumId w:val="4"/>
  </w:num>
  <w:num w:numId="35" w16cid:durableId="915093782">
    <w:abstractNumId w:val="29"/>
  </w:num>
  <w:num w:numId="36" w16cid:durableId="1418018442">
    <w:abstractNumId w:val="48"/>
  </w:num>
  <w:num w:numId="37" w16cid:durableId="944532274">
    <w:abstractNumId w:val="24"/>
  </w:num>
  <w:num w:numId="38" w16cid:durableId="449976827">
    <w:abstractNumId w:val="17"/>
  </w:num>
  <w:num w:numId="39" w16cid:durableId="469328305">
    <w:abstractNumId w:val="30"/>
  </w:num>
  <w:num w:numId="40" w16cid:durableId="1730572122">
    <w:abstractNumId w:val="38"/>
  </w:num>
  <w:num w:numId="41" w16cid:durableId="1622883633">
    <w:abstractNumId w:val="49"/>
  </w:num>
  <w:num w:numId="42" w16cid:durableId="1670670292">
    <w:abstractNumId w:val="26"/>
  </w:num>
  <w:num w:numId="43" w16cid:durableId="1135415387">
    <w:abstractNumId w:val="22"/>
  </w:num>
  <w:num w:numId="44" w16cid:durableId="567771074">
    <w:abstractNumId w:val="40"/>
  </w:num>
  <w:num w:numId="45" w16cid:durableId="1422528255">
    <w:abstractNumId w:val="33"/>
  </w:num>
  <w:num w:numId="46" w16cid:durableId="46299646">
    <w:abstractNumId w:val="35"/>
  </w:num>
  <w:num w:numId="47" w16cid:durableId="167405769">
    <w:abstractNumId w:val="21"/>
  </w:num>
  <w:num w:numId="48" w16cid:durableId="1824808718">
    <w:abstractNumId w:val="43"/>
  </w:num>
  <w:num w:numId="49" w16cid:durableId="1900431725">
    <w:abstractNumId w:val="6"/>
  </w:num>
  <w:num w:numId="50" w16cid:durableId="2026441261">
    <w:abstractNumId w:val="1"/>
  </w:num>
  <w:num w:numId="51" w16cid:durableId="729813946">
    <w:abstractNumId w:val="3"/>
  </w:num>
  <w:num w:numId="52" w16cid:durableId="35080771">
    <w:abstractNumId w:val="51"/>
  </w:num>
  <w:num w:numId="53" w16cid:durableId="66878855">
    <w:abstractNumId w:val="41"/>
  </w:num>
  <w:num w:numId="54" w16cid:durableId="144711736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27"/>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76"/>
    <w:rsid w:val="00001984"/>
    <w:rsid w:val="00001D1D"/>
    <w:rsid w:val="000041EE"/>
    <w:rsid w:val="000043AB"/>
    <w:rsid w:val="000079CC"/>
    <w:rsid w:val="000114C1"/>
    <w:rsid w:val="00021C11"/>
    <w:rsid w:val="00022078"/>
    <w:rsid w:val="0002242F"/>
    <w:rsid w:val="0002379C"/>
    <w:rsid w:val="00023971"/>
    <w:rsid w:val="00024F7A"/>
    <w:rsid w:val="00027243"/>
    <w:rsid w:val="00033427"/>
    <w:rsid w:val="0003402D"/>
    <w:rsid w:val="00035DC2"/>
    <w:rsid w:val="00036420"/>
    <w:rsid w:val="0003731A"/>
    <w:rsid w:val="000401A3"/>
    <w:rsid w:val="000414A7"/>
    <w:rsid w:val="000424E0"/>
    <w:rsid w:val="00043833"/>
    <w:rsid w:val="000473E3"/>
    <w:rsid w:val="000500D1"/>
    <w:rsid w:val="00051A7B"/>
    <w:rsid w:val="0005343B"/>
    <w:rsid w:val="00054108"/>
    <w:rsid w:val="000569E7"/>
    <w:rsid w:val="00056D07"/>
    <w:rsid w:val="0005757E"/>
    <w:rsid w:val="0006219D"/>
    <w:rsid w:val="000621DA"/>
    <w:rsid w:val="00064820"/>
    <w:rsid w:val="00064C5C"/>
    <w:rsid w:val="00070549"/>
    <w:rsid w:val="00070E7C"/>
    <w:rsid w:val="00070FEF"/>
    <w:rsid w:val="000723AE"/>
    <w:rsid w:val="00072A64"/>
    <w:rsid w:val="00074F13"/>
    <w:rsid w:val="0007505D"/>
    <w:rsid w:val="00075741"/>
    <w:rsid w:val="00080A65"/>
    <w:rsid w:val="00080C8D"/>
    <w:rsid w:val="0008458D"/>
    <w:rsid w:val="0009053E"/>
    <w:rsid w:val="0009060F"/>
    <w:rsid w:val="0009182D"/>
    <w:rsid w:val="000945CA"/>
    <w:rsid w:val="0009506B"/>
    <w:rsid w:val="00096BAD"/>
    <w:rsid w:val="000A15EA"/>
    <w:rsid w:val="000A2754"/>
    <w:rsid w:val="000A5949"/>
    <w:rsid w:val="000A5D3F"/>
    <w:rsid w:val="000A644F"/>
    <w:rsid w:val="000B03D3"/>
    <w:rsid w:val="000B168D"/>
    <w:rsid w:val="000B2CDB"/>
    <w:rsid w:val="000B3181"/>
    <w:rsid w:val="000B5E82"/>
    <w:rsid w:val="000B77CE"/>
    <w:rsid w:val="000C10C4"/>
    <w:rsid w:val="000C151C"/>
    <w:rsid w:val="000C2D09"/>
    <w:rsid w:val="000C3C82"/>
    <w:rsid w:val="000C43EE"/>
    <w:rsid w:val="000C5126"/>
    <w:rsid w:val="000C7E1F"/>
    <w:rsid w:val="000D0168"/>
    <w:rsid w:val="000D0A58"/>
    <w:rsid w:val="000D2EDF"/>
    <w:rsid w:val="000D3812"/>
    <w:rsid w:val="000D6514"/>
    <w:rsid w:val="000D7736"/>
    <w:rsid w:val="000E50B9"/>
    <w:rsid w:val="000E77C4"/>
    <w:rsid w:val="000F3143"/>
    <w:rsid w:val="000F344B"/>
    <w:rsid w:val="000F3AF8"/>
    <w:rsid w:val="000F429A"/>
    <w:rsid w:val="00101F49"/>
    <w:rsid w:val="00102AAC"/>
    <w:rsid w:val="00103FB5"/>
    <w:rsid w:val="00104E49"/>
    <w:rsid w:val="00107FC0"/>
    <w:rsid w:val="001106E0"/>
    <w:rsid w:val="001109FD"/>
    <w:rsid w:val="00115E43"/>
    <w:rsid w:val="00116BD8"/>
    <w:rsid w:val="00117459"/>
    <w:rsid w:val="00117AAB"/>
    <w:rsid w:val="00120927"/>
    <w:rsid w:val="001222C1"/>
    <w:rsid w:val="00122797"/>
    <w:rsid w:val="001243A2"/>
    <w:rsid w:val="001248B9"/>
    <w:rsid w:val="00130E8D"/>
    <w:rsid w:val="001324AE"/>
    <w:rsid w:val="0013290E"/>
    <w:rsid w:val="001337D1"/>
    <w:rsid w:val="00135A60"/>
    <w:rsid w:val="00136D4E"/>
    <w:rsid w:val="00144ED5"/>
    <w:rsid w:val="0014592C"/>
    <w:rsid w:val="00145B51"/>
    <w:rsid w:val="00146D2F"/>
    <w:rsid w:val="001506BF"/>
    <w:rsid w:val="0015208D"/>
    <w:rsid w:val="001528E7"/>
    <w:rsid w:val="00155A4E"/>
    <w:rsid w:val="0015680E"/>
    <w:rsid w:val="00157B01"/>
    <w:rsid w:val="00160473"/>
    <w:rsid w:val="00160D63"/>
    <w:rsid w:val="0016121D"/>
    <w:rsid w:val="0016184C"/>
    <w:rsid w:val="001632D8"/>
    <w:rsid w:val="001645E3"/>
    <w:rsid w:val="001659F4"/>
    <w:rsid w:val="00165AD3"/>
    <w:rsid w:val="00165CC8"/>
    <w:rsid w:val="001759E2"/>
    <w:rsid w:val="0017746D"/>
    <w:rsid w:val="001856F3"/>
    <w:rsid w:val="00186527"/>
    <w:rsid w:val="0018724F"/>
    <w:rsid w:val="0018797E"/>
    <w:rsid w:val="001900D9"/>
    <w:rsid w:val="00190FA3"/>
    <w:rsid w:val="001918B9"/>
    <w:rsid w:val="001933B5"/>
    <w:rsid w:val="001937AF"/>
    <w:rsid w:val="0019511E"/>
    <w:rsid w:val="001959B2"/>
    <w:rsid w:val="001A058F"/>
    <w:rsid w:val="001A0E9C"/>
    <w:rsid w:val="001A4774"/>
    <w:rsid w:val="001A4BF3"/>
    <w:rsid w:val="001A4F03"/>
    <w:rsid w:val="001B18ED"/>
    <w:rsid w:val="001B2335"/>
    <w:rsid w:val="001B2619"/>
    <w:rsid w:val="001B2DF6"/>
    <w:rsid w:val="001B38CC"/>
    <w:rsid w:val="001B4159"/>
    <w:rsid w:val="001B503C"/>
    <w:rsid w:val="001B5395"/>
    <w:rsid w:val="001B60AF"/>
    <w:rsid w:val="001C128A"/>
    <w:rsid w:val="001C2228"/>
    <w:rsid w:val="001C4068"/>
    <w:rsid w:val="001D09E2"/>
    <w:rsid w:val="001D1FDC"/>
    <w:rsid w:val="001D66C1"/>
    <w:rsid w:val="001E2824"/>
    <w:rsid w:val="001E3E98"/>
    <w:rsid w:val="001E5610"/>
    <w:rsid w:val="001E5DE6"/>
    <w:rsid w:val="001E6FF6"/>
    <w:rsid w:val="001F013E"/>
    <w:rsid w:val="001F0262"/>
    <w:rsid w:val="001F3553"/>
    <w:rsid w:val="001F4C6E"/>
    <w:rsid w:val="001F6705"/>
    <w:rsid w:val="001F738D"/>
    <w:rsid w:val="0020275A"/>
    <w:rsid w:val="00203241"/>
    <w:rsid w:val="002036B6"/>
    <w:rsid w:val="00204C5F"/>
    <w:rsid w:val="00212124"/>
    <w:rsid w:val="0021636C"/>
    <w:rsid w:val="00216ACF"/>
    <w:rsid w:val="00216B85"/>
    <w:rsid w:val="00217DDF"/>
    <w:rsid w:val="0022430F"/>
    <w:rsid w:val="00224C21"/>
    <w:rsid w:val="00227161"/>
    <w:rsid w:val="002277EB"/>
    <w:rsid w:val="002332B6"/>
    <w:rsid w:val="00233E98"/>
    <w:rsid w:val="00234F97"/>
    <w:rsid w:val="00235307"/>
    <w:rsid w:val="00235C19"/>
    <w:rsid w:val="002360D2"/>
    <w:rsid w:val="00237F4C"/>
    <w:rsid w:val="00244305"/>
    <w:rsid w:val="002445B6"/>
    <w:rsid w:val="00246279"/>
    <w:rsid w:val="002469FF"/>
    <w:rsid w:val="00250D5C"/>
    <w:rsid w:val="00252C31"/>
    <w:rsid w:val="00253ABC"/>
    <w:rsid w:val="00253D7F"/>
    <w:rsid w:val="00253F0B"/>
    <w:rsid w:val="00254F2C"/>
    <w:rsid w:val="002568C0"/>
    <w:rsid w:val="00257877"/>
    <w:rsid w:val="00257C08"/>
    <w:rsid w:val="00257D7F"/>
    <w:rsid w:val="00260D94"/>
    <w:rsid w:val="0026186C"/>
    <w:rsid w:val="00261F26"/>
    <w:rsid w:val="00264D42"/>
    <w:rsid w:val="00267E37"/>
    <w:rsid w:val="002703B3"/>
    <w:rsid w:val="00271176"/>
    <w:rsid w:val="002714D3"/>
    <w:rsid w:val="00274A33"/>
    <w:rsid w:val="00275804"/>
    <w:rsid w:val="00277819"/>
    <w:rsid w:val="00277B63"/>
    <w:rsid w:val="00277FAE"/>
    <w:rsid w:val="00281724"/>
    <w:rsid w:val="002819D0"/>
    <w:rsid w:val="00282AEE"/>
    <w:rsid w:val="00282F6A"/>
    <w:rsid w:val="00284E94"/>
    <w:rsid w:val="00286636"/>
    <w:rsid w:val="002866E1"/>
    <w:rsid w:val="00286CF2"/>
    <w:rsid w:val="00286DEA"/>
    <w:rsid w:val="00292498"/>
    <w:rsid w:val="00293C9C"/>
    <w:rsid w:val="002945FC"/>
    <w:rsid w:val="00294621"/>
    <w:rsid w:val="002955FF"/>
    <w:rsid w:val="002960A9"/>
    <w:rsid w:val="00296606"/>
    <w:rsid w:val="00297400"/>
    <w:rsid w:val="002A0643"/>
    <w:rsid w:val="002A2E4A"/>
    <w:rsid w:val="002A2FA5"/>
    <w:rsid w:val="002A3985"/>
    <w:rsid w:val="002A4A0D"/>
    <w:rsid w:val="002A529F"/>
    <w:rsid w:val="002B0AFC"/>
    <w:rsid w:val="002B163A"/>
    <w:rsid w:val="002B646C"/>
    <w:rsid w:val="002C2406"/>
    <w:rsid w:val="002C3B50"/>
    <w:rsid w:val="002C469C"/>
    <w:rsid w:val="002C4D80"/>
    <w:rsid w:val="002C5616"/>
    <w:rsid w:val="002D14FE"/>
    <w:rsid w:val="002D279D"/>
    <w:rsid w:val="002D3A6A"/>
    <w:rsid w:val="002D5B95"/>
    <w:rsid w:val="002D67A5"/>
    <w:rsid w:val="002E26A7"/>
    <w:rsid w:val="002E396A"/>
    <w:rsid w:val="002E4FE2"/>
    <w:rsid w:val="002E59E4"/>
    <w:rsid w:val="002E60F8"/>
    <w:rsid w:val="002E726C"/>
    <w:rsid w:val="002E7394"/>
    <w:rsid w:val="002E7A8E"/>
    <w:rsid w:val="003052BA"/>
    <w:rsid w:val="00306934"/>
    <w:rsid w:val="00310919"/>
    <w:rsid w:val="00310B11"/>
    <w:rsid w:val="003113E6"/>
    <w:rsid w:val="0031258C"/>
    <w:rsid w:val="0031596E"/>
    <w:rsid w:val="0031704F"/>
    <w:rsid w:val="00322BFF"/>
    <w:rsid w:val="003231FC"/>
    <w:rsid w:val="0032541B"/>
    <w:rsid w:val="00325ECF"/>
    <w:rsid w:val="003304B3"/>
    <w:rsid w:val="00331450"/>
    <w:rsid w:val="003316E6"/>
    <w:rsid w:val="00331AE1"/>
    <w:rsid w:val="003340BE"/>
    <w:rsid w:val="00334A68"/>
    <w:rsid w:val="00341401"/>
    <w:rsid w:val="00341CF1"/>
    <w:rsid w:val="003432E3"/>
    <w:rsid w:val="003436EB"/>
    <w:rsid w:val="00344B35"/>
    <w:rsid w:val="0034659F"/>
    <w:rsid w:val="003526B7"/>
    <w:rsid w:val="003528AB"/>
    <w:rsid w:val="003544AA"/>
    <w:rsid w:val="003554F0"/>
    <w:rsid w:val="00356FE1"/>
    <w:rsid w:val="00360684"/>
    <w:rsid w:val="0036193E"/>
    <w:rsid w:val="00361FD6"/>
    <w:rsid w:val="003661C2"/>
    <w:rsid w:val="0036653C"/>
    <w:rsid w:val="0037001F"/>
    <w:rsid w:val="00370A20"/>
    <w:rsid w:val="00371774"/>
    <w:rsid w:val="003718EB"/>
    <w:rsid w:val="00374DD9"/>
    <w:rsid w:val="00383C30"/>
    <w:rsid w:val="0038469C"/>
    <w:rsid w:val="003852B6"/>
    <w:rsid w:val="00385A11"/>
    <w:rsid w:val="00385D88"/>
    <w:rsid w:val="0038739E"/>
    <w:rsid w:val="003905D5"/>
    <w:rsid w:val="003911DA"/>
    <w:rsid w:val="0039168B"/>
    <w:rsid w:val="003916BE"/>
    <w:rsid w:val="00393F98"/>
    <w:rsid w:val="00397F69"/>
    <w:rsid w:val="003A1B96"/>
    <w:rsid w:val="003B2B41"/>
    <w:rsid w:val="003B3B1B"/>
    <w:rsid w:val="003B3C86"/>
    <w:rsid w:val="003B40DC"/>
    <w:rsid w:val="003B4234"/>
    <w:rsid w:val="003B57DD"/>
    <w:rsid w:val="003C05FE"/>
    <w:rsid w:val="003C1917"/>
    <w:rsid w:val="003C25FC"/>
    <w:rsid w:val="003C4249"/>
    <w:rsid w:val="003D09EE"/>
    <w:rsid w:val="003D24B0"/>
    <w:rsid w:val="003D27A0"/>
    <w:rsid w:val="003D348A"/>
    <w:rsid w:val="003D4534"/>
    <w:rsid w:val="003E3B67"/>
    <w:rsid w:val="003E4F68"/>
    <w:rsid w:val="003E5F71"/>
    <w:rsid w:val="003E6350"/>
    <w:rsid w:val="003F30E5"/>
    <w:rsid w:val="003F50D4"/>
    <w:rsid w:val="003F60CF"/>
    <w:rsid w:val="003F751E"/>
    <w:rsid w:val="00402573"/>
    <w:rsid w:val="004071DF"/>
    <w:rsid w:val="004076FA"/>
    <w:rsid w:val="00410939"/>
    <w:rsid w:val="00411DB7"/>
    <w:rsid w:val="00414D36"/>
    <w:rsid w:val="00414E52"/>
    <w:rsid w:val="004167CB"/>
    <w:rsid w:val="004171A2"/>
    <w:rsid w:val="00421A36"/>
    <w:rsid w:val="00421AFC"/>
    <w:rsid w:val="00422529"/>
    <w:rsid w:val="00422B7E"/>
    <w:rsid w:val="00423C6E"/>
    <w:rsid w:val="00423C9C"/>
    <w:rsid w:val="00425BE7"/>
    <w:rsid w:val="00431789"/>
    <w:rsid w:val="0043183D"/>
    <w:rsid w:val="00432F07"/>
    <w:rsid w:val="004336A8"/>
    <w:rsid w:val="0043420A"/>
    <w:rsid w:val="0043775C"/>
    <w:rsid w:val="004405B7"/>
    <w:rsid w:val="004416CD"/>
    <w:rsid w:val="00443CA8"/>
    <w:rsid w:val="00445AB3"/>
    <w:rsid w:val="00445B3A"/>
    <w:rsid w:val="004468FC"/>
    <w:rsid w:val="00447771"/>
    <w:rsid w:val="004500E0"/>
    <w:rsid w:val="00451389"/>
    <w:rsid w:val="00453EB8"/>
    <w:rsid w:val="00457704"/>
    <w:rsid w:val="00461211"/>
    <w:rsid w:val="00461E94"/>
    <w:rsid w:val="0046301D"/>
    <w:rsid w:val="00464892"/>
    <w:rsid w:val="00466493"/>
    <w:rsid w:val="00470F0D"/>
    <w:rsid w:val="00472DAE"/>
    <w:rsid w:val="004741F7"/>
    <w:rsid w:val="004751C8"/>
    <w:rsid w:val="004757F5"/>
    <w:rsid w:val="00477AAF"/>
    <w:rsid w:val="00481116"/>
    <w:rsid w:val="00481B00"/>
    <w:rsid w:val="00482DDA"/>
    <w:rsid w:val="00494161"/>
    <w:rsid w:val="00494738"/>
    <w:rsid w:val="004949CB"/>
    <w:rsid w:val="00495A42"/>
    <w:rsid w:val="004A0E18"/>
    <w:rsid w:val="004A2AF7"/>
    <w:rsid w:val="004A3836"/>
    <w:rsid w:val="004A4BE1"/>
    <w:rsid w:val="004B0F5D"/>
    <w:rsid w:val="004B2E31"/>
    <w:rsid w:val="004B3696"/>
    <w:rsid w:val="004B4D97"/>
    <w:rsid w:val="004C3A98"/>
    <w:rsid w:val="004C4661"/>
    <w:rsid w:val="004C59A5"/>
    <w:rsid w:val="004C5DE8"/>
    <w:rsid w:val="004C60AF"/>
    <w:rsid w:val="004C7BCD"/>
    <w:rsid w:val="004D5143"/>
    <w:rsid w:val="004D7F11"/>
    <w:rsid w:val="004E0BDF"/>
    <w:rsid w:val="004E6917"/>
    <w:rsid w:val="004E755D"/>
    <w:rsid w:val="004F0B1E"/>
    <w:rsid w:val="004F4C12"/>
    <w:rsid w:val="004F5E88"/>
    <w:rsid w:val="004F7390"/>
    <w:rsid w:val="00500652"/>
    <w:rsid w:val="0050214F"/>
    <w:rsid w:val="0050587E"/>
    <w:rsid w:val="00511CCB"/>
    <w:rsid w:val="00513A63"/>
    <w:rsid w:val="00520E11"/>
    <w:rsid w:val="00522C9A"/>
    <w:rsid w:val="00523A0A"/>
    <w:rsid w:val="005258BA"/>
    <w:rsid w:val="00526BED"/>
    <w:rsid w:val="00526CB5"/>
    <w:rsid w:val="00526F2A"/>
    <w:rsid w:val="00531D85"/>
    <w:rsid w:val="0053260E"/>
    <w:rsid w:val="00536113"/>
    <w:rsid w:val="00540A5C"/>
    <w:rsid w:val="00543104"/>
    <w:rsid w:val="00545CEF"/>
    <w:rsid w:val="00550749"/>
    <w:rsid w:val="005534F1"/>
    <w:rsid w:val="00553C8C"/>
    <w:rsid w:val="00553E3D"/>
    <w:rsid w:val="0055467D"/>
    <w:rsid w:val="00554DBE"/>
    <w:rsid w:val="005574D0"/>
    <w:rsid w:val="00557BD8"/>
    <w:rsid w:val="00560051"/>
    <w:rsid w:val="00560CC0"/>
    <w:rsid w:val="00561200"/>
    <w:rsid w:val="00562F79"/>
    <w:rsid w:val="005641E9"/>
    <w:rsid w:val="00564B69"/>
    <w:rsid w:val="005725D5"/>
    <w:rsid w:val="00574136"/>
    <w:rsid w:val="00574D4D"/>
    <w:rsid w:val="00575432"/>
    <w:rsid w:val="00577FBC"/>
    <w:rsid w:val="00581AB7"/>
    <w:rsid w:val="005825E2"/>
    <w:rsid w:val="005838E4"/>
    <w:rsid w:val="00585C05"/>
    <w:rsid w:val="00590FF8"/>
    <w:rsid w:val="00593058"/>
    <w:rsid w:val="005946F6"/>
    <w:rsid w:val="00594826"/>
    <w:rsid w:val="005A00D8"/>
    <w:rsid w:val="005A138A"/>
    <w:rsid w:val="005A1E39"/>
    <w:rsid w:val="005A5AC4"/>
    <w:rsid w:val="005A610C"/>
    <w:rsid w:val="005A653A"/>
    <w:rsid w:val="005A69AE"/>
    <w:rsid w:val="005A6B34"/>
    <w:rsid w:val="005A6E3A"/>
    <w:rsid w:val="005A745D"/>
    <w:rsid w:val="005B0DC7"/>
    <w:rsid w:val="005B1074"/>
    <w:rsid w:val="005B1415"/>
    <w:rsid w:val="005B19D0"/>
    <w:rsid w:val="005B21B9"/>
    <w:rsid w:val="005B3186"/>
    <w:rsid w:val="005B4C4D"/>
    <w:rsid w:val="005B4EEA"/>
    <w:rsid w:val="005B52E5"/>
    <w:rsid w:val="005C1089"/>
    <w:rsid w:val="005C4AD9"/>
    <w:rsid w:val="005C72DD"/>
    <w:rsid w:val="005D1409"/>
    <w:rsid w:val="005D7E2C"/>
    <w:rsid w:val="005E095A"/>
    <w:rsid w:val="005E305E"/>
    <w:rsid w:val="005E6928"/>
    <w:rsid w:val="005E7401"/>
    <w:rsid w:val="005F094C"/>
    <w:rsid w:val="005F2D9D"/>
    <w:rsid w:val="005F332C"/>
    <w:rsid w:val="005F42B7"/>
    <w:rsid w:val="005F7EF3"/>
    <w:rsid w:val="00601D22"/>
    <w:rsid w:val="00604109"/>
    <w:rsid w:val="00610E4D"/>
    <w:rsid w:val="0061142E"/>
    <w:rsid w:val="00611704"/>
    <w:rsid w:val="00611D35"/>
    <w:rsid w:val="0061298F"/>
    <w:rsid w:val="0061442C"/>
    <w:rsid w:val="00614A10"/>
    <w:rsid w:val="00614F78"/>
    <w:rsid w:val="00615F93"/>
    <w:rsid w:val="00616435"/>
    <w:rsid w:val="00616E81"/>
    <w:rsid w:val="006206CD"/>
    <w:rsid w:val="00621167"/>
    <w:rsid w:val="00621CFA"/>
    <w:rsid w:val="00621F30"/>
    <w:rsid w:val="00623BAF"/>
    <w:rsid w:val="006251CB"/>
    <w:rsid w:val="00625951"/>
    <w:rsid w:val="00626D1C"/>
    <w:rsid w:val="00626DBF"/>
    <w:rsid w:val="0063131D"/>
    <w:rsid w:val="00631455"/>
    <w:rsid w:val="00634A36"/>
    <w:rsid w:val="00637999"/>
    <w:rsid w:val="00643490"/>
    <w:rsid w:val="006434B6"/>
    <w:rsid w:val="00644AED"/>
    <w:rsid w:val="00644F72"/>
    <w:rsid w:val="006458CA"/>
    <w:rsid w:val="00647FEF"/>
    <w:rsid w:val="00650111"/>
    <w:rsid w:val="00650D67"/>
    <w:rsid w:val="006512CF"/>
    <w:rsid w:val="00651D78"/>
    <w:rsid w:val="00652C47"/>
    <w:rsid w:val="00653DF5"/>
    <w:rsid w:val="00655970"/>
    <w:rsid w:val="00656632"/>
    <w:rsid w:val="00656BF0"/>
    <w:rsid w:val="00657316"/>
    <w:rsid w:val="00660FF1"/>
    <w:rsid w:val="00661313"/>
    <w:rsid w:val="00662196"/>
    <w:rsid w:val="00663131"/>
    <w:rsid w:val="00663C87"/>
    <w:rsid w:val="0067207B"/>
    <w:rsid w:val="006733B1"/>
    <w:rsid w:val="006804D4"/>
    <w:rsid w:val="00680CA8"/>
    <w:rsid w:val="006832CF"/>
    <w:rsid w:val="00687BB0"/>
    <w:rsid w:val="0069166A"/>
    <w:rsid w:val="006964E0"/>
    <w:rsid w:val="00696D58"/>
    <w:rsid w:val="006A2514"/>
    <w:rsid w:val="006A3404"/>
    <w:rsid w:val="006A4DA6"/>
    <w:rsid w:val="006A4E10"/>
    <w:rsid w:val="006A783B"/>
    <w:rsid w:val="006B03F0"/>
    <w:rsid w:val="006B1199"/>
    <w:rsid w:val="006B49C2"/>
    <w:rsid w:val="006B5598"/>
    <w:rsid w:val="006B5D6D"/>
    <w:rsid w:val="006B66AC"/>
    <w:rsid w:val="006B67D4"/>
    <w:rsid w:val="006C00EF"/>
    <w:rsid w:val="006C2400"/>
    <w:rsid w:val="006C4E1D"/>
    <w:rsid w:val="006C567B"/>
    <w:rsid w:val="006C6759"/>
    <w:rsid w:val="006D1228"/>
    <w:rsid w:val="006D27F0"/>
    <w:rsid w:val="006D65C2"/>
    <w:rsid w:val="006D6C0F"/>
    <w:rsid w:val="006E4592"/>
    <w:rsid w:val="006E577E"/>
    <w:rsid w:val="006F0211"/>
    <w:rsid w:val="006F0222"/>
    <w:rsid w:val="006F13CA"/>
    <w:rsid w:val="006F1FC3"/>
    <w:rsid w:val="006F284F"/>
    <w:rsid w:val="006F2EBD"/>
    <w:rsid w:val="006F709D"/>
    <w:rsid w:val="006F7291"/>
    <w:rsid w:val="006F7DC2"/>
    <w:rsid w:val="0070024E"/>
    <w:rsid w:val="00700533"/>
    <w:rsid w:val="00700645"/>
    <w:rsid w:val="00704AE2"/>
    <w:rsid w:val="00705E7B"/>
    <w:rsid w:val="00706032"/>
    <w:rsid w:val="007108E3"/>
    <w:rsid w:val="00711273"/>
    <w:rsid w:val="00711C14"/>
    <w:rsid w:val="007132D2"/>
    <w:rsid w:val="00714207"/>
    <w:rsid w:val="00714954"/>
    <w:rsid w:val="00716840"/>
    <w:rsid w:val="00716FBB"/>
    <w:rsid w:val="00720AEB"/>
    <w:rsid w:val="00722656"/>
    <w:rsid w:val="00722685"/>
    <w:rsid w:val="007234E5"/>
    <w:rsid w:val="0072390C"/>
    <w:rsid w:val="00724A7F"/>
    <w:rsid w:val="00725095"/>
    <w:rsid w:val="007250B0"/>
    <w:rsid w:val="00730AA5"/>
    <w:rsid w:val="00732AC4"/>
    <w:rsid w:val="00732FFC"/>
    <w:rsid w:val="0073338C"/>
    <w:rsid w:val="007345E2"/>
    <w:rsid w:val="00734C26"/>
    <w:rsid w:val="00735BD9"/>
    <w:rsid w:val="00741969"/>
    <w:rsid w:val="00741FEB"/>
    <w:rsid w:val="00742445"/>
    <w:rsid w:val="007424D7"/>
    <w:rsid w:val="007445B1"/>
    <w:rsid w:val="00745314"/>
    <w:rsid w:val="007503AA"/>
    <w:rsid w:val="00751A92"/>
    <w:rsid w:val="007550AB"/>
    <w:rsid w:val="00757D17"/>
    <w:rsid w:val="00761C05"/>
    <w:rsid w:val="00762E64"/>
    <w:rsid w:val="00764AB8"/>
    <w:rsid w:val="00770748"/>
    <w:rsid w:val="007738B7"/>
    <w:rsid w:val="00774CEC"/>
    <w:rsid w:val="0077569E"/>
    <w:rsid w:val="00775989"/>
    <w:rsid w:val="00776959"/>
    <w:rsid w:val="00781645"/>
    <w:rsid w:val="00781E9A"/>
    <w:rsid w:val="007835A9"/>
    <w:rsid w:val="00783CD2"/>
    <w:rsid w:val="00783FB1"/>
    <w:rsid w:val="0078685B"/>
    <w:rsid w:val="007868E9"/>
    <w:rsid w:val="00786B09"/>
    <w:rsid w:val="00790BC8"/>
    <w:rsid w:val="00793219"/>
    <w:rsid w:val="00794317"/>
    <w:rsid w:val="00795DEC"/>
    <w:rsid w:val="00797AA8"/>
    <w:rsid w:val="00797C06"/>
    <w:rsid w:val="007A1861"/>
    <w:rsid w:val="007A29D3"/>
    <w:rsid w:val="007A3663"/>
    <w:rsid w:val="007A4284"/>
    <w:rsid w:val="007A69EA"/>
    <w:rsid w:val="007A6EB9"/>
    <w:rsid w:val="007A788A"/>
    <w:rsid w:val="007B0E26"/>
    <w:rsid w:val="007B2102"/>
    <w:rsid w:val="007C2929"/>
    <w:rsid w:val="007C3F8C"/>
    <w:rsid w:val="007C4F7B"/>
    <w:rsid w:val="007C55B6"/>
    <w:rsid w:val="007C57BF"/>
    <w:rsid w:val="007C6BC4"/>
    <w:rsid w:val="007C76FD"/>
    <w:rsid w:val="007D2E05"/>
    <w:rsid w:val="007D39BA"/>
    <w:rsid w:val="007D77DF"/>
    <w:rsid w:val="007E0ABF"/>
    <w:rsid w:val="007E157C"/>
    <w:rsid w:val="007E4226"/>
    <w:rsid w:val="007E573B"/>
    <w:rsid w:val="007E5C04"/>
    <w:rsid w:val="007E623F"/>
    <w:rsid w:val="007E7D3E"/>
    <w:rsid w:val="007E7F16"/>
    <w:rsid w:val="007F0DDE"/>
    <w:rsid w:val="007F114F"/>
    <w:rsid w:val="007F317A"/>
    <w:rsid w:val="007F44EA"/>
    <w:rsid w:val="007F45E0"/>
    <w:rsid w:val="007F4D96"/>
    <w:rsid w:val="007F60DD"/>
    <w:rsid w:val="007F78AA"/>
    <w:rsid w:val="008001E1"/>
    <w:rsid w:val="0080056D"/>
    <w:rsid w:val="008021CA"/>
    <w:rsid w:val="00802F83"/>
    <w:rsid w:val="00802FAD"/>
    <w:rsid w:val="008054EF"/>
    <w:rsid w:val="0080590C"/>
    <w:rsid w:val="00805975"/>
    <w:rsid w:val="00806118"/>
    <w:rsid w:val="0080625B"/>
    <w:rsid w:val="008064A0"/>
    <w:rsid w:val="00807CDA"/>
    <w:rsid w:val="00811290"/>
    <w:rsid w:val="00813449"/>
    <w:rsid w:val="008160C0"/>
    <w:rsid w:val="008164FC"/>
    <w:rsid w:val="00817294"/>
    <w:rsid w:val="00822CCE"/>
    <w:rsid w:val="0082508B"/>
    <w:rsid w:val="00830D0A"/>
    <w:rsid w:val="00830FA9"/>
    <w:rsid w:val="008334B5"/>
    <w:rsid w:val="00833989"/>
    <w:rsid w:val="00833B3B"/>
    <w:rsid w:val="008342C0"/>
    <w:rsid w:val="00837FDA"/>
    <w:rsid w:val="00840176"/>
    <w:rsid w:val="00842C4B"/>
    <w:rsid w:val="00842E87"/>
    <w:rsid w:val="0085034A"/>
    <w:rsid w:val="00853660"/>
    <w:rsid w:val="008540B4"/>
    <w:rsid w:val="00854502"/>
    <w:rsid w:val="008549BB"/>
    <w:rsid w:val="00860268"/>
    <w:rsid w:val="00862FB6"/>
    <w:rsid w:val="0086342F"/>
    <w:rsid w:val="00865700"/>
    <w:rsid w:val="00865723"/>
    <w:rsid w:val="00866C6A"/>
    <w:rsid w:val="00866FE5"/>
    <w:rsid w:val="008671A6"/>
    <w:rsid w:val="0087371A"/>
    <w:rsid w:val="008753A5"/>
    <w:rsid w:val="0087594B"/>
    <w:rsid w:val="0087711D"/>
    <w:rsid w:val="00877BB2"/>
    <w:rsid w:val="00884EB1"/>
    <w:rsid w:val="00884F3E"/>
    <w:rsid w:val="00886E16"/>
    <w:rsid w:val="0089003A"/>
    <w:rsid w:val="00890448"/>
    <w:rsid w:val="00893737"/>
    <w:rsid w:val="00894A76"/>
    <w:rsid w:val="00895127"/>
    <w:rsid w:val="0089567A"/>
    <w:rsid w:val="00896A2A"/>
    <w:rsid w:val="008A099C"/>
    <w:rsid w:val="008A2C4D"/>
    <w:rsid w:val="008A3AFE"/>
    <w:rsid w:val="008A4A7B"/>
    <w:rsid w:val="008B0DC7"/>
    <w:rsid w:val="008B4392"/>
    <w:rsid w:val="008B70EC"/>
    <w:rsid w:val="008B7DD9"/>
    <w:rsid w:val="008C0C00"/>
    <w:rsid w:val="008C2882"/>
    <w:rsid w:val="008C5CF9"/>
    <w:rsid w:val="008C6A02"/>
    <w:rsid w:val="008C7B58"/>
    <w:rsid w:val="008D021D"/>
    <w:rsid w:val="008D02B8"/>
    <w:rsid w:val="008D1A9F"/>
    <w:rsid w:val="008D2F9C"/>
    <w:rsid w:val="008D6DB7"/>
    <w:rsid w:val="008E093E"/>
    <w:rsid w:val="008E2682"/>
    <w:rsid w:val="008E6802"/>
    <w:rsid w:val="008F109F"/>
    <w:rsid w:val="008F1709"/>
    <w:rsid w:val="008F563F"/>
    <w:rsid w:val="0090143E"/>
    <w:rsid w:val="00902F35"/>
    <w:rsid w:val="009039CA"/>
    <w:rsid w:val="00903AC4"/>
    <w:rsid w:val="009064F8"/>
    <w:rsid w:val="00907DAA"/>
    <w:rsid w:val="009115E4"/>
    <w:rsid w:val="0091607C"/>
    <w:rsid w:val="009207AA"/>
    <w:rsid w:val="009215AD"/>
    <w:rsid w:val="00921AA2"/>
    <w:rsid w:val="00923314"/>
    <w:rsid w:val="00923B47"/>
    <w:rsid w:val="00925F27"/>
    <w:rsid w:val="009360D5"/>
    <w:rsid w:val="00937B9E"/>
    <w:rsid w:val="0094050E"/>
    <w:rsid w:val="00941650"/>
    <w:rsid w:val="00941BA6"/>
    <w:rsid w:val="00942E77"/>
    <w:rsid w:val="009445DF"/>
    <w:rsid w:val="009447F4"/>
    <w:rsid w:val="009460EC"/>
    <w:rsid w:val="009551F5"/>
    <w:rsid w:val="00955E8C"/>
    <w:rsid w:val="009567AE"/>
    <w:rsid w:val="00961BA8"/>
    <w:rsid w:val="00965072"/>
    <w:rsid w:val="009706E1"/>
    <w:rsid w:val="009713C2"/>
    <w:rsid w:val="00971708"/>
    <w:rsid w:val="00971F84"/>
    <w:rsid w:val="00974843"/>
    <w:rsid w:val="0098066C"/>
    <w:rsid w:val="00982D42"/>
    <w:rsid w:val="00984334"/>
    <w:rsid w:val="0099251F"/>
    <w:rsid w:val="009934F8"/>
    <w:rsid w:val="009947AB"/>
    <w:rsid w:val="00994C80"/>
    <w:rsid w:val="00995C11"/>
    <w:rsid w:val="009A197A"/>
    <w:rsid w:val="009A4875"/>
    <w:rsid w:val="009A4B05"/>
    <w:rsid w:val="009A71D4"/>
    <w:rsid w:val="009A7497"/>
    <w:rsid w:val="009B031D"/>
    <w:rsid w:val="009B25C6"/>
    <w:rsid w:val="009B3433"/>
    <w:rsid w:val="009B4A77"/>
    <w:rsid w:val="009C1DEB"/>
    <w:rsid w:val="009C6185"/>
    <w:rsid w:val="009C639F"/>
    <w:rsid w:val="009C73F9"/>
    <w:rsid w:val="009C7D15"/>
    <w:rsid w:val="009D1E49"/>
    <w:rsid w:val="009D4429"/>
    <w:rsid w:val="009D4E0E"/>
    <w:rsid w:val="009D6590"/>
    <w:rsid w:val="009E46C4"/>
    <w:rsid w:val="009E5938"/>
    <w:rsid w:val="009E5C22"/>
    <w:rsid w:val="009E717F"/>
    <w:rsid w:val="009F0AA7"/>
    <w:rsid w:val="009F0E75"/>
    <w:rsid w:val="009F140C"/>
    <w:rsid w:val="009F4515"/>
    <w:rsid w:val="009F4CD9"/>
    <w:rsid w:val="009F67DF"/>
    <w:rsid w:val="009F6BE9"/>
    <w:rsid w:val="009F713C"/>
    <w:rsid w:val="009F7AF6"/>
    <w:rsid w:val="00A005A2"/>
    <w:rsid w:val="00A0378F"/>
    <w:rsid w:val="00A061B1"/>
    <w:rsid w:val="00A105CB"/>
    <w:rsid w:val="00A11074"/>
    <w:rsid w:val="00A1176D"/>
    <w:rsid w:val="00A11864"/>
    <w:rsid w:val="00A11DC3"/>
    <w:rsid w:val="00A1384F"/>
    <w:rsid w:val="00A2110C"/>
    <w:rsid w:val="00A23D42"/>
    <w:rsid w:val="00A2705E"/>
    <w:rsid w:val="00A307E1"/>
    <w:rsid w:val="00A34978"/>
    <w:rsid w:val="00A37587"/>
    <w:rsid w:val="00A377B4"/>
    <w:rsid w:val="00A42F7D"/>
    <w:rsid w:val="00A45860"/>
    <w:rsid w:val="00A46F0C"/>
    <w:rsid w:val="00A47751"/>
    <w:rsid w:val="00A51DB8"/>
    <w:rsid w:val="00A5322D"/>
    <w:rsid w:val="00A540AE"/>
    <w:rsid w:val="00A5603A"/>
    <w:rsid w:val="00A5704C"/>
    <w:rsid w:val="00A6054F"/>
    <w:rsid w:val="00A611A4"/>
    <w:rsid w:val="00A651EF"/>
    <w:rsid w:val="00A654AB"/>
    <w:rsid w:val="00A6565B"/>
    <w:rsid w:val="00A6591D"/>
    <w:rsid w:val="00A66E03"/>
    <w:rsid w:val="00A70F07"/>
    <w:rsid w:val="00A70F7E"/>
    <w:rsid w:val="00A71392"/>
    <w:rsid w:val="00A71727"/>
    <w:rsid w:val="00A757AD"/>
    <w:rsid w:val="00A776B3"/>
    <w:rsid w:val="00A77F3C"/>
    <w:rsid w:val="00A82629"/>
    <w:rsid w:val="00A82801"/>
    <w:rsid w:val="00A846BA"/>
    <w:rsid w:val="00A85365"/>
    <w:rsid w:val="00A86CB3"/>
    <w:rsid w:val="00A873B1"/>
    <w:rsid w:val="00A8744D"/>
    <w:rsid w:val="00A9045A"/>
    <w:rsid w:val="00A92BD1"/>
    <w:rsid w:val="00A92E21"/>
    <w:rsid w:val="00A97D4B"/>
    <w:rsid w:val="00A97F3C"/>
    <w:rsid w:val="00AA2607"/>
    <w:rsid w:val="00AA2B0E"/>
    <w:rsid w:val="00AA40AA"/>
    <w:rsid w:val="00AA6EC0"/>
    <w:rsid w:val="00AA6F29"/>
    <w:rsid w:val="00AA6F8B"/>
    <w:rsid w:val="00AB16FB"/>
    <w:rsid w:val="00AB4671"/>
    <w:rsid w:val="00AB690A"/>
    <w:rsid w:val="00AB7C04"/>
    <w:rsid w:val="00AC08D2"/>
    <w:rsid w:val="00AC2D5E"/>
    <w:rsid w:val="00AC2F2C"/>
    <w:rsid w:val="00AC51BC"/>
    <w:rsid w:val="00AC544F"/>
    <w:rsid w:val="00AC57F8"/>
    <w:rsid w:val="00AC70D3"/>
    <w:rsid w:val="00AD0DF9"/>
    <w:rsid w:val="00AD1061"/>
    <w:rsid w:val="00AD2552"/>
    <w:rsid w:val="00AD49D9"/>
    <w:rsid w:val="00AD5281"/>
    <w:rsid w:val="00AD5FD7"/>
    <w:rsid w:val="00AE286D"/>
    <w:rsid w:val="00AE3CC3"/>
    <w:rsid w:val="00AF05C4"/>
    <w:rsid w:val="00AF0CC8"/>
    <w:rsid w:val="00AF1D09"/>
    <w:rsid w:val="00AF330F"/>
    <w:rsid w:val="00AF4191"/>
    <w:rsid w:val="00AF7BC1"/>
    <w:rsid w:val="00B000A9"/>
    <w:rsid w:val="00B005CD"/>
    <w:rsid w:val="00B00675"/>
    <w:rsid w:val="00B009A9"/>
    <w:rsid w:val="00B00C98"/>
    <w:rsid w:val="00B00D04"/>
    <w:rsid w:val="00B014B6"/>
    <w:rsid w:val="00B02D56"/>
    <w:rsid w:val="00B04DEF"/>
    <w:rsid w:val="00B074B0"/>
    <w:rsid w:val="00B075E7"/>
    <w:rsid w:val="00B101DF"/>
    <w:rsid w:val="00B10998"/>
    <w:rsid w:val="00B120BF"/>
    <w:rsid w:val="00B16BC8"/>
    <w:rsid w:val="00B220EF"/>
    <w:rsid w:val="00B301CB"/>
    <w:rsid w:val="00B315FD"/>
    <w:rsid w:val="00B330D7"/>
    <w:rsid w:val="00B35E27"/>
    <w:rsid w:val="00B408B3"/>
    <w:rsid w:val="00B4091E"/>
    <w:rsid w:val="00B41C0C"/>
    <w:rsid w:val="00B43944"/>
    <w:rsid w:val="00B4716B"/>
    <w:rsid w:val="00B47404"/>
    <w:rsid w:val="00B502E9"/>
    <w:rsid w:val="00B50538"/>
    <w:rsid w:val="00B5172C"/>
    <w:rsid w:val="00B541C1"/>
    <w:rsid w:val="00B54361"/>
    <w:rsid w:val="00B54AF7"/>
    <w:rsid w:val="00B55C9C"/>
    <w:rsid w:val="00B55DAE"/>
    <w:rsid w:val="00B55E12"/>
    <w:rsid w:val="00B57724"/>
    <w:rsid w:val="00B610F7"/>
    <w:rsid w:val="00B64258"/>
    <w:rsid w:val="00B6727A"/>
    <w:rsid w:val="00B67F6F"/>
    <w:rsid w:val="00B70D0B"/>
    <w:rsid w:val="00B71E1A"/>
    <w:rsid w:val="00B726BD"/>
    <w:rsid w:val="00B726EC"/>
    <w:rsid w:val="00B73530"/>
    <w:rsid w:val="00B73797"/>
    <w:rsid w:val="00B73E37"/>
    <w:rsid w:val="00B750D9"/>
    <w:rsid w:val="00B75A89"/>
    <w:rsid w:val="00B773E0"/>
    <w:rsid w:val="00B77BDF"/>
    <w:rsid w:val="00B8228B"/>
    <w:rsid w:val="00B83BA4"/>
    <w:rsid w:val="00B9108B"/>
    <w:rsid w:val="00B91392"/>
    <w:rsid w:val="00B93E00"/>
    <w:rsid w:val="00B9463D"/>
    <w:rsid w:val="00B94918"/>
    <w:rsid w:val="00BA179C"/>
    <w:rsid w:val="00BA1CB9"/>
    <w:rsid w:val="00BA3FCC"/>
    <w:rsid w:val="00BA4108"/>
    <w:rsid w:val="00BA5A9F"/>
    <w:rsid w:val="00BB00EE"/>
    <w:rsid w:val="00BB0F47"/>
    <w:rsid w:val="00BB11BB"/>
    <w:rsid w:val="00BB1F46"/>
    <w:rsid w:val="00BB34C4"/>
    <w:rsid w:val="00BC1278"/>
    <w:rsid w:val="00BC3EE0"/>
    <w:rsid w:val="00BC4EE9"/>
    <w:rsid w:val="00BC6938"/>
    <w:rsid w:val="00BC75E0"/>
    <w:rsid w:val="00BD0267"/>
    <w:rsid w:val="00BD193A"/>
    <w:rsid w:val="00BD1D97"/>
    <w:rsid w:val="00BD3657"/>
    <w:rsid w:val="00BD4C28"/>
    <w:rsid w:val="00BD7F30"/>
    <w:rsid w:val="00BE06D2"/>
    <w:rsid w:val="00BE154E"/>
    <w:rsid w:val="00BE2032"/>
    <w:rsid w:val="00BE3C4D"/>
    <w:rsid w:val="00BE46BF"/>
    <w:rsid w:val="00BE6DD8"/>
    <w:rsid w:val="00BE711B"/>
    <w:rsid w:val="00BF330B"/>
    <w:rsid w:val="00BF351A"/>
    <w:rsid w:val="00C03C29"/>
    <w:rsid w:val="00C047D6"/>
    <w:rsid w:val="00C06422"/>
    <w:rsid w:val="00C0786D"/>
    <w:rsid w:val="00C11630"/>
    <w:rsid w:val="00C1346A"/>
    <w:rsid w:val="00C14720"/>
    <w:rsid w:val="00C14FBD"/>
    <w:rsid w:val="00C154F7"/>
    <w:rsid w:val="00C155D1"/>
    <w:rsid w:val="00C2218F"/>
    <w:rsid w:val="00C23936"/>
    <w:rsid w:val="00C23C06"/>
    <w:rsid w:val="00C25417"/>
    <w:rsid w:val="00C27310"/>
    <w:rsid w:val="00C27E23"/>
    <w:rsid w:val="00C330DE"/>
    <w:rsid w:val="00C33A7D"/>
    <w:rsid w:val="00C3434E"/>
    <w:rsid w:val="00C36B46"/>
    <w:rsid w:val="00C36C9E"/>
    <w:rsid w:val="00C4014F"/>
    <w:rsid w:val="00C4113B"/>
    <w:rsid w:val="00C4141B"/>
    <w:rsid w:val="00C41C7C"/>
    <w:rsid w:val="00C42446"/>
    <w:rsid w:val="00C42501"/>
    <w:rsid w:val="00C446CD"/>
    <w:rsid w:val="00C457D6"/>
    <w:rsid w:val="00C45D5B"/>
    <w:rsid w:val="00C465DB"/>
    <w:rsid w:val="00C50576"/>
    <w:rsid w:val="00C522CE"/>
    <w:rsid w:val="00C527D8"/>
    <w:rsid w:val="00C53356"/>
    <w:rsid w:val="00C547A5"/>
    <w:rsid w:val="00C5530F"/>
    <w:rsid w:val="00C6080F"/>
    <w:rsid w:val="00C615F6"/>
    <w:rsid w:val="00C6162E"/>
    <w:rsid w:val="00C6372D"/>
    <w:rsid w:val="00C63910"/>
    <w:rsid w:val="00C65E9B"/>
    <w:rsid w:val="00C662F1"/>
    <w:rsid w:val="00C678A3"/>
    <w:rsid w:val="00C7164B"/>
    <w:rsid w:val="00C71FBA"/>
    <w:rsid w:val="00C74412"/>
    <w:rsid w:val="00C753AA"/>
    <w:rsid w:val="00C765DE"/>
    <w:rsid w:val="00C77195"/>
    <w:rsid w:val="00C778F9"/>
    <w:rsid w:val="00C80691"/>
    <w:rsid w:val="00C80983"/>
    <w:rsid w:val="00C83488"/>
    <w:rsid w:val="00C86702"/>
    <w:rsid w:val="00C86999"/>
    <w:rsid w:val="00C871BE"/>
    <w:rsid w:val="00C9098D"/>
    <w:rsid w:val="00C90ACB"/>
    <w:rsid w:val="00C90D6C"/>
    <w:rsid w:val="00C93ADB"/>
    <w:rsid w:val="00C949F4"/>
    <w:rsid w:val="00C954A2"/>
    <w:rsid w:val="00C966E4"/>
    <w:rsid w:val="00C973D6"/>
    <w:rsid w:val="00CA05F2"/>
    <w:rsid w:val="00CA1448"/>
    <w:rsid w:val="00CA282E"/>
    <w:rsid w:val="00CA2836"/>
    <w:rsid w:val="00CA51A3"/>
    <w:rsid w:val="00CB2078"/>
    <w:rsid w:val="00CB44C0"/>
    <w:rsid w:val="00CB5E6F"/>
    <w:rsid w:val="00CB7831"/>
    <w:rsid w:val="00CC0F82"/>
    <w:rsid w:val="00CC16BB"/>
    <w:rsid w:val="00CC20B4"/>
    <w:rsid w:val="00CC2190"/>
    <w:rsid w:val="00CC3277"/>
    <w:rsid w:val="00CC381E"/>
    <w:rsid w:val="00CC4C1E"/>
    <w:rsid w:val="00CC4D86"/>
    <w:rsid w:val="00CC5891"/>
    <w:rsid w:val="00CC5F03"/>
    <w:rsid w:val="00CC5F37"/>
    <w:rsid w:val="00CC637D"/>
    <w:rsid w:val="00CC68BC"/>
    <w:rsid w:val="00CC7002"/>
    <w:rsid w:val="00CC7A16"/>
    <w:rsid w:val="00CD1D14"/>
    <w:rsid w:val="00CD2E36"/>
    <w:rsid w:val="00CD548B"/>
    <w:rsid w:val="00CD6878"/>
    <w:rsid w:val="00CE25D6"/>
    <w:rsid w:val="00CE349E"/>
    <w:rsid w:val="00CE5386"/>
    <w:rsid w:val="00CE5717"/>
    <w:rsid w:val="00CE7072"/>
    <w:rsid w:val="00CE787F"/>
    <w:rsid w:val="00CF054A"/>
    <w:rsid w:val="00CF0894"/>
    <w:rsid w:val="00CF0955"/>
    <w:rsid w:val="00CF185E"/>
    <w:rsid w:val="00CF1A13"/>
    <w:rsid w:val="00CF35D9"/>
    <w:rsid w:val="00CF75EE"/>
    <w:rsid w:val="00CF7E34"/>
    <w:rsid w:val="00D00977"/>
    <w:rsid w:val="00D04516"/>
    <w:rsid w:val="00D06FAB"/>
    <w:rsid w:val="00D070F2"/>
    <w:rsid w:val="00D07125"/>
    <w:rsid w:val="00D109BC"/>
    <w:rsid w:val="00D110E2"/>
    <w:rsid w:val="00D13183"/>
    <w:rsid w:val="00D14C63"/>
    <w:rsid w:val="00D15CA7"/>
    <w:rsid w:val="00D215F7"/>
    <w:rsid w:val="00D21F06"/>
    <w:rsid w:val="00D22E62"/>
    <w:rsid w:val="00D25B7C"/>
    <w:rsid w:val="00D26A4E"/>
    <w:rsid w:val="00D300BE"/>
    <w:rsid w:val="00D3044F"/>
    <w:rsid w:val="00D307BE"/>
    <w:rsid w:val="00D30D1F"/>
    <w:rsid w:val="00D30F8C"/>
    <w:rsid w:val="00D31FEA"/>
    <w:rsid w:val="00D33DD3"/>
    <w:rsid w:val="00D34727"/>
    <w:rsid w:val="00D35C5B"/>
    <w:rsid w:val="00D36B22"/>
    <w:rsid w:val="00D40BB9"/>
    <w:rsid w:val="00D45B06"/>
    <w:rsid w:val="00D464E1"/>
    <w:rsid w:val="00D50B44"/>
    <w:rsid w:val="00D52AE3"/>
    <w:rsid w:val="00D53256"/>
    <w:rsid w:val="00D53A06"/>
    <w:rsid w:val="00D541A1"/>
    <w:rsid w:val="00D5672F"/>
    <w:rsid w:val="00D579D7"/>
    <w:rsid w:val="00D641E4"/>
    <w:rsid w:val="00D8011C"/>
    <w:rsid w:val="00D801F7"/>
    <w:rsid w:val="00D83685"/>
    <w:rsid w:val="00D86244"/>
    <w:rsid w:val="00D86A21"/>
    <w:rsid w:val="00D86A7B"/>
    <w:rsid w:val="00D87BC5"/>
    <w:rsid w:val="00D908A5"/>
    <w:rsid w:val="00D91AA2"/>
    <w:rsid w:val="00D91E65"/>
    <w:rsid w:val="00D92A37"/>
    <w:rsid w:val="00D93E7E"/>
    <w:rsid w:val="00D94483"/>
    <w:rsid w:val="00D94C9B"/>
    <w:rsid w:val="00DA0682"/>
    <w:rsid w:val="00DA0E5C"/>
    <w:rsid w:val="00DA480E"/>
    <w:rsid w:val="00DA5675"/>
    <w:rsid w:val="00DB0EB4"/>
    <w:rsid w:val="00DB3D94"/>
    <w:rsid w:val="00DB5432"/>
    <w:rsid w:val="00DB79BE"/>
    <w:rsid w:val="00DC0C98"/>
    <w:rsid w:val="00DC25A5"/>
    <w:rsid w:val="00DC5BC8"/>
    <w:rsid w:val="00DC626D"/>
    <w:rsid w:val="00DC639A"/>
    <w:rsid w:val="00DC6EAB"/>
    <w:rsid w:val="00DD101E"/>
    <w:rsid w:val="00DD115F"/>
    <w:rsid w:val="00DD13EA"/>
    <w:rsid w:val="00DD154E"/>
    <w:rsid w:val="00DD2D80"/>
    <w:rsid w:val="00DD5E2C"/>
    <w:rsid w:val="00DE0F62"/>
    <w:rsid w:val="00DE1128"/>
    <w:rsid w:val="00DE2B6F"/>
    <w:rsid w:val="00DE5119"/>
    <w:rsid w:val="00DE6AB5"/>
    <w:rsid w:val="00DE6FC7"/>
    <w:rsid w:val="00DE794E"/>
    <w:rsid w:val="00DF004F"/>
    <w:rsid w:val="00DF254A"/>
    <w:rsid w:val="00DF258B"/>
    <w:rsid w:val="00DF51B8"/>
    <w:rsid w:val="00DF5DA9"/>
    <w:rsid w:val="00DF6670"/>
    <w:rsid w:val="00DF66B2"/>
    <w:rsid w:val="00DF75C8"/>
    <w:rsid w:val="00E006A8"/>
    <w:rsid w:val="00E01896"/>
    <w:rsid w:val="00E0342F"/>
    <w:rsid w:val="00E05DA7"/>
    <w:rsid w:val="00E07BB7"/>
    <w:rsid w:val="00E123B5"/>
    <w:rsid w:val="00E12863"/>
    <w:rsid w:val="00E13584"/>
    <w:rsid w:val="00E13E68"/>
    <w:rsid w:val="00E15F29"/>
    <w:rsid w:val="00E170DC"/>
    <w:rsid w:val="00E22644"/>
    <w:rsid w:val="00E22A3C"/>
    <w:rsid w:val="00E22BA0"/>
    <w:rsid w:val="00E23150"/>
    <w:rsid w:val="00E23A1C"/>
    <w:rsid w:val="00E23B22"/>
    <w:rsid w:val="00E255A6"/>
    <w:rsid w:val="00E256F7"/>
    <w:rsid w:val="00E267AF"/>
    <w:rsid w:val="00E2721C"/>
    <w:rsid w:val="00E279B9"/>
    <w:rsid w:val="00E27C28"/>
    <w:rsid w:val="00E315CA"/>
    <w:rsid w:val="00E34993"/>
    <w:rsid w:val="00E35439"/>
    <w:rsid w:val="00E35F10"/>
    <w:rsid w:val="00E35FFA"/>
    <w:rsid w:val="00E36B95"/>
    <w:rsid w:val="00E36BAF"/>
    <w:rsid w:val="00E373C3"/>
    <w:rsid w:val="00E37DE5"/>
    <w:rsid w:val="00E461EB"/>
    <w:rsid w:val="00E46C1B"/>
    <w:rsid w:val="00E46F6B"/>
    <w:rsid w:val="00E46F7A"/>
    <w:rsid w:val="00E473BC"/>
    <w:rsid w:val="00E51A55"/>
    <w:rsid w:val="00E5308E"/>
    <w:rsid w:val="00E53FE6"/>
    <w:rsid w:val="00E55FA2"/>
    <w:rsid w:val="00E56D9F"/>
    <w:rsid w:val="00E5795A"/>
    <w:rsid w:val="00E6051B"/>
    <w:rsid w:val="00E606D8"/>
    <w:rsid w:val="00E610B1"/>
    <w:rsid w:val="00E64267"/>
    <w:rsid w:val="00E6495B"/>
    <w:rsid w:val="00E654C9"/>
    <w:rsid w:val="00E71894"/>
    <w:rsid w:val="00E71AFA"/>
    <w:rsid w:val="00E741DA"/>
    <w:rsid w:val="00E7542E"/>
    <w:rsid w:val="00E76F44"/>
    <w:rsid w:val="00E777D1"/>
    <w:rsid w:val="00E8109A"/>
    <w:rsid w:val="00E81F19"/>
    <w:rsid w:val="00E8376A"/>
    <w:rsid w:val="00E84C22"/>
    <w:rsid w:val="00E85271"/>
    <w:rsid w:val="00E86C17"/>
    <w:rsid w:val="00E87F3F"/>
    <w:rsid w:val="00E9011A"/>
    <w:rsid w:val="00E90DBC"/>
    <w:rsid w:val="00E91187"/>
    <w:rsid w:val="00E919EC"/>
    <w:rsid w:val="00E91D77"/>
    <w:rsid w:val="00E943FF"/>
    <w:rsid w:val="00E954E8"/>
    <w:rsid w:val="00E95AAD"/>
    <w:rsid w:val="00E97DF3"/>
    <w:rsid w:val="00EA0F04"/>
    <w:rsid w:val="00EA3639"/>
    <w:rsid w:val="00EA6AE0"/>
    <w:rsid w:val="00EB0C06"/>
    <w:rsid w:val="00EB131D"/>
    <w:rsid w:val="00EB186D"/>
    <w:rsid w:val="00EB2430"/>
    <w:rsid w:val="00EB3F37"/>
    <w:rsid w:val="00EC08FC"/>
    <w:rsid w:val="00EC0ADE"/>
    <w:rsid w:val="00EC2AE5"/>
    <w:rsid w:val="00EC3FEA"/>
    <w:rsid w:val="00ED0D65"/>
    <w:rsid w:val="00ED31AA"/>
    <w:rsid w:val="00ED3D93"/>
    <w:rsid w:val="00ED6613"/>
    <w:rsid w:val="00ED74CB"/>
    <w:rsid w:val="00EE2ADB"/>
    <w:rsid w:val="00EE2D16"/>
    <w:rsid w:val="00EE36B0"/>
    <w:rsid w:val="00EE39E0"/>
    <w:rsid w:val="00EE42A1"/>
    <w:rsid w:val="00EE617E"/>
    <w:rsid w:val="00EE7381"/>
    <w:rsid w:val="00EF1EED"/>
    <w:rsid w:val="00EF2942"/>
    <w:rsid w:val="00EF42CE"/>
    <w:rsid w:val="00EF6D0B"/>
    <w:rsid w:val="00F00523"/>
    <w:rsid w:val="00F009E3"/>
    <w:rsid w:val="00F02484"/>
    <w:rsid w:val="00F03E64"/>
    <w:rsid w:val="00F04645"/>
    <w:rsid w:val="00F0467B"/>
    <w:rsid w:val="00F06D3D"/>
    <w:rsid w:val="00F07345"/>
    <w:rsid w:val="00F114E9"/>
    <w:rsid w:val="00F12F8B"/>
    <w:rsid w:val="00F149A4"/>
    <w:rsid w:val="00F23E80"/>
    <w:rsid w:val="00F2558D"/>
    <w:rsid w:val="00F2604E"/>
    <w:rsid w:val="00F27AA8"/>
    <w:rsid w:val="00F30DF8"/>
    <w:rsid w:val="00F325F0"/>
    <w:rsid w:val="00F32B5D"/>
    <w:rsid w:val="00F32BA1"/>
    <w:rsid w:val="00F37A61"/>
    <w:rsid w:val="00F42229"/>
    <w:rsid w:val="00F430BF"/>
    <w:rsid w:val="00F456EF"/>
    <w:rsid w:val="00F4729E"/>
    <w:rsid w:val="00F511D2"/>
    <w:rsid w:val="00F522D8"/>
    <w:rsid w:val="00F531FE"/>
    <w:rsid w:val="00F53955"/>
    <w:rsid w:val="00F557DA"/>
    <w:rsid w:val="00F56534"/>
    <w:rsid w:val="00F57512"/>
    <w:rsid w:val="00F57A88"/>
    <w:rsid w:val="00F6298A"/>
    <w:rsid w:val="00F64C49"/>
    <w:rsid w:val="00F64D9E"/>
    <w:rsid w:val="00F66545"/>
    <w:rsid w:val="00F7688A"/>
    <w:rsid w:val="00F77E58"/>
    <w:rsid w:val="00F81A8B"/>
    <w:rsid w:val="00F824CD"/>
    <w:rsid w:val="00F8329D"/>
    <w:rsid w:val="00F83831"/>
    <w:rsid w:val="00F841B2"/>
    <w:rsid w:val="00F85445"/>
    <w:rsid w:val="00F859E4"/>
    <w:rsid w:val="00F85ED7"/>
    <w:rsid w:val="00F9537B"/>
    <w:rsid w:val="00F95C96"/>
    <w:rsid w:val="00F96199"/>
    <w:rsid w:val="00F97B1E"/>
    <w:rsid w:val="00F97DC9"/>
    <w:rsid w:val="00F97E93"/>
    <w:rsid w:val="00FA0F34"/>
    <w:rsid w:val="00FA21D8"/>
    <w:rsid w:val="00FA3DBD"/>
    <w:rsid w:val="00FA4AA3"/>
    <w:rsid w:val="00FA4E5E"/>
    <w:rsid w:val="00FA54DD"/>
    <w:rsid w:val="00FA692D"/>
    <w:rsid w:val="00FA6CE8"/>
    <w:rsid w:val="00FA7E55"/>
    <w:rsid w:val="00FB05DF"/>
    <w:rsid w:val="00FB1FF2"/>
    <w:rsid w:val="00FB5A4A"/>
    <w:rsid w:val="00FB6A36"/>
    <w:rsid w:val="00FC0112"/>
    <w:rsid w:val="00FC153F"/>
    <w:rsid w:val="00FC2AEC"/>
    <w:rsid w:val="00FC3B2B"/>
    <w:rsid w:val="00FC4110"/>
    <w:rsid w:val="00FC419E"/>
    <w:rsid w:val="00FC5021"/>
    <w:rsid w:val="00FD02DE"/>
    <w:rsid w:val="00FD0539"/>
    <w:rsid w:val="00FD2855"/>
    <w:rsid w:val="00FD5BC2"/>
    <w:rsid w:val="00FE0C77"/>
    <w:rsid w:val="00FE1EB6"/>
    <w:rsid w:val="00FE205B"/>
    <w:rsid w:val="00FE2116"/>
    <w:rsid w:val="00FE31D1"/>
    <w:rsid w:val="00FE541F"/>
    <w:rsid w:val="00FE60A2"/>
    <w:rsid w:val="00FE7CCF"/>
    <w:rsid w:val="00FE7F46"/>
    <w:rsid w:val="00FE7FA5"/>
    <w:rsid w:val="00FF03A2"/>
    <w:rsid w:val="00FF15E8"/>
    <w:rsid w:val="00FF39D1"/>
    <w:rsid w:val="01CC58BD"/>
    <w:rsid w:val="01F09183"/>
    <w:rsid w:val="03898E07"/>
    <w:rsid w:val="040C2D71"/>
    <w:rsid w:val="044F65D4"/>
    <w:rsid w:val="050C20D4"/>
    <w:rsid w:val="0755090A"/>
    <w:rsid w:val="077D58D3"/>
    <w:rsid w:val="07B6F264"/>
    <w:rsid w:val="09F8DBE4"/>
    <w:rsid w:val="0BEDD1FF"/>
    <w:rsid w:val="0D0E484D"/>
    <w:rsid w:val="0D12C241"/>
    <w:rsid w:val="0E50A751"/>
    <w:rsid w:val="102AB2F0"/>
    <w:rsid w:val="102BE4BB"/>
    <w:rsid w:val="12520B51"/>
    <w:rsid w:val="12FF0110"/>
    <w:rsid w:val="13AA0C2F"/>
    <w:rsid w:val="14123809"/>
    <w:rsid w:val="1675ED12"/>
    <w:rsid w:val="17023CD9"/>
    <w:rsid w:val="1757A224"/>
    <w:rsid w:val="17ACA3B2"/>
    <w:rsid w:val="17E55940"/>
    <w:rsid w:val="1AF28963"/>
    <w:rsid w:val="1C9A2FE9"/>
    <w:rsid w:val="1E3546E0"/>
    <w:rsid w:val="1EE2D0B9"/>
    <w:rsid w:val="2021DF0C"/>
    <w:rsid w:val="228B69CD"/>
    <w:rsid w:val="22A975DE"/>
    <w:rsid w:val="23D6FF29"/>
    <w:rsid w:val="248733C3"/>
    <w:rsid w:val="26027C70"/>
    <w:rsid w:val="26A7AE86"/>
    <w:rsid w:val="26CD232A"/>
    <w:rsid w:val="28C60026"/>
    <w:rsid w:val="29E73F63"/>
    <w:rsid w:val="2A119965"/>
    <w:rsid w:val="2AE12E5D"/>
    <w:rsid w:val="2CCE52BA"/>
    <w:rsid w:val="2CD29A7E"/>
    <w:rsid w:val="304A15C0"/>
    <w:rsid w:val="320E6EA9"/>
    <w:rsid w:val="35C75DDD"/>
    <w:rsid w:val="3679EAAA"/>
    <w:rsid w:val="40E40EA7"/>
    <w:rsid w:val="41506E68"/>
    <w:rsid w:val="41599BFC"/>
    <w:rsid w:val="4204F2F4"/>
    <w:rsid w:val="42A023C3"/>
    <w:rsid w:val="4312DB55"/>
    <w:rsid w:val="442ED66D"/>
    <w:rsid w:val="443A77DC"/>
    <w:rsid w:val="469D53DE"/>
    <w:rsid w:val="47396690"/>
    <w:rsid w:val="47CA3FF7"/>
    <w:rsid w:val="4804EEBA"/>
    <w:rsid w:val="48371CC7"/>
    <w:rsid w:val="48F5663B"/>
    <w:rsid w:val="496A731A"/>
    <w:rsid w:val="4AA6C431"/>
    <w:rsid w:val="4CAF7330"/>
    <w:rsid w:val="4F2247BA"/>
    <w:rsid w:val="4FAD8F87"/>
    <w:rsid w:val="515C63C6"/>
    <w:rsid w:val="5796BD38"/>
    <w:rsid w:val="586CF681"/>
    <w:rsid w:val="5950B9FE"/>
    <w:rsid w:val="597309E6"/>
    <w:rsid w:val="5A974714"/>
    <w:rsid w:val="5CE1DFA6"/>
    <w:rsid w:val="5EB7EC16"/>
    <w:rsid w:val="5FA948A9"/>
    <w:rsid w:val="5FD01256"/>
    <w:rsid w:val="60ADAF00"/>
    <w:rsid w:val="60B4BA94"/>
    <w:rsid w:val="62508AF5"/>
    <w:rsid w:val="62510C2B"/>
    <w:rsid w:val="6273EA1D"/>
    <w:rsid w:val="63B0319C"/>
    <w:rsid w:val="66082964"/>
    <w:rsid w:val="6844461A"/>
    <w:rsid w:val="68A8A164"/>
    <w:rsid w:val="6916CC9B"/>
    <w:rsid w:val="6BED7683"/>
    <w:rsid w:val="6C09D5F6"/>
    <w:rsid w:val="6CFACD65"/>
    <w:rsid w:val="6D657250"/>
    <w:rsid w:val="6D755C8F"/>
    <w:rsid w:val="70201EB1"/>
    <w:rsid w:val="7063BA91"/>
    <w:rsid w:val="70D3033D"/>
    <w:rsid w:val="73348CCB"/>
    <w:rsid w:val="749A0391"/>
    <w:rsid w:val="775298C7"/>
    <w:rsid w:val="77AD8DB8"/>
    <w:rsid w:val="77B34F34"/>
    <w:rsid w:val="78182183"/>
    <w:rsid w:val="79B9B360"/>
    <w:rsid w:val="7ACD6499"/>
    <w:rsid w:val="7BDCBC77"/>
    <w:rsid w:val="7D497736"/>
    <w:rsid w:val="7DAB2EF6"/>
    <w:rsid w:val="7FBE9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BAC718"/>
  <w15:chartTrackingRefBased/>
  <w15:docId w15:val="{0FF0B7E4-0965-4E69-9C86-0103C18B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15F"/>
    <w:pPr>
      <w:spacing w:line="240" w:lineRule="auto"/>
    </w:pPr>
    <w:rPr>
      <w:rFonts w:ascii="Calibri" w:hAnsi="Calibri"/>
      <w:sz w:val="24"/>
    </w:rPr>
  </w:style>
  <w:style w:type="paragraph" w:styleId="Heading1">
    <w:name w:val="heading 1"/>
    <w:basedOn w:val="Normal"/>
    <w:next w:val="Normal"/>
    <w:link w:val="Heading1Char"/>
    <w:uiPriority w:val="9"/>
    <w:qFormat/>
    <w:rsid w:val="003544AA"/>
    <w:pPr>
      <w:keepNext/>
      <w:keepLines/>
      <w:spacing w:before="240" w:after="0" w:line="360" w:lineRule="auto"/>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B4C4D"/>
    <w:pPr>
      <w:keepNext/>
      <w:keepLines/>
      <w:spacing w:before="16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B4C4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44F72"/>
    <w:pPr>
      <w:keepNext/>
      <w:keepLines/>
      <w:spacing w:before="40" w:after="0" w:line="360" w:lineRule="auto"/>
      <w:outlineLvl w:val="3"/>
    </w:pPr>
    <w:rPr>
      <w:rFonts w:eastAsiaTheme="majorEastAsia" w:cstheme="majorBidi"/>
      <w:iCs/>
      <w:u w:val="single"/>
    </w:rPr>
  </w:style>
  <w:style w:type="paragraph" w:styleId="Heading5">
    <w:name w:val="heading 5"/>
    <w:basedOn w:val="Normal"/>
    <w:next w:val="Normal"/>
    <w:link w:val="Heading5Char"/>
    <w:uiPriority w:val="9"/>
    <w:semiHidden/>
    <w:unhideWhenUsed/>
    <w:qFormat/>
    <w:rsid w:val="005E69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customStyle="1" w:styleId="NoSpacingChar">
    <w:name w:val="No Spacing Char"/>
    <w:basedOn w:val="DefaultParagraphFont"/>
    <w:link w:val="NoSpacing"/>
    <w:uiPriority w:val="1"/>
    <w:rsid w:val="00840176"/>
    <w:rPr>
      <w:rFonts w:ascii="Arial" w:hAnsi="Arial"/>
      <w:sz w:val="24"/>
    </w:rPr>
  </w:style>
  <w:style w:type="character" w:customStyle="1" w:styleId="Heading1Char">
    <w:name w:val="Heading 1 Char"/>
    <w:basedOn w:val="DefaultParagraphFont"/>
    <w:link w:val="Heading1"/>
    <w:uiPriority w:val="9"/>
    <w:rsid w:val="003544AA"/>
    <w:rPr>
      <w:rFonts w:ascii="Calibri" w:eastAsiaTheme="majorEastAsia" w:hAnsi="Calibri" w:cstheme="majorBidi"/>
      <w:b/>
      <w:color w:val="000000" w:themeColor="text1"/>
      <w:sz w:val="32"/>
      <w:szCs w:val="32"/>
    </w:rPr>
  </w:style>
  <w:style w:type="paragraph" w:styleId="TOCHeading">
    <w:name w:val="TOC Heading"/>
    <w:basedOn w:val="Heading1"/>
    <w:next w:val="Normal"/>
    <w:uiPriority w:val="39"/>
    <w:unhideWhenUsed/>
    <w:qFormat/>
    <w:rsid w:val="00840176"/>
    <w:pPr>
      <w:spacing w:line="259" w:lineRule="auto"/>
      <w:outlineLvl w:val="9"/>
    </w:pPr>
    <w:rPr>
      <w:lang w:val="en-US"/>
    </w:rPr>
  </w:style>
  <w:style w:type="paragraph" w:styleId="Header">
    <w:name w:val="header"/>
    <w:basedOn w:val="Normal"/>
    <w:link w:val="HeaderChar"/>
    <w:uiPriority w:val="99"/>
    <w:unhideWhenUsed/>
    <w:rsid w:val="00840176"/>
    <w:pPr>
      <w:tabs>
        <w:tab w:val="center" w:pos="4513"/>
        <w:tab w:val="right" w:pos="9026"/>
      </w:tabs>
      <w:spacing w:after="0"/>
    </w:pPr>
  </w:style>
  <w:style w:type="character" w:customStyle="1" w:styleId="HeaderChar">
    <w:name w:val="Header Char"/>
    <w:basedOn w:val="DefaultParagraphFont"/>
    <w:link w:val="Header"/>
    <w:uiPriority w:val="99"/>
    <w:rsid w:val="00840176"/>
    <w:rPr>
      <w:rFonts w:ascii="Arial" w:hAnsi="Arial"/>
      <w:sz w:val="24"/>
    </w:rPr>
  </w:style>
  <w:style w:type="paragraph" w:styleId="Footer">
    <w:name w:val="footer"/>
    <w:basedOn w:val="Normal"/>
    <w:link w:val="FooterChar"/>
    <w:uiPriority w:val="99"/>
    <w:unhideWhenUsed/>
    <w:rsid w:val="00840176"/>
    <w:pPr>
      <w:tabs>
        <w:tab w:val="center" w:pos="4513"/>
        <w:tab w:val="right" w:pos="9026"/>
      </w:tabs>
      <w:spacing w:after="0"/>
    </w:pPr>
  </w:style>
  <w:style w:type="character" w:customStyle="1" w:styleId="FooterChar">
    <w:name w:val="Footer Char"/>
    <w:basedOn w:val="DefaultParagraphFont"/>
    <w:link w:val="Footer"/>
    <w:uiPriority w:val="99"/>
    <w:rsid w:val="00840176"/>
    <w:rPr>
      <w:rFonts w:ascii="Arial" w:hAnsi="Arial"/>
      <w:sz w:val="24"/>
    </w:rPr>
  </w:style>
  <w:style w:type="paragraph" w:customStyle="1" w:styleId="Style1">
    <w:name w:val="Style1"/>
    <w:basedOn w:val="Header"/>
    <w:link w:val="Style1Char"/>
    <w:autoRedefine/>
    <w:qFormat/>
    <w:rsid w:val="009E5938"/>
    <w:pPr>
      <w:pBdr>
        <w:top w:val="single" w:sz="4" w:space="1" w:color="auto"/>
        <w:left w:val="single" w:sz="4" w:space="4" w:color="auto"/>
        <w:bottom w:val="single" w:sz="4" w:space="1" w:color="auto"/>
        <w:right w:val="single" w:sz="4" w:space="4" w:color="auto"/>
      </w:pBdr>
      <w:shd w:val="clear" w:color="auto" w:fill="35975A"/>
    </w:pPr>
    <w:rPr>
      <w:b/>
      <w:sz w:val="22"/>
    </w:rPr>
  </w:style>
  <w:style w:type="paragraph" w:customStyle="1" w:styleId="numbers">
    <w:name w:val="numbers"/>
    <w:basedOn w:val="Normal"/>
    <w:link w:val="numbersChar"/>
    <w:autoRedefine/>
    <w:qFormat/>
    <w:rsid w:val="009E5938"/>
    <w:pPr>
      <w:spacing w:line="360" w:lineRule="auto"/>
      <w:jc w:val="right"/>
    </w:pPr>
    <w:rPr>
      <w:sz w:val="22"/>
    </w:rPr>
  </w:style>
  <w:style w:type="character" w:customStyle="1" w:styleId="Style1Char">
    <w:name w:val="Style1 Char"/>
    <w:basedOn w:val="HeaderChar"/>
    <w:link w:val="Style1"/>
    <w:rsid w:val="009E5938"/>
    <w:rPr>
      <w:rFonts w:ascii="Calibri" w:hAnsi="Calibri"/>
      <w:b/>
      <w:sz w:val="24"/>
      <w:shd w:val="clear" w:color="auto" w:fill="35975A"/>
    </w:rPr>
  </w:style>
  <w:style w:type="paragraph" w:styleId="BodyText">
    <w:name w:val="Body Text"/>
    <w:basedOn w:val="Normal"/>
    <w:link w:val="BodyTextChar"/>
    <w:uiPriority w:val="1"/>
    <w:qFormat/>
    <w:rsid w:val="009E5938"/>
    <w:pPr>
      <w:widowControl w:val="0"/>
      <w:autoSpaceDE w:val="0"/>
      <w:autoSpaceDN w:val="0"/>
      <w:spacing w:after="0"/>
    </w:pPr>
    <w:rPr>
      <w:rFonts w:eastAsia="Calibri" w:cs="Calibri"/>
      <w:szCs w:val="24"/>
      <w:lang w:val="en-US"/>
    </w:rPr>
  </w:style>
  <w:style w:type="character" w:customStyle="1" w:styleId="numbersChar">
    <w:name w:val="numbers Char"/>
    <w:basedOn w:val="DefaultParagraphFont"/>
    <w:link w:val="numbers"/>
    <w:rsid w:val="009E5938"/>
    <w:rPr>
      <w:rFonts w:ascii="Calibri" w:hAnsi="Calibri"/>
    </w:rPr>
  </w:style>
  <w:style w:type="character" w:customStyle="1" w:styleId="BodyTextChar">
    <w:name w:val="Body Text Char"/>
    <w:basedOn w:val="DefaultParagraphFont"/>
    <w:link w:val="BodyText"/>
    <w:uiPriority w:val="1"/>
    <w:rsid w:val="009E5938"/>
    <w:rPr>
      <w:rFonts w:ascii="Calibri" w:eastAsia="Calibri" w:hAnsi="Calibri" w:cs="Calibri"/>
      <w:sz w:val="24"/>
      <w:szCs w:val="24"/>
      <w:lang w:val="en-US"/>
    </w:rPr>
  </w:style>
  <w:style w:type="paragraph" w:styleId="TOC1">
    <w:name w:val="toc 1"/>
    <w:basedOn w:val="Normal"/>
    <w:next w:val="Normal"/>
    <w:autoRedefine/>
    <w:uiPriority w:val="39"/>
    <w:unhideWhenUsed/>
    <w:rsid w:val="00EF1EED"/>
    <w:pPr>
      <w:tabs>
        <w:tab w:val="right" w:leader="dot" w:pos="9016"/>
      </w:tabs>
      <w:spacing w:after="100"/>
    </w:pPr>
  </w:style>
  <w:style w:type="character" w:styleId="Hyperlink">
    <w:name w:val="Hyperlink"/>
    <w:basedOn w:val="DefaultParagraphFont"/>
    <w:uiPriority w:val="99"/>
    <w:unhideWhenUsed/>
    <w:rsid w:val="009E5938"/>
    <w:rPr>
      <w:color w:val="0000FF" w:themeColor="hyperlink"/>
      <w:u w:val="single"/>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1"/>
    <w:qFormat/>
    <w:rsid w:val="009E5938"/>
    <w:pPr>
      <w:ind w:left="720"/>
      <w:contextualSpacing/>
    </w:pPr>
  </w:style>
  <w:style w:type="paragraph" w:styleId="FootnoteText">
    <w:name w:val="footnote text"/>
    <w:basedOn w:val="Normal"/>
    <w:link w:val="FootnoteTextChar"/>
    <w:unhideWhenUsed/>
    <w:rsid w:val="009E5938"/>
    <w:pPr>
      <w:spacing w:after="0"/>
    </w:pPr>
    <w:rPr>
      <w:sz w:val="20"/>
      <w:szCs w:val="20"/>
    </w:rPr>
  </w:style>
  <w:style w:type="character" w:customStyle="1" w:styleId="FootnoteTextChar">
    <w:name w:val="Footnote Text Char"/>
    <w:basedOn w:val="DefaultParagraphFont"/>
    <w:link w:val="FootnoteText"/>
    <w:rsid w:val="009E5938"/>
    <w:rPr>
      <w:rFonts w:ascii="Calibri" w:hAnsi="Calibri"/>
      <w:sz w:val="20"/>
      <w:szCs w:val="20"/>
    </w:rPr>
  </w:style>
  <w:style w:type="character" w:styleId="FootnoteReference">
    <w:name w:val="footnote reference"/>
    <w:basedOn w:val="DefaultParagraphFont"/>
    <w:uiPriority w:val="99"/>
    <w:unhideWhenUsed/>
    <w:rsid w:val="009E5938"/>
    <w:rPr>
      <w:vertAlign w:val="superscript"/>
    </w:rPr>
  </w:style>
  <w:style w:type="paragraph" w:styleId="EndnoteText">
    <w:name w:val="endnote text"/>
    <w:basedOn w:val="Normal"/>
    <w:link w:val="EndnoteTextChar"/>
    <w:uiPriority w:val="99"/>
    <w:semiHidden/>
    <w:unhideWhenUsed/>
    <w:rsid w:val="00AF05C4"/>
    <w:pPr>
      <w:spacing w:after="0"/>
    </w:pPr>
    <w:rPr>
      <w:sz w:val="20"/>
      <w:szCs w:val="20"/>
    </w:rPr>
  </w:style>
  <w:style w:type="character" w:customStyle="1" w:styleId="EndnoteTextChar">
    <w:name w:val="Endnote Text Char"/>
    <w:basedOn w:val="DefaultParagraphFont"/>
    <w:link w:val="EndnoteText"/>
    <w:uiPriority w:val="99"/>
    <w:semiHidden/>
    <w:rsid w:val="00AF05C4"/>
    <w:rPr>
      <w:rFonts w:ascii="Calibri" w:hAnsi="Calibri"/>
      <w:sz w:val="20"/>
      <w:szCs w:val="20"/>
    </w:rPr>
  </w:style>
  <w:style w:type="character" w:styleId="EndnoteReference">
    <w:name w:val="endnote reference"/>
    <w:basedOn w:val="DefaultParagraphFont"/>
    <w:uiPriority w:val="99"/>
    <w:semiHidden/>
    <w:unhideWhenUsed/>
    <w:rsid w:val="00AF05C4"/>
    <w:rPr>
      <w:vertAlign w:val="superscript"/>
    </w:rPr>
  </w:style>
  <w:style w:type="character" w:customStyle="1" w:styleId="Heading2Char">
    <w:name w:val="Heading 2 Char"/>
    <w:basedOn w:val="DefaultParagraphFont"/>
    <w:link w:val="Heading2"/>
    <w:uiPriority w:val="9"/>
    <w:rsid w:val="005B4C4D"/>
    <w:rPr>
      <w:rFonts w:ascii="Calibri" w:eastAsiaTheme="majorEastAsia" w:hAnsi="Calibri" w:cstheme="majorBidi"/>
      <w:b/>
      <w:sz w:val="28"/>
      <w:szCs w:val="26"/>
    </w:rPr>
  </w:style>
  <w:style w:type="character" w:styleId="UnresolvedMention">
    <w:name w:val="Unresolved Mention"/>
    <w:basedOn w:val="DefaultParagraphFont"/>
    <w:uiPriority w:val="99"/>
    <w:unhideWhenUsed/>
    <w:rsid w:val="003911DA"/>
    <w:rPr>
      <w:color w:val="605E5C"/>
      <w:shd w:val="clear" w:color="auto" w:fill="E1DFDD"/>
    </w:rPr>
  </w:style>
  <w:style w:type="character" w:customStyle="1" w:styleId="Heading3Char">
    <w:name w:val="Heading 3 Char"/>
    <w:basedOn w:val="DefaultParagraphFont"/>
    <w:link w:val="Heading3"/>
    <w:uiPriority w:val="9"/>
    <w:rsid w:val="005B4C4D"/>
    <w:rPr>
      <w:rFonts w:ascii="Calibri" w:eastAsiaTheme="majorEastAsia" w:hAnsi="Calibri" w:cstheme="majorBidi"/>
      <w:b/>
      <w:sz w:val="24"/>
      <w:szCs w:val="24"/>
    </w:rPr>
  </w:style>
  <w:style w:type="paragraph" w:styleId="TOC2">
    <w:name w:val="toc 2"/>
    <w:basedOn w:val="Normal"/>
    <w:next w:val="Normal"/>
    <w:autoRedefine/>
    <w:uiPriority w:val="39"/>
    <w:unhideWhenUsed/>
    <w:rsid w:val="005B4C4D"/>
    <w:pPr>
      <w:spacing w:after="100"/>
      <w:ind w:left="240"/>
    </w:pPr>
  </w:style>
  <w:style w:type="paragraph" w:styleId="TOC3">
    <w:name w:val="toc 3"/>
    <w:basedOn w:val="Normal"/>
    <w:next w:val="Normal"/>
    <w:autoRedefine/>
    <w:uiPriority w:val="39"/>
    <w:unhideWhenUsed/>
    <w:rsid w:val="00001D1D"/>
    <w:pPr>
      <w:tabs>
        <w:tab w:val="right" w:leader="dot" w:pos="9016"/>
      </w:tabs>
      <w:spacing w:after="100"/>
      <w:ind w:left="480"/>
    </w:pPr>
  </w:style>
  <w:style w:type="table" w:styleId="TableGrid">
    <w:name w:val="Table Grid"/>
    <w:basedOn w:val="TableNormal"/>
    <w:uiPriority w:val="59"/>
    <w:rsid w:val="00F5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3955"/>
    <w:pPr>
      <w:widowControl w:val="0"/>
      <w:autoSpaceDE w:val="0"/>
      <w:autoSpaceDN w:val="0"/>
      <w:spacing w:after="0"/>
    </w:pPr>
    <w:rPr>
      <w:rFonts w:eastAsia="Calibri" w:cs="Calibri"/>
      <w:sz w:val="22"/>
      <w:lang w:val="en-US"/>
    </w:rPr>
  </w:style>
  <w:style w:type="table" w:styleId="GridTable4-Accent1">
    <w:name w:val="Grid Table 4 Accent 1"/>
    <w:basedOn w:val="TableNormal"/>
    <w:uiPriority w:val="49"/>
    <w:rsid w:val="00F77E5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rsid w:val="00644F72"/>
    <w:rPr>
      <w:rFonts w:ascii="Calibri" w:eastAsiaTheme="majorEastAsia" w:hAnsi="Calibri" w:cstheme="majorBidi"/>
      <w:iCs/>
      <w:sz w:val="24"/>
      <w:u w:val="single"/>
    </w:rPr>
  </w:style>
  <w:style w:type="character" w:styleId="FollowedHyperlink">
    <w:name w:val="FollowedHyperlink"/>
    <w:basedOn w:val="DefaultParagraphFont"/>
    <w:uiPriority w:val="99"/>
    <w:semiHidden/>
    <w:unhideWhenUsed/>
    <w:rsid w:val="00286CF2"/>
    <w:rPr>
      <w:color w:val="800080" w:themeColor="followedHyperlink"/>
      <w:u w:val="single"/>
    </w:rPr>
  </w:style>
  <w:style w:type="character" w:customStyle="1" w:styleId="Heading5Char">
    <w:name w:val="Heading 5 Char"/>
    <w:basedOn w:val="DefaultParagraphFont"/>
    <w:link w:val="Heading5"/>
    <w:uiPriority w:val="9"/>
    <w:semiHidden/>
    <w:rsid w:val="005E6928"/>
    <w:rPr>
      <w:rFonts w:asciiTheme="majorHAnsi" w:eastAsiaTheme="majorEastAsia" w:hAnsiTheme="majorHAnsi" w:cstheme="majorBidi"/>
      <w:color w:val="365F91" w:themeColor="accent1" w:themeShade="BF"/>
      <w:sz w:val="24"/>
    </w:rPr>
  </w:style>
  <w:style w:type="character" w:styleId="LineNumber">
    <w:name w:val="line number"/>
    <w:basedOn w:val="DefaultParagraphFont"/>
    <w:uiPriority w:val="99"/>
    <w:semiHidden/>
    <w:unhideWhenUsed/>
    <w:rsid w:val="00445AB3"/>
  </w:style>
  <w:style w:type="paragraph" w:styleId="Title">
    <w:name w:val="Title"/>
    <w:basedOn w:val="NoSpacing"/>
    <w:next w:val="Normal"/>
    <w:link w:val="TitleChar"/>
    <w:uiPriority w:val="10"/>
    <w:qFormat/>
    <w:rsid w:val="00806118"/>
    <w:pPr>
      <w:jc w:val="center"/>
    </w:pPr>
    <w:rPr>
      <w:rFonts w:ascii="Calibri" w:eastAsia="Calibri" w:hAnsi="Calibri" w:cs="Calibri"/>
      <w:color w:val="EEEEEE"/>
      <w:w w:val="105"/>
      <w:sz w:val="80"/>
      <w:lang w:val="en-US"/>
    </w:rPr>
  </w:style>
  <w:style w:type="character" w:customStyle="1" w:styleId="TitleChar">
    <w:name w:val="Title Char"/>
    <w:basedOn w:val="DefaultParagraphFont"/>
    <w:link w:val="Title"/>
    <w:uiPriority w:val="10"/>
    <w:rsid w:val="00806118"/>
    <w:rPr>
      <w:rFonts w:ascii="Calibri" w:eastAsia="Calibri" w:hAnsi="Calibri" w:cs="Calibri"/>
      <w:color w:val="EEEEEE"/>
      <w:w w:val="105"/>
      <w:sz w:val="80"/>
      <w:lang w:val="en-US"/>
    </w:rPr>
  </w:style>
  <w:style w:type="paragraph" w:styleId="BalloonText">
    <w:name w:val="Balloon Text"/>
    <w:basedOn w:val="Normal"/>
    <w:link w:val="BalloonTextChar"/>
    <w:uiPriority w:val="99"/>
    <w:semiHidden/>
    <w:unhideWhenUsed/>
    <w:rsid w:val="00C973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3D6"/>
    <w:rPr>
      <w:rFonts w:ascii="Segoe UI" w:hAnsi="Segoe UI" w:cs="Segoe UI"/>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1"/>
    <w:locked/>
    <w:rsid w:val="00C4014F"/>
    <w:rPr>
      <w:rFonts w:ascii="Calibri" w:hAnsi="Calibri"/>
      <w:sz w:val="24"/>
    </w:rPr>
  </w:style>
  <w:style w:type="paragraph" w:styleId="BodyTextIndent">
    <w:name w:val="Body Text Indent"/>
    <w:basedOn w:val="Normal"/>
    <w:link w:val="BodyTextIndentChar"/>
    <w:uiPriority w:val="99"/>
    <w:semiHidden/>
    <w:unhideWhenUsed/>
    <w:rsid w:val="00C4014F"/>
    <w:pPr>
      <w:spacing w:after="120"/>
      <w:ind w:left="283"/>
    </w:pPr>
  </w:style>
  <w:style w:type="character" w:customStyle="1" w:styleId="BodyTextIndentChar">
    <w:name w:val="Body Text Indent Char"/>
    <w:basedOn w:val="DefaultParagraphFont"/>
    <w:link w:val="BodyTextIndent"/>
    <w:uiPriority w:val="99"/>
    <w:semiHidden/>
    <w:rsid w:val="00C4014F"/>
    <w:rPr>
      <w:rFonts w:ascii="Calibri" w:hAnsi="Calibri"/>
      <w:sz w:val="24"/>
    </w:rPr>
  </w:style>
  <w:style w:type="paragraph" w:styleId="NormalWeb">
    <w:name w:val="Normal (Web)"/>
    <w:basedOn w:val="Normal"/>
    <w:uiPriority w:val="99"/>
    <w:unhideWhenUsed/>
    <w:rsid w:val="00C4014F"/>
    <w:pPr>
      <w:spacing w:before="100" w:beforeAutospacing="1" w:after="100" w:afterAutospacing="1"/>
    </w:pPr>
    <w:rPr>
      <w:rFonts w:ascii="Times New Roman" w:eastAsia="Times New Roman" w:hAnsi="Times New Roman" w:cs="Times New Roman"/>
      <w:szCs w:val="24"/>
      <w:lang w:val="en-US"/>
    </w:rPr>
  </w:style>
  <w:style w:type="paragraph" w:styleId="BodyTextIndent2">
    <w:name w:val="Body Text Indent 2"/>
    <w:basedOn w:val="Normal"/>
    <w:link w:val="BodyTextIndent2Char"/>
    <w:uiPriority w:val="99"/>
    <w:semiHidden/>
    <w:unhideWhenUsed/>
    <w:rsid w:val="00C4014F"/>
    <w:pPr>
      <w:spacing w:after="120" w:line="480" w:lineRule="auto"/>
      <w:ind w:left="283"/>
    </w:pPr>
  </w:style>
  <w:style w:type="character" w:customStyle="1" w:styleId="BodyTextIndent2Char">
    <w:name w:val="Body Text Indent 2 Char"/>
    <w:basedOn w:val="DefaultParagraphFont"/>
    <w:link w:val="BodyTextIndent2"/>
    <w:uiPriority w:val="99"/>
    <w:semiHidden/>
    <w:rsid w:val="00C4014F"/>
    <w:rPr>
      <w:rFonts w:ascii="Calibri" w:hAnsi="Calibri"/>
      <w:sz w:val="24"/>
    </w:rPr>
  </w:style>
  <w:style w:type="paragraph" w:customStyle="1" w:styleId="Default">
    <w:name w:val="Default"/>
    <w:rsid w:val="00C4014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2">
    <w:name w:val="Body Text 2"/>
    <w:basedOn w:val="Normal"/>
    <w:link w:val="BodyText2Char"/>
    <w:uiPriority w:val="99"/>
    <w:semiHidden/>
    <w:unhideWhenUsed/>
    <w:rsid w:val="007E5C04"/>
    <w:pPr>
      <w:spacing w:after="120" w:line="480" w:lineRule="auto"/>
    </w:pPr>
  </w:style>
  <w:style w:type="character" w:customStyle="1" w:styleId="BodyText2Char">
    <w:name w:val="Body Text 2 Char"/>
    <w:basedOn w:val="DefaultParagraphFont"/>
    <w:link w:val="BodyText2"/>
    <w:uiPriority w:val="99"/>
    <w:semiHidden/>
    <w:rsid w:val="007E5C04"/>
    <w:rPr>
      <w:rFonts w:ascii="Calibri" w:hAnsi="Calibri"/>
      <w:sz w:val="24"/>
    </w:rPr>
  </w:style>
  <w:style w:type="character" w:styleId="CommentReference">
    <w:name w:val="annotation reference"/>
    <w:basedOn w:val="DefaultParagraphFont"/>
    <w:uiPriority w:val="99"/>
    <w:semiHidden/>
    <w:unhideWhenUsed/>
    <w:rsid w:val="00D215F7"/>
    <w:rPr>
      <w:sz w:val="16"/>
      <w:szCs w:val="16"/>
    </w:rPr>
  </w:style>
  <w:style w:type="paragraph" w:styleId="CommentText">
    <w:name w:val="annotation text"/>
    <w:basedOn w:val="Normal"/>
    <w:link w:val="CommentTextChar"/>
    <w:uiPriority w:val="99"/>
    <w:unhideWhenUsed/>
    <w:rsid w:val="00D215F7"/>
    <w:rPr>
      <w:sz w:val="20"/>
      <w:szCs w:val="20"/>
    </w:rPr>
  </w:style>
  <w:style w:type="character" w:customStyle="1" w:styleId="CommentTextChar">
    <w:name w:val="Comment Text Char"/>
    <w:basedOn w:val="DefaultParagraphFont"/>
    <w:link w:val="CommentText"/>
    <w:uiPriority w:val="99"/>
    <w:rsid w:val="00D215F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215F7"/>
    <w:rPr>
      <w:b/>
      <w:bCs/>
    </w:rPr>
  </w:style>
  <w:style w:type="character" w:customStyle="1" w:styleId="CommentSubjectChar">
    <w:name w:val="Comment Subject Char"/>
    <w:basedOn w:val="CommentTextChar"/>
    <w:link w:val="CommentSubject"/>
    <w:uiPriority w:val="99"/>
    <w:semiHidden/>
    <w:rsid w:val="00D215F7"/>
    <w:rPr>
      <w:rFonts w:ascii="Calibri" w:hAnsi="Calibri"/>
      <w:b/>
      <w:bCs/>
      <w:sz w:val="20"/>
      <w:szCs w:val="20"/>
    </w:rPr>
  </w:style>
  <w:style w:type="character" w:styleId="Mention">
    <w:name w:val="Mention"/>
    <w:basedOn w:val="DefaultParagraphFont"/>
    <w:uiPriority w:val="99"/>
    <w:unhideWhenUsed/>
    <w:rsid w:val="00F4729E"/>
    <w:rPr>
      <w:color w:val="2B579A"/>
      <w:shd w:val="clear" w:color="auto" w:fill="E1DFDD"/>
    </w:rPr>
  </w:style>
  <w:style w:type="table" w:styleId="PlainTable1">
    <w:name w:val="Plain Table 1"/>
    <w:basedOn w:val="TableNormal"/>
    <w:uiPriority w:val="41"/>
    <w:rsid w:val="00DA4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A71D4"/>
    <w:pPr>
      <w:spacing w:after="0" w:line="240" w:lineRule="auto"/>
    </w:pPr>
    <w:rPr>
      <w:rFonts w:ascii="Calibri" w:hAnsi="Calibri"/>
      <w:sz w:val="24"/>
    </w:rPr>
  </w:style>
  <w:style w:type="paragraph" w:customStyle="1" w:styleId="xxxmsonormal">
    <w:name w:val="x_xxmsonormal"/>
    <w:basedOn w:val="Normal"/>
    <w:rsid w:val="00837FDA"/>
    <w:pPr>
      <w:spacing w:after="0"/>
    </w:pPr>
    <w:rPr>
      <w:rFonts w:cs="Calibri"/>
      <w:sz w:val="22"/>
      <w:lang w:eastAsia="en-GB"/>
    </w:rPr>
  </w:style>
  <w:style w:type="paragraph" w:customStyle="1" w:styleId="xxxmsolistparagraph">
    <w:name w:val="x_xxmsolistparagraph"/>
    <w:basedOn w:val="Normal"/>
    <w:rsid w:val="00837FDA"/>
    <w:pPr>
      <w:spacing w:before="100" w:beforeAutospacing="1" w:after="100" w:afterAutospacing="1"/>
    </w:pPr>
    <w:rPr>
      <w:rFonts w:cs="Calibri"/>
      <w:sz w:val="22"/>
      <w:lang w:eastAsia="en-GB"/>
    </w:rPr>
  </w:style>
  <w:style w:type="character" w:customStyle="1" w:styleId="cf01">
    <w:name w:val="cf01"/>
    <w:basedOn w:val="DefaultParagraphFont"/>
    <w:rsid w:val="006A34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90040">
      <w:bodyDiv w:val="1"/>
      <w:marLeft w:val="0"/>
      <w:marRight w:val="0"/>
      <w:marTop w:val="0"/>
      <w:marBottom w:val="0"/>
      <w:divBdr>
        <w:top w:val="none" w:sz="0" w:space="0" w:color="auto"/>
        <w:left w:val="none" w:sz="0" w:space="0" w:color="auto"/>
        <w:bottom w:val="none" w:sz="0" w:space="0" w:color="auto"/>
        <w:right w:val="none" w:sz="0" w:space="0" w:color="auto"/>
      </w:divBdr>
    </w:div>
    <w:div w:id="1827626436">
      <w:bodyDiv w:val="1"/>
      <w:marLeft w:val="0"/>
      <w:marRight w:val="0"/>
      <w:marTop w:val="0"/>
      <w:marBottom w:val="0"/>
      <w:divBdr>
        <w:top w:val="none" w:sz="0" w:space="0" w:color="auto"/>
        <w:left w:val="none" w:sz="0" w:space="0" w:color="auto"/>
        <w:bottom w:val="none" w:sz="0" w:space="0" w:color="auto"/>
        <w:right w:val="none" w:sz="0" w:space="0" w:color="auto"/>
      </w:divBdr>
    </w:div>
    <w:div w:id="19951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ficeforstudents.org.uk/advice-and-guidance/regulation/the-regulatory-framework-for-higher-education-in-england/" TargetMode="External"/><Relationship Id="rId18" Type="http://schemas.openxmlformats.org/officeDocument/2006/relationships/hyperlink" Target="https://www.edgehill.ac.uk/document/curriculum-strategy-2020-2025/" TargetMode="External"/><Relationship Id="rId26" Type="http://schemas.openxmlformats.org/officeDocument/2006/relationships/hyperlink" Target="https://www.ehea.info/media.ehea.info/file/2018_Paris/77/8/EHEAParis2018_Communique_AppendixIII_952778.pdf" TargetMode="External"/><Relationship Id="rId39" Type="http://schemas.openxmlformats.org/officeDocument/2006/relationships/hyperlink" Target="https://wiki.edgehill.ac.uk/display/agqa/Template+Documents" TargetMode="External"/><Relationship Id="rId21" Type="http://schemas.openxmlformats.org/officeDocument/2006/relationships/hyperlink" Target="https://edgehill.sharepoint.com/sites/agqa/SitePages/Faculty-Quality-Processes-and-Responsibilities.aspx" TargetMode="External"/><Relationship Id="rId34" Type="http://schemas.openxmlformats.org/officeDocument/2006/relationships/hyperlink" Target="https://edgehill.sharepoint.com/sites/agqa/SitePages/Faculty-Quality-Processes-and-Responsibilities.aspx" TargetMode="External"/><Relationship Id="rId42" Type="http://schemas.openxmlformats.org/officeDocument/2006/relationships/hyperlink" Target="https://wiki.edgehill.ac.uk/display/agqa/Key+Guidance+Documents" TargetMode="Externa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package" Target="embeddings/Microsoft_Visio_Drawing.vsd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aa.ac.uk/docs/qaa/quality-code/uk-quality-code-for-higher-education-2024.pdf?sfvrsn=19a5b881_32" TargetMode="External"/><Relationship Id="rId29" Type="http://schemas.openxmlformats.org/officeDocument/2006/relationships/hyperlink" Target="https://www.officeforstudents.org.uk/advice-and-guidance/regulation/registration-with-the-ofs-a-guide/conditions-of-registration/" TargetMode="External"/><Relationship Id="rId11" Type="http://schemas.openxmlformats.org/officeDocument/2006/relationships/header" Target="header1.xml"/><Relationship Id="rId24" Type="http://schemas.openxmlformats.org/officeDocument/2006/relationships/hyperlink" Target="https://www.edgehill.ac.uk/document/academic-regulations-2023-2024/" TargetMode="External"/><Relationship Id="rId32" Type="http://schemas.openxmlformats.org/officeDocument/2006/relationships/hyperlink" Target="https://wiki.edgehill.ac.uk/display/agqa/Template+Documents" TargetMode="External"/><Relationship Id="rId37" Type="http://schemas.openxmlformats.org/officeDocument/2006/relationships/hyperlink" Target="https://edgehill.sharepoint.com/sites/agqa/SitePages/Faculty-Quality-Processes-and-Responsibilities.aspx" TargetMode="External"/><Relationship Id="rId40" Type="http://schemas.openxmlformats.org/officeDocument/2006/relationships/hyperlink" Target="https://wiki.edgehill.ac.uk/display/agqa/Template+Documents" TargetMode="External"/><Relationship Id="rId45" Type="http://schemas.openxmlformats.org/officeDocument/2006/relationships/hyperlink" Target="https://edgehill.sharepoint.com/sites/GQASC" TargetMode="External"/><Relationship Id="rId53" Type="http://schemas.openxmlformats.org/officeDocument/2006/relationships/hyperlink" Target="https://wiki.edgehill.ac.uk/display/agqa/Template+Documents"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edgehill.ac.uk/document/international-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ficeforstudents.org.uk/media/53821cbf-5779-4380-bf2a-aa8f5c53ecd4/sector-recognised-standards.pdf" TargetMode="External"/><Relationship Id="rId22" Type="http://schemas.openxmlformats.org/officeDocument/2006/relationships/hyperlink" Target="https://wiki.edgehill.ac.uk/display/agqa/Key+Guidance+Documents" TargetMode="External"/><Relationship Id="rId27" Type="http://schemas.openxmlformats.org/officeDocument/2006/relationships/hyperlink" Target="https://www.qaa.ac.uk/the-quality-code/qualifications-frameworks" TargetMode="External"/><Relationship Id="rId30" Type="http://schemas.openxmlformats.org/officeDocument/2006/relationships/hyperlink" Target="https://www.instituteforapprenticeships.org/" TargetMode="External"/><Relationship Id="rId35" Type="http://schemas.openxmlformats.org/officeDocument/2006/relationships/hyperlink" Target="https://edgehill.sharepoint.com/sites/agqa/SitePages/Faculty-Quality-Processes-and-Responsibilities.aspx" TargetMode="External"/><Relationship Id="rId43" Type="http://schemas.openxmlformats.org/officeDocument/2006/relationships/image" Target="media/image1.emf"/><Relationship Id="rId48" Type="http://schemas.openxmlformats.org/officeDocument/2006/relationships/diagramLayout" Target="diagrams/layout1.xml"/><Relationship Id="rId56" Type="http://schemas.openxmlformats.org/officeDocument/2006/relationships/hyperlink" Target="https://www.edgehill.ac.uk/document/student-protection-plan/" TargetMode="External"/><Relationship Id="rId8" Type="http://schemas.openxmlformats.org/officeDocument/2006/relationships/webSettings" Target="webSettings.xml"/><Relationship Id="rId51" Type="http://schemas.microsoft.com/office/2007/relationships/diagramDrawing" Target="diagrams/drawing1.xml"/><Relationship Id="rId3" Type="http://schemas.openxmlformats.org/officeDocument/2006/relationships/customXml" Target="../customXml/item3.xml"/><Relationship Id="rId12" Type="http://schemas.openxmlformats.org/officeDocument/2006/relationships/hyperlink" Target="https://www.officeforstudents.org.uk/advice-and-guidance/quality-and-standards/how-we-regulate-quality-and-standards/" TargetMode="External"/><Relationship Id="rId17" Type="http://schemas.openxmlformats.org/officeDocument/2006/relationships/hyperlink" Target="https://www.universitiesuk.ac.uk/what-we-do/policy-and-research/publications/franchise-governance-framework" TargetMode="External"/><Relationship Id="rId25" Type="http://schemas.openxmlformats.org/officeDocument/2006/relationships/hyperlink" Target="https://edgehill.sharepoint.com/sites/agqa/SitePages/Faculty-Quality-Processes-and-Responsibilities.aspx" TargetMode="External"/><Relationship Id="rId33" Type="http://schemas.openxmlformats.org/officeDocument/2006/relationships/hyperlink" Target="https://wiki.edgehill.ac.uk/display/agqa/Template+Documents" TargetMode="External"/><Relationship Id="rId38" Type="http://schemas.openxmlformats.org/officeDocument/2006/relationships/hyperlink" Target="https://wiki.edgehill.ac.uk/display/agqa/Template+Documents" TargetMode="External"/><Relationship Id="rId46" Type="http://schemas.openxmlformats.org/officeDocument/2006/relationships/hyperlink" Target="https://wiki.edgehill.ac.uk/display/agqa/Key+Guidance+Documents" TargetMode="External"/><Relationship Id="rId59" Type="http://schemas.openxmlformats.org/officeDocument/2006/relationships/fontTable" Target="fontTable.xml"/><Relationship Id="rId20" Type="http://schemas.openxmlformats.org/officeDocument/2006/relationships/hyperlink" Target="https://www.edgehill.ac.uk/document/research-degree-regulations/" TargetMode="External"/><Relationship Id="rId41" Type="http://schemas.openxmlformats.org/officeDocument/2006/relationships/hyperlink" Target="https://www.qaa.ac.uk/docs/qaa/quality-code/qualifications-involving-more-than-one-degree-awarding-body.pdf?sfvrsn=4cc5ca81_10" TargetMode="External"/><Relationship Id="rId54"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qaa.ac.uk/en/the-quality-code/advice-and-guidance/partnerships" TargetMode="External"/><Relationship Id="rId23" Type="http://schemas.openxmlformats.org/officeDocument/2006/relationships/hyperlink" Target="https://www.edgehill.ac.uk/departments/support/gqasc/agqa/academic-partnerships/" TargetMode="External"/><Relationship Id="rId28" Type="http://schemas.openxmlformats.org/officeDocument/2006/relationships/hyperlink" Target="https://www.edgehill.ac.uk/document/student-protection-plan/" TargetMode="External"/><Relationship Id="rId36" Type="http://schemas.openxmlformats.org/officeDocument/2006/relationships/hyperlink" Target="https://wiki.edgehill.ac.uk/display/agqa/Key+Guidance+Documents" TargetMode="External"/><Relationship Id="rId49" Type="http://schemas.openxmlformats.org/officeDocument/2006/relationships/diagramQuickStyle" Target="diagrams/quickStyle1.xml"/><Relationship Id="rId57" Type="http://schemas.openxmlformats.org/officeDocument/2006/relationships/hyperlink" Target="https://www.officeforstudents.org.uk/advice-and-guidance/regulation/registration-with-the-ofs-a-guide/conditions-of-registration/" TargetMode="External"/><Relationship Id="rId10" Type="http://schemas.openxmlformats.org/officeDocument/2006/relationships/endnotes" Target="endnotes.xml"/><Relationship Id="rId31" Type="http://schemas.openxmlformats.org/officeDocument/2006/relationships/hyperlink" Target="https://www.qaa.ac.uk/the-quality-code/characteristics-statements/higher-education-in-apprenticeships-characteristics-statement" TargetMode="External"/><Relationship Id="rId44" Type="http://schemas.openxmlformats.org/officeDocument/2006/relationships/hyperlink" Target="https://wiki.edgehill.ac.uk/display/agqa/Key+Guidance+Documents" TargetMode="External"/><Relationship Id="rId52" Type="http://schemas.openxmlformats.org/officeDocument/2006/relationships/image" Target="media/image2.png"/><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59885/Consumer_law_advice_for_higher_education_providers_.pdf" TargetMode="External"/><Relationship Id="rId3" Type="http://schemas.openxmlformats.org/officeDocument/2006/relationships/hyperlink" Target="https://www.gov.uk/government/news/esfa-functions-to-move-to-the-department-for-education" TargetMode="External"/><Relationship Id="rId7" Type="http://schemas.openxmlformats.org/officeDocument/2006/relationships/hyperlink" Target="https://edgehill.sharepoint.com/sites/agqa/SitePages/Faculty-Quality-Processes-and-Responsibilities.aspx" TargetMode="External"/><Relationship Id="rId12" Type="http://schemas.openxmlformats.org/officeDocument/2006/relationships/hyperlink" Target="https://wiki.edgehill.ac.uk/display/agqa/Template+Documents" TargetMode="External"/><Relationship Id="rId2" Type="http://schemas.openxmlformats.org/officeDocument/2006/relationships/hyperlink" Target="https://wiki.edgehill.ac.uk/display/agqa/Template+Documents" TargetMode="External"/><Relationship Id="rId1" Type="http://schemas.openxmlformats.org/officeDocument/2006/relationships/hyperlink" Target="https://www.qaa.ac.uk/docs/qaa/quality-code/uk-quality-code-for-higher-education-2024.pdf?sfvrsn=19a5b881_32" TargetMode="External"/><Relationship Id="rId6" Type="http://schemas.openxmlformats.org/officeDocument/2006/relationships/hyperlink" Target="https://www.enic.org.uk/" TargetMode="External"/><Relationship Id="rId11" Type="http://schemas.openxmlformats.org/officeDocument/2006/relationships/hyperlink" Target="https://wiki.edgehill.ac.uk/display/agqa/Key+Guidance+Documents" TargetMode="External"/><Relationship Id="rId5" Type="http://schemas.openxmlformats.org/officeDocument/2006/relationships/hyperlink" Target="https://www.asetonline.org/wp-content/uploads/2024/04/ASET-Good-Practice-Guide-Work-based-and-Placement-Learning.pdf" TargetMode="External"/><Relationship Id="rId10" Type="http://schemas.openxmlformats.org/officeDocument/2006/relationships/hyperlink" Target="https://www.instituteforapprenticeships.org/developing-new-apprenticeships/degree-apprenticeships/" TargetMode="External"/><Relationship Id="rId4" Type="http://schemas.openxmlformats.org/officeDocument/2006/relationships/hyperlink" Target="http://www.qaa.ac.uk/docs/qaa/quality-code/foundation-degree-characteristics-statement-2020.pdf?sfvrsn=6fc5ca81_10" TargetMode="External"/><Relationship Id="rId9" Type="http://schemas.openxmlformats.org/officeDocument/2006/relationships/hyperlink" Target="https://www.membershipresources.qaa.ac.uk/docs/membership-resources/teaching-learning-and-assessment/he-apprenticeships-toolkit-quality-assuring-and-enhancing-higher-education-apprenticeships.pdf?sfvrsn=e7fbb481_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A4BFFD-7283-4248-95AB-42138509336D}"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B91DA18E-3ECB-47DA-9167-83C90C318EE5}">
      <dgm:prSet custT="1"/>
      <dgm:spPr>
        <a:xfrm>
          <a:off x="1852653" y="-37298"/>
          <a:ext cx="1373135" cy="82574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dirty="0">
              <a:solidFill>
                <a:sysClr val="window" lastClr="FFFFFF"/>
              </a:solidFill>
              <a:latin typeface="+mn-lt"/>
              <a:ea typeface="+mn-ea"/>
              <a:cs typeface="Arial" panose="020B0604020202020204" pitchFamily="34" charset="0"/>
            </a:rPr>
            <a:t>Faculty Quality Committees (November)- ANNUAL REVIEW REPORTS</a:t>
          </a:r>
        </a:p>
      </dgm:t>
    </dgm:pt>
    <dgm:pt modelId="{52A5A9BA-0FEF-4BD9-8929-1BF1C80D092B}" type="parTrans" cxnId="{CEC785B1-DAFD-47C5-A763-07642CB020F6}">
      <dgm:prSet/>
      <dgm:spPr/>
      <dgm:t>
        <a:bodyPr/>
        <a:lstStyle/>
        <a:p>
          <a:endParaRPr lang="en-GB" sz="1600">
            <a:latin typeface="Arial" panose="020B0604020202020204" pitchFamily="34" charset="0"/>
            <a:cs typeface="Arial" panose="020B0604020202020204" pitchFamily="34" charset="0"/>
          </a:endParaRPr>
        </a:p>
      </dgm:t>
    </dgm:pt>
    <dgm:pt modelId="{C6001136-6D2E-4E4F-B1D2-B620167F1B00}" type="sibTrans" cxnId="{CEC785B1-DAFD-47C5-A763-07642CB020F6}">
      <dgm:prSet/>
      <dgm:spPr>
        <a:xfrm>
          <a:off x="740567" y="17025"/>
          <a:ext cx="3597307" cy="3597307"/>
        </a:xfrm>
        <a:prstGeom prst="circularArrow">
          <a:avLst>
            <a:gd name="adj1" fmla="val 5544"/>
            <a:gd name="adj2" fmla="val 330680"/>
            <a:gd name="adj3" fmla="val 14192017"/>
            <a:gd name="adj4" fmla="val 17137597"/>
            <a:gd name="adj5" fmla="val 5757"/>
          </a:avLst>
        </a:prstGeom>
        <a:solidFill>
          <a:srgbClr val="4F81BD">
            <a:tint val="40000"/>
            <a:hueOff val="0"/>
            <a:satOff val="0"/>
            <a:lumOff val="0"/>
            <a:alphaOff val="0"/>
          </a:srgbClr>
        </a:solidFill>
        <a:ln>
          <a:noFill/>
        </a:ln>
        <a:effectLst/>
      </dgm:spPr>
      <dgm:t>
        <a:bodyPr/>
        <a:lstStyle/>
        <a:p>
          <a:endParaRPr lang="en-GB" sz="1600">
            <a:latin typeface="Arial" panose="020B0604020202020204" pitchFamily="34" charset="0"/>
            <a:cs typeface="Arial" panose="020B0604020202020204" pitchFamily="34" charset="0"/>
          </a:endParaRPr>
        </a:p>
      </dgm:t>
    </dgm:pt>
    <dgm:pt modelId="{450AB297-D27A-444B-AAF9-F926785B03BC}">
      <dgm:prSet custT="1"/>
      <dgm:spPr>
        <a:xfrm>
          <a:off x="2990264" y="2487629"/>
          <a:ext cx="1351696" cy="95511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dirty="0">
              <a:solidFill>
                <a:sysClr val="window" lastClr="FFFFFF"/>
              </a:solidFill>
              <a:latin typeface="+mn-lt"/>
              <a:ea typeface="+mn-ea"/>
              <a:cs typeface="Arial" panose="020B0604020202020204" pitchFamily="34" charset="0"/>
            </a:rPr>
            <a:t>AQEC (February) - ANNUAL REVIEW REPORTS</a:t>
          </a:r>
        </a:p>
      </dgm:t>
    </dgm:pt>
    <dgm:pt modelId="{FFC62F5D-9320-4CC6-91E0-DC228FB241E4}" type="parTrans" cxnId="{8F85D9F3-5195-4F01-A54D-C71CA1C6C2CE}">
      <dgm:prSet/>
      <dgm:spPr/>
      <dgm:t>
        <a:bodyPr/>
        <a:lstStyle/>
        <a:p>
          <a:endParaRPr lang="en-GB" sz="1600">
            <a:latin typeface="Arial" panose="020B0604020202020204" pitchFamily="34" charset="0"/>
            <a:cs typeface="Arial" panose="020B0604020202020204" pitchFamily="34" charset="0"/>
          </a:endParaRPr>
        </a:p>
      </dgm:t>
    </dgm:pt>
    <dgm:pt modelId="{0D106CFB-8060-4303-8D8D-8428F5D1EEFD}" type="sibTrans" cxnId="{8F85D9F3-5195-4F01-A54D-C71CA1C6C2CE}">
      <dgm:prSet/>
      <dgm:spPr/>
      <dgm:t>
        <a:bodyPr/>
        <a:lstStyle/>
        <a:p>
          <a:endParaRPr lang="en-GB" sz="1600">
            <a:latin typeface="Arial" panose="020B0604020202020204" pitchFamily="34" charset="0"/>
            <a:cs typeface="Arial" panose="020B0604020202020204" pitchFamily="34" charset="0"/>
          </a:endParaRPr>
        </a:p>
      </dgm:t>
    </dgm:pt>
    <dgm:pt modelId="{09BCDA72-EADD-40D8-9AC2-F420A481BBB7}">
      <dgm:prSet phldrT="[Text]" custT="1"/>
      <dgm:spPr>
        <a:xfrm>
          <a:off x="3403700" y="1125488"/>
          <a:ext cx="1332067" cy="90639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dirty="0">
              <a:solidFill>
                <a:sysClr val="window" lastClr="FFFFFF"/>
              </a:solidFill>
              <a:latin typeface="Arial" panose="020B0604020202020204" pitchFamily="34" charset="0"/>
              <a:ea typeface="+mn-ea"/>
              <a:cs typeface="Arial" panose="020B0604020202020204" pitchFamily="34" charset="0"/>
            </a:rPr>
            <a:t>Partnership Management Group- Risk Register (standing item- December)</a:t>
          </a:r>
        </a:p>
      </dgm:t>
    </dgm:pt>
    <dgm:pt modelId="{34F65153-D51B-4D11-AC8D-544073E6E0C3}" type="parTrans" cxnId="{062C7845-45C8-478F-82D9-3343873756ED}">
      <dgm:prSet/>
      <dgm:spPr/>
      <dgm:t>
        <a:bodyPr/>
        <a:lstStyle/>
        <a:p>
          <a:endParaRPr lang="en-GB" sz="1600">
            <a:latin typeface="Arial" panose="020B0604020202020204" pitchFamily="34" charset="0"/>
            <a:cs typeface="Arial" panose="020B0604020202020204" pitchFamily="34" charset="0"/>
          </a:endParaRPr>
        </a:p>
      </dgm:t>
    </dgm:pt>
    <dgm:pt modelId="{8BCFBC36-6B76-452D-80EF-80568AB46965}" type="sibTrans" cxnId="{062C7845-45C8-478F-82D9-3343873756ED}">
      <dgm:prSet/>
      <dgm:spPr/>
      <dgm:t>
        <a:bodyPr/>
        <a:lstStyle/>
        <a:p>
          <a:endParaRPr lang="en-GB" sz="1600">
            <a:latin typeface="Arial" panose="020B0604020202020204" pitchFamily="34" charset="0"/>
            <a:cs typeface="Arial" panose="020B0604020202020204" pitchFamily="34" charset="0"/>
          </a:endParaRPr>
        </a:p>
      </dgm:t>
    </dgm:pt>
    <dgm:pt modelId="{C651837D-E288-40E6-A612-72BDAED3558B}">
      <dgm:prSet phldrT="[Text]" custT="1"/>
      <dgm:spPr>
        <a:xfrm>
          <a:off x="670009" y="2518829"/>
          <a:ext cx="1367951" cy="92467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dirty="0">
              <a:solidFill>
                <a:sysClr val="window" lastClr="FFFFFF"/>
              </a:solidFill>
              <a:latin typeface="+mn-lt"/>
              <a:ea typeface="+mn-ea"/>
              <a:cs typeface="Arial" panose="020B0604020202020204" pitchFamily="34" charset="0"/>
            </a:rPr>
            <a:t>Partnership Management Group- Risk Register (standing item- April)</a:t>
          </a:r>
        </a:p>
      </dgm:t>
    </dgm:pt>
    <dgm:pt modelId="{A84BE641-888B-40CA-BA56-55F9C7106F41}" type="parTrans" cxnId="{372BA4DC-BD1C-48D6-98C9-77C69B728495}">
      <dgm:prSet/>
      <dgm:spPr/>
      <dgm:t>
        <a:bodyPr/>
        <a:lstStyle/>
        <a:p>
          <a:endParaRPr lang="en-GB" sz="1600">
            <a:latin typeface="Arial" panose="020B0604020202020204" pitchFamily="34" charset="0"/>
            <a:cs typeface="Arial" panose="020B0604020202020204" pitchFamily="34" charset="0"/>
          </a:endParaRPr>
        </a:p>
      </dgm:t>
    </dgm:pt>
    <dgm:pt modelId="{DDFE2DC2-4257-4F38-819C-0A7E1AF7B35F}" type="sibTrans" cxnId="{372BA4DC-BD1C-48D6-98C9-77C69B728495}">
      <dgm:prSet/>
      <dgm:spPr/>
      <dgm:t>
        <a:bodyPr/>
        <a:lstStyle/>
        <a:p>
          <a:endParaRPr lang="en-GB" sz="1600">
            <a:latin typeface="Arial" panose="020B0604020202020204" pitchFamily="34" charset="0"/>
            <a:cs typeface="Arial" panose="020B0604020202020204" pitchFamily="34" charset="0"/>
          </a:endParaRPr>
        </a:p>
      </dgm:t>
    </dgm:pt>
    <dgm:pt modelId="{B4E230A3-091D-4720-A305-8F112DA723EC}">
      <dgm:prSet phldrT="[Text]" custT="1"/>
      <dgm:spPr>
        <a:xfrm>
          <a:off x="242377" y="1101583"/>
          <a:ext cx="1278152" cy="92714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dirty="0">
              <a:solidFill>
                <a:sysClr val="window" lastClr="FFFFFF"/>
              </a:solidFill>
              <a:latin typeface="+mn-lt"/>
              <a:ea typeface="+mn-ea"/>
              <a:cs typeface="Arial" panose="020B0604020202020204" pitchFamily="34" charset="0"/>
            </a:rPr>
            <a:t>Partnership Management Group- Risk Register (standing item- July)</a:t>
          </a:r>
        </a:p>
      </dgm:t>
    </dgm:pt>
    <dgm:pt modelId="{39563E8E-2B93-46F9-A447-96B67260766D}" type="parTrans" cxnId="{320D1A4E-F6A8-4310-84B7-40BD0EF54728}">
      <dgm:prSet/>
      <dgm:spPr/>
      <dgm:t>
        <a:bodyPr/>
        <a:lstStyle/>
        <a:p>
          <a:endParaRPr lang="en-GB" sz="1600">
            <a:latin typeface="Arial" panose="020B0604020202020204" pitchFamily="34" charset="0"/>
            <a:cs typeface="Arial" panose="020B0604020202020204" pitchFamily="34" charset="0"/>
          </a:endParaRPr>
        </a:p>
      </dgm:t>
    </dgm:pt>
    <dgm:pt modelId="{B89CB91E-6D26-4D59-BF6C-D631646E8783}" type="sibTrans" cxnId="{320D1A4E-F6A8-4310-84B7-40BD0EF54728}">
      <dgm:prSet/>
      <dgm:spPr/>
      <dgm:t>
        <a:bodyPr/>
        <a:lstStyle/>
        <a:p>
          <a:endParaRPr lang="en-GB" sz="1600">
            <a:latin typeface="Arial" panose="020B0604020202020204" pitchFamily="34" charset="0"/>
            <a:cs typeface="Arial" panose="020B0604020202020204" pitchFamily="34" charset="0"/>
          </a:endParaRPr>
        </a:p>
      </dgm:t>
    </dgm:pt>
    <dgm:pt modelId="{83C8643A-E698-44E1-B71D-DA2F9C4F63A8}" type="pres">
      <dgm:prSet presAssocID="{26A4BFFD-7283-4248-95AB-42138509336D}" presName="Name0" presStyleCnt="0">
        <dgm:presLayoutVars>
          <dgm:dir/>
          <dgm:resizeHandles val="exact"/>
        </dgm:presLayoutVars>
      </dgm:prSet>
      <dgm:spPr/>
    </dgm:pt>
    <dgm:pt modelId="{77AA6C09-63A3-46C2-B5A9-77EFED2E1ECE}" type="pres">
      <dgm:prSet presAssocID="{26A4BFFD-7283-4248-95AB-42138509336D}" presName="cycle" presStyleCnt="0"/>
      <dgm:spPr/>
    </dgm:pt>
    <dgm:pt modelId="{6D36A609-A25B-4C3B-9ECE-BDD0D114E8F1}" type="pres">
      <dgm:prSet presAssocID="{B91DA18E-3ECB-47DA-9167-83C90C318EE5}" presName="nodeFirstNode" presStyleLbl="node1" presStyleIdx="0" presStyleCnt="5" custScaleX="84224" custScaleY="101297">
        <dgm:presLayoutVars>
          <dgm:bulletEnabled val="1"/>
        </dgm:presLayoutVars>
      </dgm:prSet>
      <dgm:spPr/>
    </dgm:pt>
    <dgm:pt modelId="{32D98496-D950-4791-8BDA-64EA5AD4127E}" type="pres">
      <dgm:prSet presAssocID="{C6001136-6D2E-4E4F-B1D2-B620167F1B00}" presName="sibTransFirstNode" presStyleLbl="bgShp" presStyleIdx="0" presStyleCnt="1"/>
      <dgm:spPr/>
    </dgm:pt>
    <dgm:pt modelId="{0BE20887-B3DA-438D-97FF-00B1D66DB346}" type="pres">
      <dgm:prSet presAssocID="{09BCDA72-EADD-40D8-9AC2-F420A481BBB7}" presName="nodeFollowingNodes" presStyleLbl="node1" presStyleIdx="1" presStyleCnt="5" custScaleX="86654" custScaleY="111191" custRadScaleRad="102076" custRadScaleInc="9666">
        <dgm:presLayoutVars>
          <dgm:bulletEnabled val="1"/>
        </dgm:presLayoutVars>
      </dgm:prSet>
      <dgm:spPr/>
    </dgm:pt>
    <dgm:pt modelId="{49FE5209-B452-4E2D-836C-A0222E3A7C1D}" type="pres">
      <dgm:prSet presAssocID="{450AB297-D27A-444B-AAF9-F926785B03BC}" presName="nodeFollowingNodes" presStyleLbl="node1" presStyleIdx="2" presStyleCnt="5" custScaleX="82909" custScaleY="117168" custRadScaleRad="100654" custRadScaleInc="-18119">
        <dgm:presLayoutVars>
          <dgm:bulletEnabled val="1"/>
        </dgm:presLayoutVars>
      </dgm:prSet>
      <dgm:spPr/>
    </dgm:pt>
    <dgm:pt modelId="{2F5647BD-0E45-4C63-9F9A-892CC3D82387}" type="pres">
      <dgm:prSet presAssocID="{C651837D-E288-40E6-A612-72BDAED3558B}" presName="nodeFollowingNodes" presStyleLbl="node1" presStyleIdx="3" presStyleCnt="5" custScaleX="83906" custScaleY="113433" custRadScaleRad="104158" custRadScaleInc="19806">
        <dgm:presLayoutVars>
          <dgm:bulletEnabled val="1"/>
        </dgm:presLayoutVars>
      </dgm:prSet>
      <dgm:spPr/>
    </dgm:pt>
    <dgm:pt modelId="{413E67BD-6E17-4696-8AB4-524EB0D07776}" type="pres">
      <dgm:prSet presAssocID="{B4E230A3-091D-4720-A305-8F112DA723EC}" presName="nodeFollowingNodes" presStyleLbl="node1" presStyleIdx="4" presStyleCnt="5" custScaleX="87365" custScaleY="113737" custRadScaleRad="110374" custRadScaleInc="-10437">
        <dgm:presLayoutVars>
          <dgm:bulletEnabled val="1"/>
        </dgm:presLayoutVars>
      </dgm:prSet>
      <dgm:spPr/>
    </dgm:pt>
  </dgm:ptLst>
  <dgm:cxnLst>
    <dgm:cxn modelId="{062C7845-45C8-478F-82D9-3343873756ED}" srcId="{26A4BFFD-7283-4248-95AB-42138509336D}" destId="{09BCDA72-EADD-40D8-9AC2-F420A481BBB7}" srcOrd="1" destOrd="0" parTransId="{34F65153-D51B-4D11-AC8D-544073E6E0C3}" sibTransId="{8BCFBC36-6B76-452D-80EF-80568AB46965}"/>
    <dgm:cxn modelId="{320D1A4E-F6A8-4310-84B7-40BD0EF54728}" srcId="{26A4BFFD-7283-4248-95AB-42138509336D}" destId="{B4E230A3-091D-4720-A305-8F112DA723EC}" srcOrd="4" destOrd="0" parTransId="{39563E8E-2B93-46F9-A447-96B67260766D}" sibTransId="{B89CB91E-6D26-4D59-BF6C-D631646E8783}"/>
    <dgm:cxn modelId="{1D237251-0B77-4C6C-B608-92DB6F0712F4}" type="presOf" srcId="{26A4BFFD-7283-4248-95AB-42138509336D}" destId="{83C8643A-E698-44E1-B71D-DA2F9C4F63A8}" srcOrd="0" destOrd="0" presId="urn:microsoft.com/office/officeart/2005/8/layout/cycle3"/>
    <dgm:cxn modelId="{A88D2F92-9388-4664-AECE-906268F16ECA}" type="presOf" srcId="{B91DA18E-3ECB-47DA-9167-83C90C318EE5}" destId="{6D36A609-A25B-4C3B-9ECE-BDD0D114E8F1}" srcOrd="0" destOrd="0" presId="urn:microsoft.com/office/officeart/2005/8/layout/cycle3"/>
    <dgm:cxn modelId="{CEC785B1-DAFD-47C5-A763-07642CB020F6}" srcId="{26A4BFFD-7283-4248-95AB-42138509336D}" destId="{B91DA18E-3ECB-47DA-9167-83C90C318EE5}" srcOrd="0" destOrd="0" parTransId="{52A5A9BA-0FEF-4BD9-8929-1BF1C80D092B}" sibTransId="{C6001136-6D2E-4E4F-B1D2-B620167F1B00}"/>
    <dgm:cxn modelId="{31B922B3-D5E9-4972-A294-94956C2C4935}" type="presOf" srcId="{C6001136-6D2E-4E4F-B1D2-B620167F1B00}" destId="{32D98496-D950-4791-8BDA-64EA5AD4127E}" srcOrd="0" destOrd="0" presId="urn:microsoft.com/office/officeart/2005/8/layout/cycle3"/>
    <dgm:cxn modelId="{0A52B1B8-EE9F-4A2C-810F-0021046E612A}" type="presOf" srcId="{09BCDA72-EADD-40D8-9AC2-F420A481BBB7}" destId="{0BE20887-B3DA-438D-97FF-00B1D66DB346}" srcOrd="0" destOrd="0" presId="urn:microsoft.com/office/officeart/2005/8/layout/cycle3"/>
    <dgm:cxn modelId="{72729CC1-59E3-4F5A-B952-3794E5E17CBF}" type="presOf" srcId="{C651837D-E288-40E6-A612-72BDAED3558B}" destId="{2F5647BD-0E45-4C63-9F9A-892CC3D82387}" srcOrd="0" destOrd="0" presId="urn:microsoft.com/office/officeart/2005/8/layout/cycle3"/>
    <dgm:cxn modelId="{BB8E3DD7-4B62-4A80-AAF1-6CDCE70BFA6C}" type="presOf" srcId="{450AB297-D27A-444B-AAF9-F926785B03BC}" destId="{49FE5209-B452-4E2D-836C-A0222E3A7C1D}" srcOrd="0" destOrd="0" presId="urn:microsoft.com/office/officeart/2005/8/layout/cycle3"/>
    <dgm:cxn modelId="{372BA4DC-BD1C-48D6-98C9-77C69B728495}" srcId="{26A4BFFD-7283-4248-95AB-42138509336D}" destId="{C651837D-E288-40E6-A612-72BDAED3558B}" srcOrd="3" destOrd="0" parTransId="{A84BE641-888B-40CA-BA56-55F9C7106F41}" sibTransId="{DDFE2DC2-4257-4F38-819C-0A7E1AF7B35F}"/>
    <dgm:cxn modelId="{F14522E7-1AF1-4BDD-90AC-8392B1B889C7}" type="presOf" srcId="{B4E230A3-091D-4720-A305-8F112DA723EC}" destId="{413E67BD-6E17-4696-8AB4-524EB0D07776}" srcOrd="0" destOrd="0" presId="urn:microsoft.com/office/officeart/2005/8/layout/cycle3"/>
    <dgm:cxn modelId="{8F85D9F3-5195-4F01-A54D-C71CA1C6C2CE}" srcId="{26A4BFFD-7283-4248-95AB-42138509336D}" destId="{450AB297-D27A-444B-AAF9-F926785B03BC}" srcOrd="2" destOrd="0" parTransId="{FFC62F5D-9320-4CC6-91E0-DC228FB241E4}" sibTransId="{0D106CFB-8060-4303-8D8D-8428F5D1EEFD}"/>
    <dgm:cxn modelId="{5C1F11A4-69FD-4625-95B1-1E711E6AD687}" type="presParOf" srcId="{83C8643A-E698-44E1-B71D-DA2F9C4F63A8}" destId="{77AA6C09-63A3-46C2-B5A9-77EFED2E1ECE}" srcOrd="0" destOrd="0" presId="urn:microsoft.com/office/officeart/2005/8/layout/cycle3"/>
    <dgm:cxn modelId="{D162238D-1B47-4CBA-AC97-B592247BBE9F}" type="presParOf" srcId="{77AA6C09-63A3-46C2-B5A9-77EFED2E1ECE}" destId="{6D36A609-A25B-4C3B-9ECE-BDD0D114E8F1}" srcOrd="0" destOrd="0" presId="urn:microsoft.com/office/officeart/2005/8/layout/cycle3"/>
    <dgm:cxn modelId="{AFCD28FA-BE30-44A3-BBB8-5EF339F7F89D}" type="presParOf" srcId="{77AA6C09-63A3-46C2-B5A9-77EFED2E1ECE}" destId="{32D98496-D950-4791-8BDA-64EA5AD4127E}" srcOrd="1" destOrd="0" presId="urn:microsoft.com/office/officeart/2005/8/layout/cycle3"/>
    <dgm:cxn modelId="{682246CD-E51E-439E-8343-3E1631717603}" type="presParOf" srcId="{77AA6C09-63A3-46C2-B5A9-77EFED2E1ECE}" destId="{0BE20887-B3DA-438D-97FF-00B1D66DB346}" srcOrd="2" destOrd="0" presId="urn:microsoft.com/office/officeart/2005/8/layout/cycle3"/>
    <dgm:cxn modelId="{C8444FEF-5396-4FE0-BF97-1B33B7705886}" type="presParOf" srcId="{77AA6C09-63A3-46C2-B5A9-77EFED2E1ECE}" destId="{49FE5209-B452-4E2D-836C-A0222E3A7C1D}" srcOrd="3" destOrd="0" presId="urn:microsoft.com/office/officeart/2005/8/layout/cycle3"/>
    <dgm:cxn modelId="{B046A006-0DA4-46BC-B124-00B05F1551EA}" type="presParOf" srcId="{77AA6C09-63A3-46C2-B5A9-77EFED2E1ECE}" destId="{2F5647BD-0E45-4C63-9F9A-892CC3D82387}" srcOrd="4" destOrd="0" presId="urn:microsoft.com/office/officeart/2005/8/layout/cycle3"/>
    <dgm:cxn modelId="{F020B979-6ACD-4B47-89CD-3D675D50A3F3}" type="presParOf" srcId="{77AA6C09-63A3-46C2-B5A9-77EFED2E1ECE}" destId="{413E67BD-6E17-4696-8AB4-524EB0D07776}" srcOrd="5" destOrd="0" presId="urn:microsoft.com/office/officeart/2005/8/layout/cycle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D98496-D950-4791-8BDA-64EA5AD4127E}">
      <dsp:nvSpPr>
        <dsp:cNvPr id="0" name=""/>
        <dsp:cNvSpPr/>
      </dsp:nvSpPr>
      <dsp:spPr>
        <a:xfrm>
          <a:off x="596372" y="15731"/>
          <a:ext cx="3321029" cy="3321029"/>
        </a:xfrm>
        <a:prstGeom prst="circularArrow">
          <a:avLst>
            <a:gd name="adj1" fmla="val 5544"/>
            <a:gd name="adj2" fmla="val 330680"/>
            <a:gd name="adj3" fmla="val 14192017"/>
            <a:gd name="adj4" fmla="val 17137597"/>
            <a:gd name="adj5" fmla="val 5757"/>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6D36A609-A25B-4C3B-9ECE-BDD0D114E8F1}">
      <dsp:nvSpPr>
        <dsp:cNvPr id="0" name=""/>
        <dsp:cNvSpPr/>
      </dsp:nvSpPr>
      <dsp:spPr>
        <a:xfrm>
          <a:off x="1632048" y="-33261"/>
          <a:ext cx="1249677" cy="75149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mn-lt"/>
              <a:ea typeface="+mn-ea"/>
              <a:cs typeface="Arial" panose="020B0604020202020204" pitchFamily="34" charset="0"/>
            </a:rPr>
            <a:t>Faculty Quality Committees (November)- ANNUAL REVIEW REPORTS</a:t>
          </a:r>
        </a:p>
      </dsp:txBody>
      <dsp:txXfrm>
        <a:off x="1668733" y="3424"/>
        <a:ext cx="1176307" cy="678129"/>
      </dsp:txXfrm>
    </dsp:sp>
    <dsp:sp modelId="{0BE20887-B3DA-438D-97FF-00B1D66DB346}">
      <dsp:nvSpPr>
        <dsp:cNvPr id="0" name=""/>
        <dsp:cNvSpPr/>
      </dsp:nvSpPr>
      <dsp:spPr>
        <a:xfrm>
          <a:off x="3026988" y="1040750"/>
          <a:ext cx="1285732" cy="8249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Arial" panose="020B0604020202020204" pitchFamily="34" charset="0"/>
              <a:ea typeface="+mn-ea"/>
              <a:cs typeface="Arial" panose="020B0604020202020204" pitchFamily="34" charset="0"/>
            </a:rPr>
            <a:t>Partnership Management Group- Risk Register (standing item- December)</a:t>
          </a:r>
        </a:p>
      </dsp:txBody>
      <dsp:txXfrm>
        <a:off x="3067256" y="1081018"/>
        <a:ext cx="1205196" cy="744364"/>
      </dsp:txXfrm>
    </dsp:sp>
    <dsp:sp modelId="{49FE5209-B452-4E2D-836C-A0222E3A7C1D}">
      <dsp:nvSpPr>
        <dsp:cNvPr id="0" name=""/>
        <dsp:cNvSpPr/>
      </dsp:nvSpPr>
      <dsp:spPr>
        <a:xfrm>
          <a:off x="2682149" y="2298596"/>
          <a:ext cx="1230165" cy="86924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mn-lt"/>
              <a:ea typeface="+mn-ea"/>
              <a:cs typeface="Arial" panose="020B0604020202020204" pitchFamily="34" charset="0"/>
            </a:rPr>
            <a:t>AQEC (February) - ANNUAL REVIEW REPORTS</a:t>
          </a:r>
        </a:p>
      </dsp:txBody>
      <dsp:txXfrm>
        <a:off x="2724582" y="2341029"/>
        <a:ext cx="1145299" cy="784376"/>
      </dsp:txXfrm>
    </dsp:sp>
    <dsp:sp modelId="{2F5647BD-0E45-4C63-9F9A-892CC3D82387}">
      <dsp:nvSpPr>
        <dsp:cNvPr id="0" name=""/>
        <dsp:cNvSpPr/>
      </dsp:nvSpPr>
      <dsp:spPr>
        <a:xfrm>
          <a:off x="540199" y="2327201"/>
          <a:ext cx="1244958" cy="84153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mn-lt"/>
              <a:ea typeface="+mn-ea"/>
              <a:cs typeface="Arial" panose="020B0604020202020204" pitchFamily="34" charset="0"/>
            </a:rPr>
            <a:t>Partnership Management Group- Risk Register (standing item- April)</a:t>
          </a:r>
        </a:p>
      </dsp:txBody>
      <dsp:txXfrm>
        <a:off x="581279" y="2368281"/>
        <a:ext cx="1162798" cy="759373"/>
      </dsp:txXfrm>
    </dsp:sp>
    <dsp:sp modelId="{413E67BD-6E17-4696-8AB4-524EB0D07776}">
      <dsp:nvSpPr>
        <dsp:cNvPr id="0" name=""/>
        <dsp:cNvSpPr/>
      </dsp:nvSpPr>
      <dsp:spPr>
        <a:xfrm>
          <a:off x="78297" y="1018817"/>
          <a:ext cx="1296282" cy="84378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mn-lt"/>
              <a:ea typeface="+mn-ea"/>
              <a:cs typeface="Arial" panose="020B0604020202020204" pitchFamily="34" charset="0"/>
            </a:rPr>
            <a:t>Partnership Management Group- Risk Register (standing item- July)</a:t>
          </a:r>
        </a:p>
      </dsp:txBody>
      <dsp:txXfrm>
        <a:off x="119487" y="1060007"/>
        <a:ext cx="1213902" cy="76140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ef36c6-9d14-4cb7-a279-bc430b32f6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4A92213EEF1A41AFFB867CFC1003C7" ma:contentTypeVersion="14" ma:contentTypeDescription="Create a new document." ma:contentTypeScope="" ma:versionID="2a5f283fcac95aebbbe7709ceea5f85c">
  <xsd:schema xmlns:xsd="http://www.w3.org/2001/XMLSchema" xmlns:xs="http://www.w3.org/2001/XMLSchema" xmlns:p="http://schemas.microsoft.com/office/2006/metadata/properties" xmlns:ns3="deef36c6-9d14-4cb7-a279-bc430b32f64d" xmlns:ns4="68c9a5ef-186a-4e86-9c1f-e906fa90f87c" targetNamespace="http://schemas.microsoft.com/office/2006/metadata/properties" ma:root="true" ma:fieldsID="255198355d231d49e9329e57bbd7d96f" ns3:_="" ns4:_="">
    <xsd:import namespace="deef36c6-9d14-4cb7-a279-bc430b32f64d"/>
    <xsd:import namespace="68c9a5ef-186a-4e86-9c1f-e906fa90f87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f36c6-9d14-4cb7-a279-bc430b32f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9a5ef-186a-4e86-9c1f-e906fa90f8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D612-4291-4FAC-9C94-03E5CEC46DEA}">
  <ds:schemaRefs>
    <ds:schemaRef ds:uri="http://purl.org/dc/dcmitype/"/>
    <ds:schemaRef ds:uri="http://purl.org/dc/elements/1.1/"/>
    <ds:schemaRef ds:uri="http://www.w3.org/XML/1998/namespace"/>
    <ds:schemaRef ds:uri="deef36c6-9d14-4cb7-a279-bc430b32f6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c9a5ef-186a-4e86-9c1f-e906fa90f87c"/>
    <ds:schemaRef ds:uri="http://schemas.microsoft.com/office/2006/metadata/properties"/>
  </ds:schemaRefs>
</ds:datastoreItem>
</file>

<file path=customXml/itemProps2.xml><?xml version="1.0" encoding="utf-8"?>
<ds:datastoreItem xmlns:ds="http://schemas.openxmlformats.org/officeDocument/2006/customXml" ds:itemID="{9C1161D5-7CAF-4AA8-8F12-3C57899DD2A5}">
  <ds:schemaRefs>
    <ds:schemaRef ds:uri="http://schemas.microsoft.com/sharepoint/v3/contenttype/forms"/>
  </ds:schemaRefs>
</ds:datastoreItem>
</file>

<file path=customXml/itemProps3.xml><?xml version="1.0" encoding="utf-8"?>
<ds:datastoreItem xmlns:ds="http://schemas.openxmlformats.org/officeDocument/2006/customXml" ds:itemID="{EA6EA210-8472-4E59-A5FB-AF7865B2AA80}">
  <ds:schemaRefs>
    <ds:schemaRef ds:uri="http://schemas.openxmlformats.org/officeDocument/2006/bibliography"/>
  </ds:schemaRefs>
</ds:datastoreItem>
</file>

<file path=customXml/itemProps4.xml><?xml version="1.0" encoding="utf-8"?>
<ds:datastoreItem xmlns:ds="http://schemas.openxmlformats.org/officeDocument/2006/customXml" ds:itemID="{DE856A2E-6911-4D82-9171-CBD46CD8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f36c6-9d14-4cb7-a279-bc430b32f64d"/>
    <ds:schemaRef ds:uri="68c9a5ef-186a-4e86-9c1f-e906fa90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40</Pages>
  <Words>12951</Words>
  <Characters>73822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Chapter 2 External Examiners</vt:lpstr>
    </vt:vector>
  </TitlesOfParts>
  <Company/>
  <LinksUpToDate>false</LinksUpToDate>
  <CharactersWithSpaces>86600</CharactersWithSpaces>
  <SharedDoc>false</SharedDoc>
  <HLinks>
    <vt:vector size="408" baseType="variant">
      <vt:variant>
        <vt:i4>1376317</vt:i4>
      </vt:variant>
      <vt:variant>
        <vt:i4>218</vt:i4>
      </vt:variant>
      <vt:variant>
        <vt:i4>0</vt:i4>
      </vt:variant>
      <vt:variant>
        <vt:i4>5</vt:i4>
      </vt:variant>
      <vt:variant>
        <vt:lpwstr/>
      </vt:variant>
      <vt:variant>
        <vt:lpwstr>_Toc81306201</vt:lpwstr>
      </vt:variant>
      <vt:variant>
        <vt:i4>1310781</vt:i4>
      </vt:variant>
      <vt:variant>
        <vt:i4>212</vt:i4>
      </vt:variant>
      <vt:variant>
        <vt:i4>0</vt:i4>
      </vt:variant>
      <vt:variant>
        <vt:i4>5</vt:i4>
      </vt:variant>
      <vt:variant>
        <vt:lpwstr/>
      </vt:variant>
      <vt:variant>
        <vt:lpwstr>_Toc81306200</vt:lpwstr>
      </vt:variant>
      <vt:variant>
        <vt:i4>1966132</vt:i4>
      </vt:variant>
      <vt:variant>
        <vt:i4>206</vt:i4>
      </vt:variant>
      <vt:variant>
        <vt:i4>0</vt:i4>
      </vt:variant>
      <vt:variant>
        <vt:i4>5</vt:i4>
      </vt:variant>
      <vt:variant>
        <vt:lpwstr/>
      </vt:variant>
      <vt:variant>
        <vt:lpwstr>_Toc81306199</vt:lpwstr>
      </vt:variant>
      <vt:variant>
        <vt:i4>2031668</vt:i4>
      </vt:variant>
      <vt:variant>
        <vt:i4>200</vt:i4>
      </vt:variant>
      <vt:variant>
        <vt:i4>0</vt:i4>
      </vt:variant>
      <vt:variant>
        <vt:i4>5</vt:i4>
      </vt:variant>
      <vt:variant>
        <vt:lpwstr/>
      </vt:variant>
      <vt:variant>
        <vt:lpwstr>_Toc81306198</vt:lpwstr>
      </vt:variant>
      <vt:variant>
        <vt:i4>1048628</vt:i4>
      </vt:variant>
      <vt:variant>
        <vt:i4>194</vt:i4>
      </vt:variant>
      <vt:variant>
        <vt:i4>0</vt:i4>
      </vt:variant>
      <vt:variant>
        <vt:i4>5</vt:i4>
      </vt:variant>
      <vt:variant>
        <vt:lpwstr/>
      </vt:variant>
      <vt:variant>
        <vt:lpwstr>_Toc81306197</vt:lpwstr>
      </vt:variant>
      <vt:variant>
        <vt:i4>1114164</vt:i4>
      </vt:variant>
      <vt:variant>
        <vt:i4>188</vt:i4>
      </vt:variant>
      <vt:variant>
        <vt:i4>0</vt:i4>
      </vt:variant>
      <vt:variant>
        <vt:i4>5</vt:i4>
      </vt:variant>
      <vt:variant>
        <vt:lpwstr/>
      </vt:variant>
      <vt:variant>
        <vt:lpwstr>_Toc81306196</vt:lpwstr>
      </vt:variant>
      <vt:variant>
        <vt:i4>1179700</vt:i4>
      </vt:variant>
      <vt:variant>
        <vt:i4>182</vt:i4>
      </vt:variant>
      <vt:variant>
        <vt:i4>0</vt:i4>
      </vt:variant>
      <vt:variant>
        <vt:i4>5</vt:i4>
      </vt:variant>
      <vt:variant>
        <vt:lpwstr/>
      </vt:variant>
      <vt:variant>
        <vt:lpwstr>_Toc81306195</vt:lpwstr>
      </vt:variant>
      <vt:variant>
        <vt:i4>1245236</vt:i4>
      </vt:variant>
      <vt:variant>
        <vt:i4>176</vt:i4>
      </vt:variant>
      <vt:variant>
        <vt:i4>0</vt:i4>
      </vt:variant>
      <vt:variant>
        <vt:i4>5</vt:i4>
      </vt:variant>
      <vt:variant>
        <vt:lpwstr/>
      </vt:variant>
      <vt:variant>
        <vt:lpwstr>_Toc81306194</vt:lpwstr>
      </vt:variant>
      <vt:variant>
        <vt:i4>1310772</vt:i4>
      </vt:variant>
      <vt:variant>
        <vt:i4>170</vt:i4>
      </vt:variant>
      <vt:variant>
        <vt:i4>0</vt:i4>
      </vt:variant>
      <vt:variant>
        <vt:i4>5</vt:i4>
      </vt:variant>
      <vt:variant>
        <vt:lpwstr/>
      </vt:variant>
      <vt:variant>
        <vt:lpwstr>_Toc81306193</vt:lpwstr>
      </vt:variant>
      <vt:variant>
        <vt:i4>1376308</vt:i4>
      </vt:variant>
      <vt:variant>
        <vt:i4>164</vt:i4>
      </vt:variant>
      <vt:variant>
        <vt:i4>0</vt:i4>
      </vt:variant>
      <vt:variant>
        <vt:i4>5</vt:i4>
      </vt:variant>
      <vt:variant>
        <vt:lpwstr/>
      </vt:variant>
      <vt:variant>
        <vt:lpwstr>_Toc81306192</vt:lpwstr>
      </vt:variant>
      <vt:variant>
        <vt:i4>1441844</vt:i4>
      </vt:variant>
      <vt:variant>
        <vt:i4>158</vt:i4>
      </vt:variant>
      <vt:variant>
        <vt:i4>0</vt:i4>
      </vt:variant>
      <vt:variant>
        <vt:i4>5</vt:i4>
      </vt:variant>
      <vt:variant>
        <vt:lpwstr/>
      </vt:variant>
      <vt:variant>
        <vt:lpwstr>_Toc81306191</vt:lpwstr>
      </vt:variant>
      <vt:variant>
        <vt:i4>1507380</vt:i4>
      </vt:variant>
      <vt:variant>
        <vt:i4>152</vt:i4>
      </vt:variant>
      <vt:variant>
        <vt:i4>0</vt:i4>
      </vt:variant>
      <vt:variant>
        <vt:i4>5</vt:i4>
      </vt:variant>
      <vt:variant>
        <vt:lpwstr/>
      </vt:variant>
      <vt:variant>
        <vt:lpwstr>_Toc81306190</vt:lpwstr>
      </vt:variant>
      <vt:variant>
        <vt:i4>1966133</vt:i4>
      </vt:variant>
      <vt:variant>
        <vt:i4>146</vt:i4>
      </vt:variant>
      <vt:variant>
        <vt:i4>0</vt:i4>
      </vt:variant>
      <vt:variant>
        <vt:i4>5</vt:i4>
      </vt:variant>
      <vt:variant>
        <vt:lpwstr/>
      </vt:variant>
      <vt:variant>
        <vt:lpwstr>_Toc81306189</vt:lpwstr>
      </vt:variant>
      <vt:variant>
        <vt:i4>2031669</vt:i4>
      </vt:variant>
      <vt:variant>
        <vt:i4>140</vt:i4>
      </vt:variant>
      <vt:variant>
        <vt:i4>0</vt:i4>
      </vt:variant>
      <vt:variant>
        <vt:i4>5</vt:i4>
      </vt:variant>
      <vt:variant>
        <vt:lpwstr/>
      </vt:variant>
      <vt:variant>
        <vt:lpwstr>_Toc81306188</vt:lpwstr>
      </vt:variant>
      <vt:variant>
        <vt:i4>1048629</vt:i4>
      </vt:variant>
      <vt:variant>
        <vt:i4>134</vt:i4>
      </vt:variant>
      <vt:variant>
        <vt:i4>0</vt:i4>
      </vt:variant>
      <vt:variant>
        <vt:i4>5</vt:i4>
      </vt:variant>
      <vt:variant>
        <vt:lpwstr/>
      </vt:variant>
      <vt:variant>
        <vt:lpwstr>_Toc81306187</vt:lpwstr>
      </vt:variant>
      <vt:variant>
        <vt:i4>1114165</vt:i4>
      </vt:variant>
      <vt:variant>
        <vt:i4>128</vt:i4>
      </vt:variant>
      <vt:variant>
        <vt:i4>0</vt:i4>
      </vt:variant>
      <vt:variant>
        <vt:i4>5</vt:i4>
      </vt:variant>
      <vt:variant>
        <vt:lpwstr/>
      </vt:variant>
      <vt:variant>
        <vt:lpwstr>_Toc81306186</vt:lpwstr>
      </vt:variant>
      <vt:variant>
        <vt:i4>1179701</vt:i4>
      </vt:variant>
      <vt:variant>
        <vt:i4>122</vt:i4>
      </vt:variant>
      <vt:variant>
        <vt:i4>0</vt:i4>
      </vt:variant>
      <vt:variant>
        <vt:i4>5</vt:i4>
      </vt:variant>
      <vt:variant>
        <vt:lpwstr/>
      </vt:variant>
      <vt:variant>
        <vt:lpwstr>_Toc81306185</vt:lpwstr>
      </vt:variant>
      <vt:variant>
        <vt:i4>1245237</vt:i4>
      </vt:variant>
      <vt:variant>
        <vt:i4>116</vt:i4>
      </vt:variant>
      <vt:variant>
        <vt:i4>0</vt:i4>
      </vt:variant>
      <vt:variant>
        <vt:i4>5</vt:i4>
      </vt:variant>
      <vt:variant>
        <vt:lpwstr/>
      </vt:variant>
      <vt:variant>
        <vt:lpwstr>_Toc81306184</vt:lpwstr>
      </vt:variant>
      <vt:variant>
        <vt:i4>1310773</vt:i4>
      </vt:variant>
      <vt:variant>
        <vt:i4>110</vt:i4>
      </vt:variant>
      <vt:variant>
        <vt:i4>0</vt:i4>
      </vt:variant>
      <vt:variant>
        <vt:i4>5</vt:i4>
      </vt:variant>
      <vt:variant>
        <vt:lpwstr/>
      </vt:variant>
      <vt:variant>
        <vt:lpwstr>_Toc81306183</vt:lpwstr>
      </vt:variant>
      <vt:variant>
        <vt:i4>1376309</vt:i4>
      </vt:variant>
      <vt:variant>
        <vt:i4>104</vt:i4>
      </vt:variant>
      <vt:variant>
        <vt:i4>0</vt:i4>
      </vt:variant>
      <vt:variant>
        <vt:i4>5</vt:i4>
      </vt:variant>
      <vt:variant>
        <vt:lpwstr/>
      </vt:variant>
      <vt:variant>
        <vt:lpwstr>_Toc81306182</vt:lpwstr>
      </vt:variant>
      <vt:variant>
        <vt:i4>1441845</vt:i4>
      </vt:variant>
      <vt:variant>
        <vt:i4>98</vt:i4>
      </vt:variant>
      <vt:variant>
        <vt:i4>0</vt:i4>
      </vt:variant>
      <vt:variant>
        <vt:i4>5</vt:i4>
      </vt:variant>
      <vt:variant>
        <vt:lpwstr/>
      </vt:variant>
      <vt:variant>
        <vt:lpwstr>_Toc81306181</vt:lpwstr>
      </vt:variant>
      <vt:variant>
        <vt:i4>1507381</vt:i4>
      </vt:variant>
      <vt:variant>
        <vt:i4>92</vt:i4>
      </vt:variant>
      <vt:variant>
        <vt:i4>0</vt:i4>
      </vt:variant>
      <vt:variant>
        <vt:i4>5</vt:i4>
      </vt:variant>
      <vt:variant>
        <vt:lpwstr/>
      </vt:variant>
      <vt:variant>
        <vt:lpwstr>_Toc81306180</vt:lpwstr>
      </vt:variant>
      <vt:variant>
        <vt:i4>1966138</vt:i4>
      </vt:variant>
      <vt:variant>
        <vt:i4>86</vt:i4>
      </vt:variant>
      <vt:variant>
        <vt:i4>0</vt:i4>
      </vt:variant>
      <vt:variant>
        <vt:i4>5</vt:i4>
      </vt:variant>
      <vt:variant>
        <vt:lpwstr/>
      </vt:variant>
      <vt:variant>
        <vt:lpwstr>_Toc81306179</vt:lpwstr>
      </vt:variant>
      <vt:variant>
        <vt:i4>2031674</vt:i4>
      </vt:variant>
      <vt:variant>
        <vt:i4>80</vt:i4>
      </vt:variant>
      <vt:variant>
        <vt:i4>0</vt:i4>
      </vt:variant>
      <vt:variant>
        <vt:i4>5</vt:i4>
      </vt:variant>
      <vt:variant>
        <vt:lpwstr/>
      </vt:variant>
      <vt:variant>
        <vt:lpwstr>_Toc81306178</vt:lpwstr>
      </vt:variant>
      <vt:variant>
        <vt:i4>1048634</vt:i4>
      </vt:variant>
      <vt:variant>
        <vt:i4>74</vt:i4>
      </vt:variant>
      <vt:variant>
        <vt:i4>0</vt:i4>
      </vt:variant>
      <vt:variant>
        <vt:i4>5</vt:i4>
      </vt:variant>
      <vt:variant>
        <vt:lpwstr/>
      </vt:variant>
      <vt:variant>
        <vt:lpwstr>_Toc81306177</vt:lpwstr>
      </vt:variant>
      <vt:variant>
        <vt:i4>1114170</vt:i4>
      </vt:variant>
      <vt:variant>
        <vt:i4>68</vt:i4>
      </vt:variant>
      <vt:variant>
        <vt:i4>0</vt:i4>
      </vt:variant>
      <vt:variant>
        <vt:i4>5</vt:i4>
      </vt:variant>
      <vt:variant>
        <vt:lpwstr/>
      </vt:variant>
      <vt:variant>
        <vt:lpwstr>_Toc81306176</vt:lpwstr>
      </vt:variant>
      <vt:variant>
        <vt:i4>1179706</vt:i4>
      </vt:variant>
      <vt:variant>
        <vt:i4>62</vt:i4>
      </vt:variant>
      <vt:variant>
        <vt:i4>0</vt:i4>
      </vt:variant>
      <vt:variant>
        <vt:i4>5</vt:i4>
      </vt:variant>
      <vt:variant>
        <vt:lpwstr/>
      </vt:variant>
      <vt:variant>
        <vt:lpwstr>_Toc81306175</vt:lpwstr>
      </vt:variant>
      <vt:variant>
        <vt:i4>1245242</vt:i4>
      </vt:variant>
      <vt:variant>
        <vt:i4>56</vt:i4>
      </vt:variant>
      <vt:variant>
        <vt:i4>0</vt:i4>
      </vt:variant>
      <vt:variant>
        <vt:i4>5</vt:i4>
      </vt:variant>
      <vt:variant>
        <vt:lpwstr/>
      </vt:variant>
      <vt:variant>
        <vt:lpwstr>_Toc81306174</vt:lpwstr>
      </vt:variant>
      <vt:variant>
        <vt:i4>1310778</vt:i4>
      </vt:variant>
      <vt:variant>
        <vt:i4>50</vt:i4>
      </vt:variant>
      <vt:variant>
        <vt:i4>0</vt:i4>
      </vt:variant>
      <vt:variant>
        <vt:i4>5</vt:i4>
      </vt:variant>
      <vt:variant>
        <vt:lpwstr/>
      </vt:variant>
      <vt:variant>
        <vt:lpwstr>_Toc81306173</vt:lpwstr>
      </vt:variant>
      <vt:variant>
        <vt:i4>1376314</vt:i4>
      </vt:variant>
      <vt:variant>
        <vt:i4>44</vt:i4>
      </vt:variant>
      <vt:variant>
        <vt:i4>0</vt:i4>
      </vt:variant>
      <vt:variant>
        <vt:i4>5</vt:i4>
      </vt:variant>
      <vt:variant>
        <vt:lpwstr/>
      </vt:variant>
      <vt:variant>
        <vt:lpwstr>_Toc81306172</vt:lpwstr>
      </vt:variant>
      <vt:variant>
        <vt:i4>1441850</vt:i4>
      </vt:variant>
      <vt:variant>
        <vt:i4>38</vt:i4>
      </vt:variant>
      <vt:variant>
        <vt:i4>0</vt:i4>
      </vt:variant>
      <vt:variant>
        <vt:i4>5</vt:i4>
      </vt:variant>
      <vt:variant>
        <vt:lpwstr/>
      </vt:variant>
      <vt:variant>
        <vt:lpwstr>_Toc81306171</vt:lpwstr>
      </vt:variant>
      <vt:variant>
        <vt:i4>1507386</vt:i4>
      </vt:variant>
      <vt:variant>
        <vt:i4>32</vt:i4>
      </vt:variant>
      <vt:variant>
        <vt:i4>0</vt:i4>
      </vt:variant>
      <vt:variant>
        <vt:i4>5</vt:i4>
      </vt:variant>
      <vt:variant>
        <vt:lpwstr/>
      </vt:variant>
      <vt:variant>
        <vt:lpwstr>_Toc81306170</vt:lpwstr>
      </vt:variant>
      <vt:variant>
        <vt:i4>1966139</vt:i4>
      </vt:variant>
      <vt:variant>
        <vt:i4>26</vt:i4>
      </vt:variant>
      <vt:variant>
        <vt:i4>0</vt:i4>
      </vt:variant>
      <vt:variant>
        <vt:i4>5</vt:i4>
      </vt:variant>
      <vt:variant>
        <vt:lpwstr/>
      </vt:variant>
      <vt:variant>
        <vt:lpwstr>_Toc81306169</vt:lpwstr>
      </vt:variant>
      <vt:variant>
        <vt:i4>2031675</vt:i4>
      </vt:variant>
      <vt:variant>
        <vt:i4>20</vt:i4>
      </vt:variant>
      <vt:variant>
        <vt:i4>0</vt:i4>
      </vt:variant>
      <vt:variant>
        <vt:i4>5</vt:i4>
      </vt:variant>
      <vt:variant>
        <vt:lpwstr/>
      </vt:variant>
      <vt:variant>
        <vt:lpwstr>_Toc81306168</vt:lpwstr>
      </vt:variant>
      <vt:variant>
        <vt:i4>1048635</vt:i4>
      </vt:variant>
      <vt:variant>
        <vt:i4>14</vt:i4>
      </vt:variant>
      <vt:variant>
        <vt:i4>0</vt:i4>
      </vt:variant>
      <vt:variant>
        <vt:i4>5</vt:i4>
      </vt:variant>
      <vt:variant>
        <vt:lpwstr/>
      </vt:variant>
      <vt:variant>
        <vt:lpwstr>_Toc81306167</vt:lpwstr>
      </vt:variant>
      <vt:variant>
        <vt:i4>1114171</vt:i4>
      </vt:variant>
      <vt:variant>
        <vt:i4>8</vt:i4>
      </vt:variant>
      <vt:variant>
        <vt:i4>0</vt:i4>
      </vt:variant>
      <vt:variant>
        <vt:i4>5</vt:i4>
      </vt:variant>
      <vt:variant>
        <vt:lpwstr/>
      </vt:variant>
      <vt:variant>
        <vt:lpwstr>_Toc81306166</vt:lpwstr>
      </vt:variant>
      <vt:variant>
        <vt:i4>1179707</vt:i4>
      </vt:variant>
      <vt:variant>
        <vt:i4>2</vt:i4>
      </vt:variant>
      <vt:variant>
        <vt:i4>0</vt:i4>
      </vt:variant>
      <vt:variant>
        <vt:i4>5</vt:i4>
      </vt:variant>
      <vt:variant>
        <vt:lpwstr/>
      </vt:variant>
      <vt:variant>
        <vt:lpwstr>_Toc81306165</vt:lpwstr>
      </vt:variant>
      <vt:variant>
        <vt:i4>262191</vt:i4>
      </vt:variant>
      <vt:variant>
        <vt:i4>84</vt:i4>
      </vt:variant>
      <vt:variant>
        <vt:i4>0</vt:i4>
      </vt:variant>
      <vt:variant>
        <vt:i4>5</vt:i4>
      </vt:variant>
      <vt:variant>
        <vt:lpwstr>http://www.qaa.ac.uk/docs/qaa/quality-code/qualifications-involving-more-than-one-degree-awarding-body.pdf?sfvrsn=4cc5ca81_10</vt:lpwstr>
      </vt:variant>
      <vt:variant>
        <vt:lpwstr/>
      </vt:variant>
      <vt:variant>
        <vt:i4>1900564</vt:i4>
      </vt:variant>
      <vt:variant>
        <vt:i4>81</vt:i4>
      </vt:variant>
      <vt:variant>
        <vt:i4>0</vt:i4>
      </vt:variant>
      <vt:variant>
        <vt:i4>5</vt:i4>
      </vt:variant>
      <vt:variant>
        <vt:lpwstr>https://go.edgehill.ac.uk/display/aqdu/Template+Documents</vt:lpwstr>
      </vt:variant>
      <vt:variant>
        <vt:lpwstr/>
      </vt:variant>
      <vt:variant>
        <vt:i4>5308446</vt:i4>
      </vt:variant>
      <vt:variant>
        <vt:i4>78</vt:i4>
      </vt:variant>
      <vt:variant>
        <vt:i4>0</vt:i4>
      </vt:variant>
      <vt:variant>
        <vt:i4>5</vt:i4>
      </vt:variant>
      <vt:variant>
        <vt:lpwstr>https://go.edgehill.ac.uk/display/aqdu/Faculty+Quality+Processes+and+Responsibilities</vt:lpwstr>
      </vt:variant>
      <vt:variant>
        <vt:lpwstr/>
      </vt:variant>
      <vt:variant>
        <vt:i4>1966111</vt:i4>
      </vt:variant>
      <vt:variant>
        <vt:i4>75</vt:i4>
      </vt:variant>
      <vt:variant>
        <vt:i4>0</vt:i4>
      </vt:variant>
      <vt:variant>
        <vt:i4>5</vt:i4>
      </vt:variant>
      <vt:variant>
        <vt:lpwstr>http://www.officeforstudents.org.uk/advice-and-guidance/regulation/conditions-of-registration/initial-and-general-ongoing-conditions-of-registration/</vt:lpwstr>
      </vt:variant>
      <vt:variant>
        <vt:lpwstr/>
      </vt:variant>
      <vt:variant>
        <vt:i4>1114206</vt:i4>
      </vt:variant>
      <vt:variant>
        <vt:i4>72</vt:i4>
      </vt:variant>
      <vt:variant>
        <vt:i4>0</vt:i4>
      </vt:variant>
      <vt:variant>
        <vt:i4>5</vt:i4>
      </vt:variant>
      <vt:variant>
        <vt:lpwstr>http://www.edgehill.ac.uk/documents/student-protection-plan/</vt:lpwstr>
      </vt:variant>
      <vt:variant>
        <vt:lpwstr/>
      </vt:variant>
      <vt:variant>
        <vt:i4>524382</vt:i4>
      </vt:variant>
      <vt:variant>
        <vt:i4>69</vt:i4>
      </vt:variant>
      <vt:variant>
        <vt:i4>0</vt:i4>
      </vt:variant>
      <vt:variant>
        <vt:i4>5</vt:i4>
      </vt:variant>
      <vt:variant>
        <vt:lpwstr>http://www.edgehill.ac.uk/documents/files/03-annual-monitoring-periodic-review-and-internal-audit.pdf</vt:lpwstr>
      </vt:variant>
      <vt:variant>
        <vt:lpwstr/>
      </vt:variant>
      <vt:variant>
        <vt:i4>5308446</vt:i4>
      </vt:variant>
      <vt:variant>
        <vt:i4>66</vt:i4>
      </vt:variant>
      <vt:variant>
        <vt:i4>0</vt:i4>
      </vt:variant>
      <vt:variant>
        <vt:i4>5</vt:i4>
      </vt:variant>
      <vt:variant>
        <vt:lpwstr>https://go.edgehill.ac.uk/display/aqdu/Faculty+Quality+Processes+and+Responsibilities</vt:lpwstr>
      </vt:variant>
      <vt:variant>
        <vt:lpwstr/>
      </vt:variant>
      <vt:variant>
        <vt:i4>1245286</vt:i4>
      </vt:variant>
      <vt:variant>
        <vt:i4>63</vt:i4>
      </vt:variant>
      <vt:variant>
        <vt:i4>0</vt:i4>
      </vt:variant>
      <vt:variant>
        <vt:i4>5</vt:i4>
      </vt:variant>
      <vt:variant>
        <vt:lpwstr>http://www.qaa.ac.uk/docs/qaa/quality-code/quality-assuring-higher-education-in-apprenticeships.pdf?sfvrsn=6e4cff81_26</vt:lpwstr>
      </vt:variant>
      <vt:variant>
        <vt:lpwstr/>
      </vt:variant>
      <vt:variant>
        <vt:i4>4784200</vt:i4>
      </vt:variant>
      <vt:variant>
        <vt:i4>60</vt:i4>
      </vt:variant>
      <vt:variant>
        <vt:i4>0</vt:i4>
      </vt:variant>
      <vt:variant>
        <vt:i4>5</vt:i4>
      </vt:variant>
      <vt:variant>
        <vt:lpwstr>https://www.qaa.ac.uk/docs/qaa/quality-code/characteristics-statement-apprenticeships.pdf</vt:lpwstr>
      </vt:variant>
      <vt:variant>
        <vt:lpwstr/>
      </vt:variant>
      <vt:variant>
        <vt:i4>1245286</vt:i4>
      </vt:variant>
      <vt:variant>
        <vt:i4>57</vt:i4>
      </vt:variant>
      <vt:variant>
        <vt:i4>0</vt:i4>
      </vt:variant>
      <vt:variant>
        <vt:i4>5</vt:i4>
      </vt:variant>
      <vt:variant>
        <vt:lpwstr>http://www.qaa.ac.uk/docs/qaa/quality-code/quality-assuring-higher-education-in-apprenticeships.pdf?sfvrsn=6e4cff81_26</vt:lpwstr>
      </vt:variant>
      <vt:variant>
        <vt:lpwstr/>
      </vt:variant>
      <vt:variant>
        <vt:i4>7929892</vt:i4>
      </vt:variant>
      <vt:variant>
        <vt:i4>54</vt:i4>
      </vt:variant>
      <vt:variant>
        <vt:i4>0</vt:i4>
      </vt:variant>
      <vt:variant>
        <vt:i4>5</vt:i4>
      </vt:variant>
      <vt:variant>
        <vt:lpwstr>https://assets.publishing.service.gov.uk/government/uploads/system/uploads/attachment_data/file/428549/HE_providers_-_advice_on_consumer_protection_law.pdf</vt:lpwstr>
      </vt:variant>
      <vt:variant>
        <vt:lpwstr/>
      </vt:variant>
      <vt:variant>
        <vt:i4>1966111</vt:i4>
      </vt:variant>
      <vt:variant>
        <vt:i4>51</vt:i4>
      </vt:variant>
      <vt:variant>
        <vt:i4>0</vt:i4>
      </vt:variant>
      <vt:variant>
        <vt:i4>5</vt:i4>
      </vt:variant>
      <vt:variant>
        <vt:lpwstr>http://www.officeforstudents.org.uk/advice-and-guidance/regulation/conditions-of-registration/initial-and-general-ongoing-conditions-of-registration/</vt:lpwstr>
      </vt:variant>
      <vt:variant>
        <vt:lpwstr/>
      </vt:variant>
      <vt:variant>
        <vt:i4>1114206</vt:i4>
      </vt:variant>
      <vt:variant>
        <vt:i4>48</vt:i4>
      </vt:variant>
      <vt:variant>
        <vt:i4>0</vt:i4>
      </vt:variant>
      <vt:variant>
        <vt:i4>5</vt:i4>
      </vt:variant>
      <vt:variant>
        <vt:lpwstr>http://www.edgehill.ac.uk/documents/student-protection-plan/</vt:lpwstr>
      </vt:variant>
      <vt:variant>
        <vt:lpwstr/>
      </vt:variant>
      <vt:variant>
        <vt:i4>5308446</vt:i4>
      </vt:variant>
      <vt:variant>
        <vt:i4>45</vt:i4>
      </vt:variant>
      <vt:variant>
        <vt:i4>0</vt:i4>
      </vt:variant>
      <vt:variant>
        <vt:i4>5</vt:i4>
      </vt:variant>
      <vt:variant>
        <vt:lpwstr>https://go.edgehill.ac.uk/display/aqdu/Faculty+Quality+Processes+and+Responsibilities</vt:lpwstr>
      </vt:variant>
      <vt:variant>
        <vt:lpwstr/>
      </vt:variant>
      <vt:variant>
        <vt:i4>5308446</vt:i4>
      </vt:variant>
      <vt:variant>
        <vt:i4>42</vt:i4>
      </vt:variant>
      <vt:variant>
        <vt:i4>0</vt:i4>
      </vt:variant>
      <vt:variant>
        <vt:i4>5</vt:i4>
      </vt:variant>
      <vt:variant>
        <vt:lpwstr>https://go.edgehill.ac.uk/display/aqdu/Faculty+Quality+Processes+and+Responsibilities</vt:lpwstr>
      </vt:variant>
      <vt:variant>
        <vt:lpwstr/>
      </vt:variant>
      <vt:variant>
        <vt:i4>5308446</vt:i4>
      </vt:variant>
      <vt:variant>
        <vt:i4>39</vt:i4>
      </vt:variant>
      <vt:variant>
        <vt:i4>0</vt:i4>
      </vt:variant>
      <vt:variant>
        <vt:i4>5</vt:i4>
      </vt:variant>
      <vt:variant>
        <vt:lpwstr>https://go.edgehill.ac.uk/display/aqdu/Faculty+Quality+Processes+and+Responsibilities</vt:lpwstr>
      </vt:variant>
      <vt:variant>
        <vt:lpwstr/>
      </vt:variant>
      <vt:variant>
        <vt:i4>3866686</vt:i4>
      </vt:variant>
      <vt:variant>
        <vt:i4>36</vt:i4>
      </vt:variant>
      <vt:variant>
        <vt:i4>0</vt:i4>
      </vt:variant>
      <vt:variant>
        <vt:i4>5</vt:i4>
      </vt:variant>
      <vt:variant>
        <vt:lpwstr>http://www.asetonline.org/wp-content/uploads/2017/09/ASET-Good-Practice-Guide-eWBPL.pdf</vt:lpwstr>
      </vt:variant>
      <vt:variant>
        <vt:lpwstr/>
      </vt:variant>
      <vt:variant>
        <vt:i4>6357091</vt:i4>
      </vt:variant>
      <vt:variant>
        <vt:i4>33</vt:i4>
      </vt:variant>
      <vt:variant>
        <vt:i4>0</vt:i4>
      </vt:variant>
      <vt:variant>
        <vt:i4>5</vt:i4>
      </vt:variant>
      <vt:variant>
        <vt:lpwstr>http://www.edgehill.ac.uk/documents/files/04-programme-and-module-approval-and-modification.pdf</vt:lpwstr>
      </vt:variant>
      <vt:variant>
        <vt:lpwstr/>
      </vt:variant>
      <vt:variant>
        <vt:i4>1245262</vt:i4>
      </vt:variant>
      <vt:variant>
        <vt:i4>30</vt:i4>
      </vt:variant>
      <vt:variant>
        <vt:i4>0</vt:i4>
      </vt:variant>
      <vt:variant>
        <vt:i4>5</vt:i4>
      </vt:variant>
      <vt:variant>
        <vt:lpwstr>http://www.edgehill.ac.uk/governance/strategies-policies/</vt:lpwstr>
      </vt:variant>
      <vt:variant>
        <vt:lpwstr/>
      </vt:variant>
      <vt:variant>
        <vt:i4>262176</vt:i4>
      </vt:variant>
      <vt:variant>
        <vt:i4>27</vt:i4>
      </vt:variant>
      <vt:variant>
        <vt:i4>0</vt:i4>
      </vt:variant>
      <vt:variant>
        <vt:i4>5</vt:i4>
      </vt:variant>
      <vt:variant>
        <vt:lpwstr>http://www.qaa.ac.uk/docs/qaa/quality-code/foundation-degree-characteristics-statement-2020.pdf?sfvrsn=6fc5ca81_10</vt:lpwstr>
      </vt:variant>
      <vt:variant>
        <vt:lpwstr/>
      </vt:variant>
      <vt:variant>
        <vt:i4>5046341</vt:i4>
      </vt:variant>
      <vt:variant>
        <vt:i4>24</vt:i4>
      </vt:variant>
      <vt:variant>
        <vt:i4>0</vt:i4>
      </vt:variant>
      <vt:variant>
        <vt:i4>5</vt:i4>
      </vt:variant>
      <vt:variant>
        <vt:lpwstr>http://www.officeforstudents.org.uk/advice-and-guidance/teaching/tef-outcomes/</vt:lpwstr>
      </vt:variant>
      <vt:variant>
        <vt:lpwstr>/tefoutcomes/provider/10007823</vt:lpwstr>
      </vt:variant>
      <vt:variant>
        <vt:i4>4325441</vt:i4>
      </vt:variant>
      <vt:variant>
        <vt:i4>21</vt:i4>
      </vt:variant>
      <vt:variant>
        <vt:i4>0</vt:i4>
      </vt:variant>
      <vt:variant>
        <vt:i4>5</vt:i4>
      </vt:variant>
      <vt:variant>
        <vt:lpwstr>http://www.edgehill.ac.uk/documents/files/01-the-quality-strategy-management-of-quality-and-standards.pdf</vt:lpwstr>
      </vt:variant>
      <vt:variant>
        <vt:lpwstr/>
      </vt:variant>
      <vt:variant>
        <vt:i4>393301</vt:i4>
      </vt:variant>
      <vt:variant>
        <vt:i4>18</vt:i4>
      </vt:variant>
      <vt:variant>
        <vt:i4>0</vt:i4>
      </vt:variant>
      <vt:variant>
        <vt:i4>5</vt:i4>
      </vt:variant>
      <vt:variant>
        <vt:lpwstr>http://www.edgehill.ac.uk/aqdu/academic-partnerships/</vt:lpwstr>
      </vt:variant>
      <vt:variant>
        <vt:lpwstr/>
      </vt:variant>
      <vt:variant>
        <vt:i4>4325441</vt:i4>
      </vt:variant>
      <vt:variant>
        <vt:i4>15</vt:i4>
      </vt:variant>
      <vt:variant>
        <vt:i4>0</vt:i4>
      </vt:variant>
      <vt:variant>
        <vt:i4>5</vt:i4>
      </vt:variant>
      <vt:variant>
        <vt:lpwstr>http://www.edgehill.ac.uk/documents/files/01-the-quality-strategy-management-of-quality-and-standards.pdf</vt:lpwstr>
      </vt:variant>
      <vt:variant>
        <vt:lpwstr/>
      </vt:variant>
      <vt:variant>
        <vt:i4>1638468</vt:i4>
      </vt:variant>
      <vt:variant>
        <vt:i4>12</vt:i4>
      </vt:variant>
      <vt:variant>
        <vt:i4>0</vt:i4>
      </vt:variant>
      <vt:variant>
        <vt:i4>5</vt:i4>
      </vt:variant>
      <vt:variant>
        <vt:lpwstr>http://www.qaa.ac.uk/en/quality-code/advice-and-guidance/partnerships</vt:lpwstr>
      </vt:variant>
      <vt:variant>
        <vt:lpwstr/>
      </vt:variant>
      <vt:variant>
        <vt:i4>3932206</vt:i4>
      </vt:variant>
      <vt:variant>
        <vt:i4>9</vt:i4>
      </vt:variant>
      <vt:variant>
        <vt:i4>0</vt:i4>
      </vt:variant>
      <vt:variant>
        <vt:i4>5</vt:i4>
      </vt:variant>
      <vt:variant>
        <vt:lpwstr>https://go.edgehill.ac.uk/display/aqdu</vt:lpwstr>
      </vt:variant>
      <vt:variant>
        <vt:lpwstr/>
      </vt:variant>
      <vt:variant>
        <vt:i4>2424944</vt:i4>
      </vt:variant>
      <vt:variant>
        <vt:i4>6</vt:i4>
      </vt:variant>
      <vt:variant>
        <vt:i4>0</vt:i4>
      </vt:variant>
      <vt:variant>
        <vt:i4>5</vt:i4>
      </vt:variant>
      <vt:variant>
        <vt:lpwstr>http://www.edgehill.ac.uk/documents/international-strategy/</vt:lpwstr>
      </vt:variant>
      <vt:variant>
        <vt:lpwstr/>
      </vt:variant>
      <vt:variant>
        <vt:i4>3145784</vt:i4>
      </vt:variant>
      <vt:variant>
        <vt:i4>3</vt:i4>
      </vt:variant>
      <vt:variant>
        <vt:i4>0</vt:i4>
      </vt:variant>
      <vt:variant>
        <vt:i4>5</vt:i4>
      </vt:variant>
      <vt:variant>
        <vt:lpwstr>https://go.edgehill.ac.uk/download/attachments/71188451/ABD09C20a - Curriculum Strategy draft 2021-25 %28final%29.docx?version=1&amp;modificationDate=1618479182000&amp;api=v2</vt:lpwstr>
      </vt:variant>
      <vt:variant>
        <vt:lpwstr/>
      </vt:variant>
      <vt:variant>
        <vt:i4>1572873</vt:i4>
      </vt:variant>
      <vt:variant>
        <vt:i4>0</vt:i4>
      </vt:variant>
      <vt:variant>
        <vt:i4>0</vt:i4>
      </vt:variant>
      <vt:variant>
        <vt:i4>5</vt:i4>
      </vt:variant>
      <vt:variant>
        <vt:lpwstr>http://www.qaa.ac.uk/quality-code</vt:lpwstr>
      </vt:variant>
      <vt:variant>
        <vt:lpwstr/>
      </vt:variant>
      <vt:variant>
        <vt:i4>1245233</vt:i4>
      </vt:variant>
      <vt:variant>
        <vt:i4>3</vt:i4>
      </vt:variant>
      <vt:variant>
        <vt:i4>0</vt:i4>
      </vt:variant>
      <vt:variant>
        <vt:i4>5</vt:i4>
      </vt:variant>
      <vt:variant>
        <vt:lpwstr>mailto:Joanne.Sage@edgehill.ac.uk</vt:lpwstr>
      </vt:variant>
      <vt:variant>
        <vt:lpwstr/>
      </vt:variant>
      <vt:variant>
        <vt:i4>1245233</vt:i4>
      </vt:variant>
      <vt:variant>
        <vt:i4>0</vt:i4>
      </vt:variant>
      <vt:variant>
        <vt:i4>0</vt:i4>
      </vt:variant>
      <vt:variant>
        <vt:i4>5</vt:i4>
      </vt:variant>
      <vt:variant>
        <vt:lpwstr>mailto:Joanne.Sage@edgehill.ac.uk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External Examiners</dc:title>
  <dc:subject/>
  <dc:creator>Jane Sutton</dc:creator>
  <cp:keywords/>
  <dc:description/>
  <cp:lastModifiedBy>Jennifer Smith</cp:lastModifiedBy>
  <cp:revision>26</cp:revision>
  <cp:lastPrinted>2023-09-27T12:43:00Z</cp:lastPrinted>
  <dcterms:created xsi:type="dcterms:W3CDTF">2023-10-27T11:06:00Z</dcterms:created>
  <dcterms:modified xsi:type="dcterms:W3CDTF">2024-11-26T14:28:00Z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0x0101008F4A92213EEF1A41AFFB867CFC1003C7</vt:lpwstr>
  </property>
</Properties>
</file>