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52620319">
        <w:trPr>
          <w:trHeight w:val="285"/>
          <w:tblHeader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0FE9C135" w14:textId="02E6966C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1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52620319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0A324F82" w:rsidR="00A817EC" w:rsidRPr="00B5365C" w:rsidRDefault="00B5365C" w:rsidP="00B5365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B5365C">
              <w:rPr>
                <w:rFonts w:ascii="Arial" w:hAnsi="Arial" w:cs="Arial"/>
                <w:sz w:val="18"/>
                <w:szCs w:val="18"/>
              </w:rPr>
              <w:t>Understands the current legislation and policies for safeguarding and child protection and knows how to respond to a pupil’s disclosure.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7528D1D7" w14:textId="7FD9656D" w:rsidR="00A817EC" w:rsidRPr="00B5365C" w:rsidRDefault="00B5365C" w:rsidP="00B536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B5365C">
              <w:rPr>
                <w:rFonts w:ascii="Arial" w:hAnsi="Arial" w:cs="Arial"/>
                <w:sz w:val="18"/>
                <w:szCs w:val="18"/>
              </w:rPr>
              <w:t>Recognises that safeguarding incidents can occur outside of the school environment and how to respond.</w:t>
            </w:r>
          </w:p>
        </w:tc>
      </w:tr>
      <w:tr w:rsidR="00C22A2F" w:rsidRPr="008B4CF6" w14:paraId="66A014BB" w14:textId="385628C6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4720E0CE" w:rsidR="00A817EC" w:rsidRPr="00B5365C" w:rsidRDefault="00B5365C" w:rsidP="00B53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65C">
              <w:rPr>
                <w:rFonts w:ascii="Arial" w:hAnsi="Arial" w:cs="Arial"/>
                <w:color w:val="000000"/>
                <w:sz w:val="18"/>
                <w:szCs w:val="18"/>
              </w:rPr>
              <w:t>Can identify pupil premium children in the class and recognises how they are supported to access an equality of learning.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5C670F91" w14:textId="2FDCA806" w:rsidR="00A817EC" w:rsidRPr="00B5365C" w:rsidRDefault="00B5365C" w:rsidP="00B536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5365C">
              <w:rPr>
                <w:rFonts w:ascii="Arial" w:hAnsi="Arial" w:cs="Arial"/>
                <w:color w:val="000000"/>
                <w:sz w:val="18"/>
                <w:szCs w:val="18"/>
              </w:rPr>
              <w:t>Implements ways to identify positive behaviour before sanctions.</w:t>
            </w:r>
          </w:p>
        </w:tc>
      </w:tr>
      <w:tr w:rsidR="00A817EC" w:rsidRPr="008B4CF6" w14:paraId="39BF127D" w14:textId="2FA5EFE7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5DA86D4D" w14:textId="77777777" w:rsidR="00B5365C" w:rsidRPr="00B5365C" w:rsidRDefault="00B5365C" w:rsidP="00B5365C">
            <w:pPr>
              <w:pStyle w:val="NoSpacing"/>
              <w:rPr>
                <w:rFonts w:cs="Arial"/>
                <w:sz w:val="18"/>
                <w:szCs w:val="18"/>
              </w:rPr>
            </w:pPr>
            <w:r w:rsidRPr="00B5365C">
              <w:rPr>
                <w:rFonts w:cs="Arial"/>
                <w:sz w:val="18"/>
                <w:szCs w:val="18"/>
              </w:rPr>
              <w:t>Identifies effectiveness of dual coding.</w:t>
            </w:r>
          </w:p>
          <w:p w14:paraId="49503659" w14:textId="150DD04F" w:rsidR="00A817EC" w:rsidRPr="00B5365C" w:rsidRDefault="00A817EC" w:rsidP="00B536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0BF12E4A" w14:textId="3093328F" w:rsidR="00A817EC" w:rsidRPr="00B5365C" w:rsidRDefault="00B5365C" w:rsidP="00B536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5365C">
              <w:rPr>
                <w:rFonts w:ascii="Arial" w:hAnsi="Arial" w:cs="Arial"/>
                <w:sz w:val="18"/>
                <w:szCs w:val="18"/>
              </w:rPr>
              <w:t>Knows the four areas of need in the Code of Practice and the underlying theory that supports it.</w:t>
            </w:r>
          </w:p>
        </w:tc>
      </w:tr>
      <w:tr w:rsidR="00A817EC" w:rsidRPr="008B4CF6" w14:paraId="471827D5" w14:textId="38B55229" w:rsidTr="52620319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C22A2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535D099D" w:rsidR="00A817EC" w:rsidRPr="00B5365C" w:rsidRDefault="00B5365C" w:rsidP="00B5365C">
            <w:pPr>
              <w:rPr>
                <w:rFonts w:ascii="Arial" w:hAnsi="Arial" w:cs="Arial"/>
                <w:sz w:val="18"/>
                <w:szCs w:val="18"/>
              </w:rPr>
            </w:pPr>
            <w:r w:rsidRPr="00B5365C">
              <w:rPr>
                <w:rFonts w:ascii="Arial" w:hAnsi="Arial" w:cs="Arial"/>
                <w:sz w:val="18"/>
                <w:szCs w:val="18"/>
              </w:rPr>
              <w:t>Understands that curricula differ across schools and the reasons for this.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A817EC" w:rsidRPr="00B5365C" w:rsidRDefault="00C22A2F" w:rsidP="00B536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B5365C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4" w:type="pct"/>
            <w:gridSpan w:val="2"/>
            <w:tcBorders>
              <w:left w:val="single" w:sz="4" w:space="0" w:color="auto"/>
            </w:tcBorders>
          </w:tcPr>
          <w:p w14:paraId="1F1DBA80" w14:textId="2B3A70FB" w:rsidR="00A817EC" w:rsidRPr="00B5365C" w:rsidRDefault="00B5365C" w:rsidP="00B5365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365C">
              <w:rPr>
                <w:rFonts w:ascii="Arial" w:hAnsi="Arial" w:cs="Arial"/>
                <w:color w:val="000000"/>
                <w:sz w:val="18"/>
                <w:szCs w:val="18"/>
              </w:rPr>
              <w:t>Understands that professional subject knowledge is essential to accurate assessment of children’s learning.</w:t>
            </w:r>
          </w:p>
        </w:tc>
      </w:tr>
      <w:tr w:rsidR="00C61DF1" w:rsidRPr="008B4CF6" w14:paraId="1F08E4AE" w14:textId="77777777" w:rsidTr="52620319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1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52620319">
        <w:trPr>
          <w:trHeight w:val="520"/>
        </w:trPr>
        <w:tc>
          <w:tcPr>
            <w:tcW w:w="4998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52620319">
        <w:trPr>
          <w:trHeight w:val="631"/>
        </w:trPr>
        <w:tc>
          <w:tcPr>
            <w:tcW w:w="4998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7B15FD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B5365C" w:rsidRPr="008B4CF6" w:rsidRDefault="00B5365C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CB3AC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CB3AC6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CB3A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CB3A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CB3A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CB3A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CB3AC6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2nw5Nsv+wlkESxW7LjOSnuka9SaYU0d9C2w5ITrrKvBS+GwtwCJIZ4VXf4Hr9p1bpXMczuegYcS0w0UXzoffg==" w:salt="TPada+UOWNBBlOJbtGpw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B3AC6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2022</Characters>
  <Application>Microsoft Office Word</Application>
  <DocSecurity>8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2023-02-27T08:52:00Z</dcterms:created>
  <dcterms:modified xsi:type="dcterms:W3CDTF">2023-02-27T10:39:00Z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