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CB891" w14:textId="77777777" w:rsidR="00F66C27" w:rsidRPr="00872BE3" w:rsidRDefault="00F66C27" w:rsidP="00872BE3">
      <w:pPr>
        <w:pStyle w:val="Heading1"/>
        <w:jc w:val="center"/>
        <w:rPr>
          <w:b/>
          <w:bCs/>
          <w:color w:val="auto"/>
          <w:u w:val="single"/>
        </w:rPr>
      </w:pPr>
      <w:r w:rsidRPr="00872BE3">
        <w:rPr>
          <w:b/>
          <w:bCs/>
          <w:color w:val="auto"/>
          <w:u w:val="single"/>
        </w:rPr>
        <w:t>Primary Initial Teacher Education: Curriculum Plan</w:t>
      </w:r>
    </w:p>
    <w:p w14:paraId="61415762" w14:textId="77777777" w:rsidR="00F66C27" w:rsidRPr="00872BE3" w:rsidRDefault="00F66C27" w:rsidP="00872BE3">
      <w:pPr>
        <w:pStyle w:val="Heading1"/>
        <w:jc w:val="center"/>
        <w:rPr>
          <w:b/>
          <w:bCs/>
          <w:color w:val="auto"/>
          <w:u w:val="single"/>
        </w:rPr>
      </w:pPr>
    </w:p>
    <w:p w14:paraId="22C23A19" w14:textId="77777777" w:rsidR="00F66C27" w:rsidRPr="00872BE3" w:rsidRDefault="00F66C27" w:rsidP="00872BE3">
      <w:pPr>
        <w:pStyle w:val="Heading1"/>
        <w:jc w:val="center"/>
        <w:rPr>
          <w:b/>
          <w:bCs/>
          <w:color w:val="auto"/>
          <w:u w:val="single"/>
        </w:rPr>
      </w:pPr>
      <w:r w:rsidRPr="00872BE3">
        <w:rPr>
          <w:b/>
          <w:bCs/>
          <w:color w:val="auto"/>
          <w:u w:val="single"/>
        </w:rPr>
        <w:t>PSHE: Undergraduate Programmes</w:t>
      </w:r>
    </w:p>
    <w:p w14:paraId="103B8F5A" w14:textId="79D8C046" w:rsidR="00F66C27" w:rsidRDefault="00F66C27" w:rsidP="00872BE3">
      <w:pPr>
        <w:pStyle w:val="Heading1"/>
        <w:jc w:val="center"/>
        <w:rPr>
          <w:rFonts w:eastAsia="Arial"/>
          <w:b/>
          <w:bCs/>
          <w:color w:val="auto"/>
          <w:u w:val="single"/>
        </w:rPr>
      </w:pPr>
      <w:r w:rsidRPr="00872BE3">
        <w:rPr>
          <w:rFonts w:eastAsia="Arial"/>
          <w:b/>
          <w:bCs/>
          <w:color w:val="auto"/>
          <w:u w:val="single"/>
        </w:rPr>
        <w:t>Links to Practical knowledge, Substantive/theory, Disciplinary</w:t>
      </w:r>
    </w:p>
    <w:p w14:paraId="0B553A6A" w14:textId="3E035C5D" w:rsidR="00872BE3" w:rsidRDefault="00872BE3" w:rsidP="00872BE3"/>
    <w:p w14:paraId="21FB3B2C" w14:textId="77777777" w:rsidR="004F739F" w:rsidRPr="00872BE3" w:rsidRDefault="004F739F" w:rsidP="00872BE3"/>
    <w:p w14:paraId="1C5AAD2A" w14:textId="3E19C33A" w:rsidR="00872BE3" w:rsidRDefault="00872BE3" w:rsidP="00872BE3">
      <w:pPr>
        <w:shd w:val="clear" w:color="auto" w:fill="FFFFFF" w:themeFill="background1"/>
        <w:jc w:val="center"/>
        <w:rPr>
          <w:rFonts w:ascii="Arial" w:hAnsi="Arial" w:cs="Arial"/>
          <w:b/>
          <w:bCs/>
          <w:sz w:val="28"/>
          <w:szCs w:val="28"/>
        </w:rPr>
      </w:pPr>
      <w:r w:rsidRPr="004F739F">
        <w:rPr>
          <w:rFonts w:ascii="Arial" w:hAnsi="Arial" w:cs="Arial"/>
          <w:b/>
          <w:bCs/>
          <w:sz w:val="28"/>
          <w:szCs w:val="28"/>
        </w:rPr>
        <w:t>Curriculum Vision:</w:t>
      </w:r>
    </w:p>
    <w:p w14:paraId="7D636368" w14:textId="77777777" w:rsidR="004F739F" w:rsidRPr="004F739F" w:rsidRDefault="004F739F" w:rsidP="00872BE3">
      <w:pPr>
        <w:shd w:val="clear" w:color="auto" w:fill="FFFFFF" w:themeFill="background1"/>
        <w:jc w:val="center"/>
        <w:rPr>
          <w:rFonts w:ascii="Arial" w:hAnsi="Arial" w:cs="Arial"/>
          <w:b/>
          <w:bCs/>
          <w:sz w:val="28"/>
          <w:szCs w:val="28"/>
        </w:rPr>
      </w:pPr>
    </w:p>
    <w:p w14:paraId="5DB1E4C5" w14:textId="77777777" w:rsidR="00872BE3" w:rsidRPr="004F739F" w:rsidRDefault="00872BE3" w:rsidP="00872BE3">
      <w:pPr>
        <w:pStyle w:val="NormalWeb"/>
        <w:spacing w:before="0" w:beforeAutospacing="0" w:after="180" w:afterAutospacing="0"/>
        <w:rPr>
          <w:rFonts w:ascii="Arial" w:hAnsi="Arial" w:cs="Arial"/>
        </w:rPr>
      </w:pPr>
      <w:r w:rsidRPr="004F739F">
        <w:rPr>
          <w:rFonts w:ascii="Arial" w:hAnsi="Arial" w:cs="Arial"/>
        </w:rPr>
        <w:t>Our intent is to impart the following into every Edge Hill University graduate teacher:</w:t>
      </w:r>
    </w:p>
    <w:p w14:paraId="0CA24278" w14:textId="77777777" w:rsidR="00872BE3" w:rsidRPr="004F739F" w:rsidRDefault="00872BE3" w:rsidP="00872BE3">
      <w:pPr>
        <w:pStyle w:val="NoSpacing"/>
        <w:numPr>
          <w:ilvl w:val="0"/>
          <w:numId w:val="3"/>
        </w:numPr>
        <w:rPr>
          <w:rFonts w:cs="Arial"/>
          <w:szCs w:val="24"/>
        </w:rPr>
      </w:pPr>
      <w:r w:rsidRPr="004F739F">
        <w:rPr>
          <w:rFonts w:cs="Arial"/>
          <w:szCs w:val="24"/>
        </w:rPr>
        <w:t>To develop a passion and understanding for PSHE education and recognise the impact for children and young people on their lives both now and in the future.</w:t>
      </w:r>
    </w:p>
    <w:p w14:paraId="47DCB475" w14:textId="77777777" w:rsidR="00872BE3" w:rsidRPr="004F739F" w:rsidRDefault="00872BE3" w:rsidP="00872BE3">
      <w:pPr>
        <w:pStyle w:val="NoSpacing"/>
        <w:ind w:left="720"/>
        <w:rPr>
          <w:rFonts w:cs="Arial"/>
          <w:szCs w:val="24"/>
        </w:rPr>
      </w:pPr>
    </w:p>
    <w:p w14:paraId="7903D58D" w14:textId="77777777" w:rsidR="00872BE3" w:rsidRPr="004F739F" w:rsidRDefault="00872BE3" w:rsidP="00872BE3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004F739F">
        <w:rPr>
          <w:rFonts w:ascii="Arial" w:eastAsia="Times New Roman" w:hAnsi="Arial" w:cs="Arial"/>
          <w:sz w:val="24"/>
          <w:szCs w:val="24"/>
          <w:lang w:eastAsia="en-GB"/>
        </w:rPr>
        <w:t xml:space="preserve">An understanding that PSHE education develops knowledge and provides opportunities to develop and practise fundamental life skills. It also promotes positive behaviours, </w:t>
      </w:r>
      <w:proofErr w:type="gramStart"/>
      <w:r w:rsidRPr="004F739F">
        <w:rPr>
          <w:rFonts w:ascii="Arial" w:eastAsia="Times New Roman" w:hAnsi="Arial" w:cs="Arial"/>
          <w:sz w:val="24"/>
          <w:szCs w:val="24"/>
          <w:lang w:eastAsia="en-GB"/>
        </w:rPr>
        <w:t>attitudes</w:t>
      </w:r>
      <w:proofErr w:type="gramEnd"/>
      <w:r w:rsidRPr="004F739F">
        <w:rPr>
          <w:rFonts w:ascii="Arial" w:eastAsia="Times New Roman" w:hAnsi="Arial" w:cs="Arial"/>
          <w:sz w:val="24"/>
          <w:szCs w:val="24"/>
          <w:lang w:eastAsia="en-GB"/>
        </w:rPr>
        <w:t xml:space="preserve"> and values. </w:t>
      </w:r>
    </w:p>
    <w:p w14:paraId="23247564" w14:textId="77777777" w:rsidR="00872BE3" w:rsidRPr="004F739F" w:rsidRDefault="00872BE3" w:rsidP="00872BE3">
      <w:pPr>
        <w:pStyle w:val="NormalWeb"/>
        <w:numPr>
          <w:ilvl w:val="0"/>
          <w:numId w:val="3"/>
        </w:numPr>
        <w:spacing w:before="0" w:beforeAutospacing="0" w:after="180" w:afterAutospacing="0"/>
        <w:rPr>
          <w:rFonts w:ascii="Arial" w:hAnsi="Arial" w:cs="Arial"/>
        </w:rPr>
      </w:pPr>
      <w:r w:rsidRPr="004F739F">
        <w:rPr>
          <w:rFonts w:ascii="Arial" w:hAnsi="Arial" w:cs="Arial"/>
        </w:rPr>
        <w:t xml:space="preserve">A secure knowledge of the DfE (2019) RSHE Statutory Guidance and the wider PSHE curriculum so that they can teach across the primary phase with confidence. </w:t>
      </w:r>
    </w:p>
    <w:p w14:paraId="48B837D9" w14:textId="77777777" w:rsidR="00872BE3" w:rsidRPr="004F739F" w:rsidRDefault="00872BE3" w:rsidP="00872BE3">
      <w:pPr>
        <w:pStyle w:val="NormalWeb"/>
        <w:numPr>
          <w:ilvl w:val="0"/>
          <w:numId w:val="3"/>
        </w:numPr>
        <w:spacing w:before="0" w:beforeAutospacing="0" w:after="180" w:afterAutospacing="0"/>
        <w:rPr>
          <w:rFonts w:ascii="Arial" w:hAnsi="Arial" w:cs="Arial"/>
        </w:rPr>
      </w:pPr>
      <w:r w:rsidRPr="004F739F">
        <w:rPr>
          <w:rFonts w:ascii="Arial" w:hAnsi="Arial" w:cs="Arial"/>
        </w:rPr>
        <w:t xml:space="preserve">An understanding of adaptive planning and teaching which meets the needs of all pupils.  </w:t>
      </w:r>
    </w:p>
    <w:p w14:paraId="5E43545A" w14:textId="77777777" w:rsidR="00872BE3" w:rsidRPr="004F739F" w:rsidRDefault="00872BE3" w:rsidP="00872BE3">
      <w:pPr>
        <w:pStyle w:val="NormalWeb"/>
        <w:numPr>
          <w:ilvl w:val="0"/>
          <w:numId w:val="3"/>
        </w:numPr>
        <w:spacing w:before="0" w:beforeAutospacing="0" w:after="180" w:afterAutospacing="0"/>
        <w:rPr>
          <w:rFonts w:ascii="Arial" w:hAnsi="Arial" w:cs="Arial"/>
        </w:rPr>
      </w:pPr>
      <w:r w:rsidRPr="004F739F">
        <w:rPr>
          <w:rFonts w:ascii="Arial" w:hAnsi="Arial" w:cs="Arial"/>
        </w:rPr>
        <w:t>A secure understanding of high quality PSHE pedagogy and the importance of safe and effective practice.</w:t>
      </w:r>
    </w:p>
    <w:p w14:paraId="5807D656" w14:textId="77777777" w:rsidR="00872BE3" w:rsidRPr="004F739F" w:rsidRDefault="00872BE3" w:rsidP="00872BE3">
      <w:pPr>
        <w:pStyle w:val="NormalWeb"/>
        <w:numPr>
          <w:ilvl w:val="0"/>
          <w:numId w:val="3"/>
        </w:numPr>
        <w:spacing w:before="0" w:beforeAutospacing="0" w:after="180" w:afterAutospacing="0"/>
        <w:rPr>
          <w:rFonts w:ascii="Arial" w:hAnsi="Arial" w:cs="Arial"/>
        </w:rPr>
      </w:pPr>
      <w:r w:rsidRPr="004F739F">
        <w:rPr>
          <w:rFonts w:ascii="Arial" w:hAnsi="Arial" w:cs="Arial"/>
        </w:rPr>
        <w:t>A desire to be a curious, reflective, lifelong learners who believe in the principles of social justice.</w:t>
      </w:r>
    </w:p>
    <w:tbl>
      <w:tblPr>
        <w:tblStyle w:val="TableGrid"/>
        <w:tblW w:w="15592" w:type="dxa"/>
        <w:tblInd w:w="-714" w:type="dxa"/>
        <w:tblLook w:val="04A0" w:firstRow="1" w:lastRow="0" w:firstColumn="1" w:lastColumn="0" w:noHBand="0" w:noVBand="1"/>
        <w:tblDescription w:val="Curriculum Plan PSHE Phase 1"/>
      </w:tblPr>
      <w:tblGrid>
        <w:gridCol w:w="612"/>
        <w:gridCol w:w="3462"/>
        <w:gridCol w:w="9"/>
        <w:gridCol w:w="1119"/>
        <w:gridCol w:w="2560"/>
        <w:gridCol w:w="2431"/>
        <w:gridCol w:w="1241"/>
        <w:gridCol w:w="9"/>
        <w:gridCol w:w="3528"/>
        <w:gridCol w:w="612"/>
        <w:gridCol w:w="9"/>
      </w:tblGrid>
      <w:tr w:rsidR="00F66C27" w:rsidRPr="00B53DBB" w14:paraId="60D70FFD" w14:textId="77777777" w:rsidTr="004F739F">
        <w:trPr>
          <w:tblHeader/>
        </w:trPr>
        <w:tc>
          <w:tcPr>
            <w:tcW w:w="15592" w:type="dxa"/>
            <w:gridSpan w:val="11"/>
            <w:shd w:val="clear" w:color="auto" w:fill="8DB3E2" w:themeFill="text2" w:themeFillTint="66"/>
          </w:tcPr>
          <w:p w14:paraId="2818F761" w14:textId="77777777" w:rsidR="00F66C27" w:rsidRPr="00845AD0" w:rsidRDefault="00F66C27" w:rsidP="004F739F">
            <w:pPr>
              <w:pStyle w:val="ListParagraph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45AD0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Phase 1</w:t>
            </w:r>
          </w:p>
        </w:tc>
      </w:tr>
      <w:tr w:rsidR="00F66C27" w:rsidRPr="00B53DBB" w14:paraId="18518BE0" w14:textId="77777777" w:rsidTr="004F739F">
        <w:tc>
          <w:tcPr>
            <w:tcW w:w="7762" w:type="dxa"/>
            <w:gridSpan w:val="5"/>
            <w:shd w:val="clear" w:color="auto" w:fill="B8CCE4" w:themeFill="accent1" w:themeFillTint="66"/>
          </w:tcPr>
          <w:p w14:paraId="358D4F40" w14:textId="77777777" w:rsidR="00F66C27" w:rsidRPr="00B53DBB" w:rsidRDefault="00F66C27" w:rsidP="00914FE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University Based Learning</w:t>
            </w:r>
          </w:p>
        </w:tc>
        <w:tc>
          <w:tcPr>
            <w:tcW w:w="7830" w:type="dxa"/>
            <w:gridSpan w:val="6"/>
            <w:shd w:val="clear" w:color="auto" w:fill="B8CCE4" w:themeFill="accent1" w:themeFillTint="66"/>
          </w:tcPr>
          <w:p w14:paraId="09262B23" w14:textId="77777777" w:rsidR="00F66C27" w:rsidRPr="006F4654" w:rsidRDefault="00F66C27" w:rsidP="00914FE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F4654">
              <w:rPr>
                <w:rFonts w:ascii="Arial" w:hAnsi="Arial" w:cs="Arial"/>
                <w:b/>
                <w:bCs/>
                <w:sz w:val="28"/>
                <w:szCs w:val="28"/>
              </w:rPr>
              <w:t>School/Practical Based Learning</w:t>
            </w:r>
          </w:p>
        </w:tc>
      </w:tr>
      <w:tr w:rsidR="00F66C27" w:rsidRPr="00B53DBB" w14:paraId="5370CD02" w14:textId="77777777" w:rsidTr="004F739F">
        <w:tc>
          <w:tcPr>
            <w:tcW w:w="4083" w:type="dxa"/>
            <w:gridSpan w:val="3"/>
            <w:shd w:val="clear" w:color="auto" w:fill="DBE5F1" w:themeFill="accent1" w:themeFillTint="33"/>
          </w:tcPr>
          <w:p w14:paraId="0B6FBFA9" w14:textId="77777777" w:rsidR="00F66C27" w:rsidRDefault="00F66C27" w:rsidP="00914FE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Learn That</w:t>
            </w:r>
          </w:p>
        </w:tc>
        <w:tc>
          <w:tcPr>
            <w:tcW w:w="3679" w:type="dxa"/>
            <w:gridSpan w:val="2"/>
            <w:shd w:val="clear" w:color="auto" w:fill="DBE5F1" w:themeFill="accent1" w:themeFillTint="33"/>
          </w:tcPr>
          <w:p w14:paraId="59185B1C" w14:textId="77777777" w:rsidR="00F66C27" w:rsidRDefault="00F66C27" w:rsidP="00914FE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Learn How</w:t>
            </w:r>
          </w:p>
        </w:tc>
        <w:tc>
          <w:tcPr>
            <w:tcW w:w="3681" w:type="dxa"/>
            <w:gridSpan w:val="3"/>
            <w:shd w:val="clear" w:color="auto" w:fill="DBE5F1" w:themeFill="accent1" w:themeFillTint="33"/>
          </w:tcPr>
          <w:p w14:paraId="166C1B2A" w14:textId="77777777" w:rsidR="00F66C27" w:rsidRDefault="00F66C27" w:rsidP="00914FE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Learn That</w:t>
            </w:r>
          </w:p>
        </w:tc>
        <w:tc>
          <w:tcPr>
            <w:tcW w:w="4149" w:type="dxa"/>
            <w:gridSpan w:val="3"/>
            <w:shd w:val="clear" w:color="auto" w:fill="DBE5F1" w:themeFill="accent1" w:themeFillTint="33"/>
          </w:tcPr>
          <w:p w14:paraId="4C5AD381" w14:textId="77777777" w:rsidR="00F66C27" w:rsidRDefault="00F66C27" w:rsidP="00914FE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Learn How</w:t>
            </w:r>
          </w:p>
        </w:tc>
      </w:tr>
      <w:tr w:rsidR="00F66C27" w:rsidRPr="00B53DBB" w14:paraId="353CE66B" w14:textId="77777777" w:rsidTr="004F739F">
        <w:trPr>
          <w:gridAfter w:val="1"/>
          <w:wAfter w:w="9" w:type="dxa"/>
          <w:trHeight w:val="2306"/>
        </w:trPr>
        <w:tc>
          <w:tcPr>
            <w:tcW w:w="612" w:type="dxa"/>
            <w:vMerge w:val="restart"/>
            <w:shd w:val="clear" w:color="auto" w:fill="DBE5F1" w:themeFill="accent1" w:themeFillTint="33"/>
            <w:textDirection w:val="btLr"/>
          </w:tcPr>
          <w:p w14:paraId="2975BB11" w14:textId="77777777" w:rsidR="00F66C27" w:rsidRPr="00102596" w:rsidRDefault="00F66C27" w:rsidP="00914FE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Hlk66776469"/>
            <w:r w:rsidRPr="00102596">
              <w:rPr>
                <w:rFonts w:ascii="Arial" w:hAnsi="Arial" w:cs="Arial"/>
                <w:b/>
                <w:bCs/>
                <w:sz w:val="18"/>
                <w:szCs w:val="18"/>
              </w:rPr>
              <w:t>Component Knowledge</w:t>
            </w:r>
          </w:p>
        </w:tc>
        <w:tc>
          <w:tcPr>
            <w:tcW w:w="3462" w:type="dxa"/>
          </w:tcPr>
          <w:p w14:paraId="24963FE3" w14:textId="77777777" w:rsidR="00F66C27" w:rsidRPr="004F739F" w:rsidRDefault="00F66C27" w:rsidP="00914FE1">
            <w:pPr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4F739F">
              <w:rPr>
                <w:rFonts w:ascii="Arial" w:hAnsi="Arial" w:cs="Arial"/>
                <w:sz w:val="20"/>
                <w:szCs w:val="20"/>
                <w:lang w:val="en-US"/>
              </w:rPr>
              <w:t xml:space="preserve">PSHE has its own rationale, identity, key </w:t>
            </w:r>
            <w:proofErr w:type="gramStart"/>
            <w:r w:rsidRPr="004F739F">
              <w:rPr>
                <w:rFonts w:ascii="Arial" w:hAnsi="Arial" w:cs="Arial"/>
                <w:sz w:val="20"/>
                <w:szCs w:val="20"/>
                <w:lang w:val="en-US"/>
              </w:rPr>
              <w:t>values</w:t>
            </w:r>
            <w:proofErr w:type="gramEnd"/>
            <w:r w:rsidRPr="004F739F">
              <w:rPr>
                <w:rFonts w:ascii="Arial" w:hAnsi="Arial" w:cs="Arial"/>
                <w:sz w:val="20"/>
                <w:szCs w:val="20"/>
                <w:lang w:val="en-US"/>
              </w:rPr>
              <w:t xml:space="preserve"> and underpinning principles </w:t>
            </w:r>
            <w:r w:rsidRPr="004F739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LT3.2, LT3.3, LT3.5, LT 7.5 LH3.1</w:t>
            </w:r>
          </w:p>
        </w:tc>
        <w:tc>
          <w:tcPr>
            <w:tcW w:w="3688" w:type="dxa"/>
            <w:gridSpan w:val="3"/>
          </w:tcPr>
          <w:p w14:paraId="331DB099" w14:textId="77777777" w:rsidR="00F66C27" w:rsidRPr="004F739F" w:rsidRDefault="00F66C27" w:rsidP="00914FE1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F739F">
              <w:rPr>
                <w:rFonts w:ascii="Arial" w:hAnsi="Arial" w:cs="Arial"/>
                <w:sz w:val="20"/>
                <w:szCs w:val="20"/>
                <w:lang w:val="en-US"/>
              </w:rPr>
              <w:t xml:space="preserve">to use effective pedagogy in their planning and teaching of PSHE to enhance pupils’ disciplinary knowledge </w:t>
            </w:r>
            <w:r w:rsidRPr="004F739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LH3.1 </w:t>
            </w:r>
          </w:p>
        </w:tc>
        <w:tc>
          <w:tcPr>
            <w:tcW w:w="3672" w:type="dxa"/>
            <w:gridSpan w:val="2"/>
          </w:tcPr>
          <w:p w14:paraId="150C9BDA" w14:textId="77777777" w:rsidR="00F66C27" w:rsidRPr="004F739F" w:rsidRDefault="00F66C27" w:rsidP="00914FE1">
            <w:pPr>
              <w:rPr>
                <w:rFonts w:ascii="Arial" w:hAnsi="Arial" w:cs="Arial"/>
                <w:sz w:val="20"/>
                <w:szCs w:val="20"/>
              </w:rPr>
            </w:pPr>
            <w:r w:rsidRPr="004F739F">
              <w:rPr>
                <w:rFonts w:ascii="Arial" w:hAnsi="Arial" w:cs="Arial"/>
                <w:sz w:val="20"/>
                <w:szCs w:val="20"/>
              </w:rPr>
              <w:t xml:space="preserve">a school’s PSHE curriculum is tailored to meet the needs of pupils and address the statutory RSHE requirements and the wider PSHE curriculum. </w:t>
            </w:r>
          </w:p>
          <w:p w14:paraId="1FC3AB80" w14:textId="77777777" w:rsidR="00F66C27" w:rsidRPr="004F739F" w:rsidRDefault="00F66C27" w:rsidP="00914F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739F">
              <w:rPr>
                <w:rFonts w:ascii="Arial" w:hAnsi="Arial" w:cs="Arial"/>
                <w:b/>
                <w:bCs/>
                <w:sz w:val="20"/>
                <w:szCs w:val="20"/>
              </w:rPr>
              <w:t>LT3.1</w:t>
            </w:r>
          </w:p>
          <w:p w14:paraId="309714E8" w14:textId="77777777" w:rsidR="00F66C27" w:rsidRPr="004F739F" w:rsidRDefault="00F66C27" w:rsidP="0091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7" w:type="dxa"/>
            <w:gridSpan w:val="2"/>
          </w:tcPr>
          <w:p w14:paraId="25532FB1" w14:textId="77777777" w:rsidR="00F66C27" w:rsidRDefault="00F66C27" w:rsidP="00914F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739F">
              <w:rPr>
                <w:rFonts w:ascii="Arial" w:hAnsi="Arial" w:cs="Arial"/>
                <w:sz w:val="20"/>
                <w:szCs w:val="20"/>
              </w:rPr>
              <w:t xml:space="preserve">adapt school’s existing planning to deliver a PSHE lesson that focuses on prior knowledge and chunks content so as not to overload working memory </w:t>
            </w:r>
            <w:r w:rsidRPr="004F739F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  <w:r w:rsidRPr="004F739F">
              <w:rPr>
                <w:rFonts w:ascii="Arial" w:hAnsi="Arial" w:cs="Arial"/>
                <w:sz w:val="20"/>
                <w:szCs w:val="20"/>
              </w:rPr>
              <w:t xml:space="preserve"> observe a PSHE lesson being taught with a focus on how the teacher sequences learning and chunks content to avoid cognitive overload </w:t>
            </w:r>
            <w:r w:rsidRPr="004F739F">
              <w:rPr>
                <w:rFonts w:ascii="Arial" w:hAnsi="Arial" w:cs="Arial"/>
                <w:b/>
                <w:bCs/>
                <w:sz w:val="20"/>
                <w:szCs w:val="20"/>
              </w:rPr>
              <w:t>LH4.1</w:t>
            </w:r>
          </w:p>
          <w:p w14:paraId="2F09E618" w14:textId="64477B54" w:rsidR="004F739F" w:rsidRPr="004F739F" w:rsidRDefault="004F739F" w:rsidP="00914F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Merge w:val="restart"/>
            <w:shd w:val="clear" w:color="auto" w:fill="DBE5F1" w:themeFill="accent1" w:themeFillTint="33"/>
            <w:textDirection w:val="tbRl"/>
          </w:tcPr>
          <w:p w14:paraId="29CCEA15" w14:textId="77777777" w:rsidR="00F66C27" w:rsidRPr="00433A8C" w:rsidRDefault="00F66C27" w:rsidP="00914FE1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Intent</w:t>
            </w:r>
          </w:p>
        </w:tc>
      </w:tr>
      <w:bookmarkEnd w:id="0"/>
      <w:tr w:rsidR="00F66C27" w:rsidRPr="00B53DBB" w14:paraId="614A3CEC" w14:textId="77777777" w:rsidTr="004F739F">
        <w:trPr>
          <w:gridAfter w:val="1"/>
          <w:wAfter w:w="9" w:type="dxa"/>
        </w:trPr>
        <w:tc>
          <w:tcPr>
            <w:tcW w:w="612" w:type="dxa"/>
            <w:vMerge/>
            <w:shd w:val="clear" w:color="auto" w:fill="DBE5F1" w:themeFill="accent1" w:themeFillTint="33"/>
            <w:textDirection w:val="btLr"/>
          </w:tcPr>
          <w:p w14:paraId="7C6078F3" w14:textId="77777777" w:rsidR="00F66C27" w:rsidRPr="00102596" w:rsidRDefault="00F66C27" w:rsidP="00914FE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62" w:type="dxa"/>
          </w:tcPr>
          <w:p w14:paraId="1C0CF991" w14:textId="77777777" w:rsidR="00F66C27" w:rsidRPr="004F739F" w:rsidRDefault="00F66C27" w:rsidP="00914FE1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F739F">
              <w:rPr>
                <w:rFonts w:ascii="Arial" w:eastAsiaTheme="minorEastAsia" w:hAnsi="Arial" w:cs="Arial"/>
                <w:sz w:val="20"/>
                <w:szCs w:val="20"/>
              </w:rPr>
              <w:t>There are statutory requirements for Relationships and Health education for all Primary schools and this is placed within the wider PSHE curriculum (this can vary for independent schools)</w:t>
            </w:r>
          </w:p>
          <w:p w14:paraId="38CEE9BF" w14:textId="77777777" w:rsidR="00F66C27" w:rsidRPr="004F739F" w:rsidRDefault="00F66C27" w:rsidP="00914FE1">
            <w:pPr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4F739F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LT3.1</w:t>
            </w:r>
          </w:p>
        </w:tc>
        <w:tc>
          <w:tcPr>
            <w:tcW w:w="3688" w:type="dxa"/>
            <w:gridSpan w:val="3"/>
          </w:tcPr>
          <w:p w14:paraId="74EA1575" w14:textId="77777777" w:rsidR="00F66C27" w:rsidRPr="004F739F" w:rsidRDefault="00F66C27" w:rsidP="00914FE1">
            <w:pPr>
              <w:rPr>
                <w:rFonts w:ascii="Arial" w:hAnsi="Arial" w:cs="Arial"/>
                <w:sz w:val="20"/>
                <w:szCs w:val="20"/>
              </w:rPr>
            </w:pPr>
            <w:r w:rsidRPr="004F739F">
              <w:rPr>
                <w:rFonts w:ascii="Arial" w:hAnsi="Arial" w:cs="Arial"/>
                <w:sz w:val="20"/>
                <w:szCs w:val="20"/>
              </w:rPr>
              <w:t xml:space="preserve">to consider the principles behind planning a learning experience in PSHE that harnesses pupils’ skills and knowledge and fosters an understanding of the situation of others. </w:t>
            </w:r>
          </w:p>
          <w:p w14:paraId="1619867E" w14:textId="77777777" w:rsidR="00F66C27" w:rsidRDefault="00F66C27" w:rsidP="00914F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739F">
              <w:rPr>
                <w:rFonts w:ascii="Arial" w:hAnsi="Arial" w:cs="Arial"/>
                <w:b/>
                <w:bCs/>
                <w:sz w:val="20"/>
                <w:szCs w:val="20"/>
              </w:rPr>
              <w:t>LH3.1</w:t>
            </w:r>
          </w:p>
          <w:p w14:paraId="534617DF" w14:textId="03595B8B" w:rsidR="004F739F" w:rsidRPr="004F739F" w:rsidRDefault="004F739F" w:rsidP="00914FE1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672" w:type="dxa"/>
            <w:gridSpan w:val="2"/>
          </w:tcPr>
          <w:p w14:paraId="430EB548" w14:textId="77777777" w:rsidR="00F66C27" w:rsidRPr="004F739F" w:rsidRDefault="00F66C27" w:rsidP="00914FE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F739F">
              <w:rPr>
                <w:rFonts w:ascii="Arial" w:eastAsia="Arial" w:hAnsi="Arial" w:cs="Arial"/>
                <w:sz w:val="20"/>
                <w:szCs w:val="20"/>
              </w:rPr>
              <w:t xml:space="preserve">retrieval practice is vital to ensure that children know more and remember </w:t>
            </w:r>
            <w:proofErr w:type="gramStart"/>
            <w:r w:rsidRPr="004F739F">
              <w:rPr>
                <w:rFonts w:ascii="Arial" w:eastAsia="Arial" w:hAnsi="Arial" w:cs="Arial"/>
                <w:sz w:val="20"/>
                <w:szCs w:val="20"/>
              </w:rPr>
              <w:t>more</w:t>
            </w:r>
            <w:proofErr w:type="gramEnd"/>
            <w:r w:rsidRPr="004F739F">
              <w:rPr>
                <w:rFonts w:ascii="Arial" w:eastAsia="Arial" w:hAnsi="Arial" w:cs="Arial"/>
                <w:sz w:val="20"/>
                <w:szCs w:val="20"/>
              </w:rPr>
              <w:t xml:space="preserve"> and this can be supported through a spiral, sequential curriculum.</w:t>
            </w:r>
          </w:p>
          <w:p w14:paraId="264D5AE2" w14:textId="77777777" w:rsidR="00F66C27" w:rsidRPr="004F739F" w:rsidRDefault="00F66C27" w:rsidP="00914FE1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F739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LT2.7, LT2.8, LT2.9, LT2.11</w:t>
            </w:r>
          </w:p>
        </w:tc>
        <w:tc>
          <w:tcPr>
            <w:tcW w:w="3537" w:type="dxa"/>
            <w:gridSpan w:val="2"/>
          </w:tcPr>
          <w:p w14:paraId="01862136" w14:textId="25732DCD" w:rsidR="00F66C27" w:rsidRPr="004F739F" w:rsidRDefault="00F66C27" w:rsidP="00914FE1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F739F">
              <w:rPr>
                <w:rFonts w:ascii="Arial" w:eastAsiaTheme="minorEastAsia" w:hAnsi="Arial" w:cs="Arial"/>
                <w:sz w:val="20"/>
                <w:szCs w:val="20"/>
              </w:rPr>
              <w:t xml:space="preserve">to embed opportunities for children to practice the skills and knowledge learned in PSHE lessons across wider school life. </w:t>
            </w:r>
            <w:r w:rsidRPr="004F739F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LH3.20</w:t>
            </w:r>
          </w:p>
        </w:tc>
        <w:tc>
          <w:tcPr>
            <w:tcW w:w="612" w:type="dxa"/>
            <w:vMerge/>
            <w:shd w:val="clear" w:color="auto" w:fill="DBE5F1" w:themeFill="accent1" w:themeFillTint="33"/>
          </w:tcPr>
          <w:p w14:paraId="11B4D489" w14:textId="77777777" w:rsidR="00F66C27" w:rsidRPr="00433A8C" w:rsidRDefault="00F66C27" w:rsidP="00914FE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F66C27" w:rsidRPr="00B53DBB" w14:paraId="5C8BF152" w14:textId="77777777" w:rsidTr="004F739F">
        <w:trPr>
          <w:gridAfter w:val="1"/>
          <w:wAfter w:w="9" w:type="dxa"/>
        </w:trPr>
        <w:tc>
          <w:tcPr>
            <w:tcW w:w="612" w:type="dxa"/>
            <w:vMerge/>
            <w:shd w:val="clear" w:color="auto" w:fill="DBE5F1" w:themeFill="accent1" w:themeFillTint="33"/>
            <w:textDirection w:val="btLr"/>
          </w:tcPr>
          <w:p w14:paraId="78101511" w14:textId="77777777" w:rsidR="00F66C27" w:rsidRPr="00102596" w:rsidRDefault="00F66C27" w:rsidP="00914FE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62" w:type="dxa"/>
          </w:tcPr>
          <w:p w14:paraId="12F536E4" w14:textId="77777777" w:rsidR="00F66C27" w:rsidRDefault="00F66C27" w:rsidP="00914FE1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F739F">
              <w:rPr>
                <w:rFonts w:ascii="Arial" w:eastAsiaTheme="minorEastAsia" w:hAnsi="Arial" w:cs="Arial"/>
                <w:sz w:val="20"/>
                <w:szCs w:val="20"/>
              </w:rPr>
              <w:t xml:space="preserve">Individual starting points and misconceptions can be identified and addressed </w:t>
            </w:r>
            <w:proofErr w:type="gramStart"/>
            <w:r w:rsidRPr="004F739F">
              <w:rPr>
                <w:rFonts w:ascii="Arial" w:eastAsiaTheme="minorEastAsia" w:hAnsi="Arial" w:cs="Arial"/>
                <w:sz w:val="20"/>
                <w:szCs w:val="20"/>
              </w:rPr>
              <w:t>through the use of</w:t>
            </w:r>
            <w:proofErr w:type="gramEnd"/>
            <w:r w:rsidRPr="004F739F">
              <w:rPr>
                <w:rFonts w:ascii="Arial" w:eastAsiaTheme="minorEastAsia" w:hAnsi="Arial" w:cs="Arial"/>
                <w:sz w:val="20"/>
                <w:szCs w:val="20"/>
              </w:rPr>
              <w:t xml:space="preserve"> baseline assessment and formative assessment will address any gaps within knowledge LT6.4, LT6.5</w:t>
            </w:r>
          </w:p>
          <w:p w14:paraId="1C0521EB" w14:textId="34FAC21A" w:rsidR="004F739F" w:rsidRPr="004F739F" w:rsidRDefault="004F739F" w:rsidP="00914FE1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688" w:type="dxa"/>
            <w:gridSpan w:val="3"/>
          </w:tcPr>
          <w:p w14:paraId="0BF2E7DA" w14:textId="77777777" w:rsidR="00F66C27" w:rsidRPr="004F739F" w:rsidRDefault="00F66C27" w:rsidP="00914FE1">
            <w:pPr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4F739F">
              <w:rPr>
                <w:rFonts w:ascii="Arial" w:hAnsi="Arial" w:cs="Arial"/>
                <w:sz w:val="20"/>
                <w:szCs w:val="20"/>
              </w:rPr>
              <w:t xml:space="preserve">to identify and address the perpetuation of stereotypes about other people and places </w:t>
            </w:r>
            <w:r w:rsidRPr="004F739F">
              <w:rPr>
                <w:rFonts w:ascii="Arial" w:hAnsi="Arial" w:cs="Arial"/>
                <w:b/>
                <w:bCs/>
                <w:sz w:val="20"/>
                <w:szCs w:val="20"/>
              </w:rPr>
              <w:t>LH2.5, LH2.6, LH3.7, LH6.4</w:t>
            </w:r>
          </w:p>
        </w:tc>
        <w:tc>
          <w:tcPr>
            <w:tcW w:w="3672" w:type="dxa"/>
            <w:gridSpan w:val="2"/>
          </w:tcPr>
          <w:p w14:paraId="00B54182" w14:textId="77777777" w:rsidR="00F66C27" w:rsidRPr="004F739F" w:rsidRDefault="00F66C27" w:rsidP="00914FE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F73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Behaviours, </w:t>
            </w:r>
            <w:proofErr w:type="gramStart"/>
            <w:r w:rsidRPr="004F73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attitudes</w:t>
            </w:r>
            <w:proofErr w:type="gramEnd"/>
            <w:r w:rsidRPr="004F73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and values should be modelled by adults in order to promote high expectations </w:t>
            </w:r>
            <w:r w:rsidRPr="004F739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LT4.3, LT4.4</w:t>
            </w:r>
          </w:p>
        </w:tc>
        <w:tc>
          <w:tcPr>
            <w:tcW w:w="3537" w:type="dxa"/>
            <w:gridSpan w:val="2"/>
          </w:tcPr>
          <w:p w14:paraId="449ECB41" w14:textId="77777777" w:rsidR="00F66C27" w:rsidRPr="004F739F" w:rsidRDefault="00F66C27" w:rsidP="00914FE1">
            <w:pPr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4F739F">
              <w:rPr>
                <w:rFonts w:ascii="Arial" w:eastAsiaTheme="minorEastAsia" w:hAnsi="Arial" w:cs="Arial"/>
                <w:sz w:val="20"/>
                <w:szCs w:val="20"/>
              </w:rPr>
              <w:t xml:space="preserve">to establish a safe environment where children can confidently discuss sensitive issues. </w:t>
            </w:r>
          </w:p>
        </w:tc>
        <w:tc>
          <w:tcPr>
            <w:tcW w:w="612" w:type="dxa"/>
            <w:vMerge/>
            <w:shd w:val="clear" w:color="auto" w:fill="DBE5F1" w:themeFill="accent1" w:themeFillTint="33"/>
          </w:tcPr>
          <w:p w14:paraId="1AE84AD8" w14:textId="77777777" w:rsidR="00F66C27" w:rsidRPr="00433A8C" w:rsidRDefault="00F66C27" w:rsidP="00914FE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F66C27" w:rsidRPr="00B53DBB" w14:paraId="1862A2C8" w14:textId="77777777" w:rsidTr="004F739F">
        <w:trPr>
          <w:gridAfter w:val="1"/>
          <w:wAfter w:w="9" w:type="dxa"/>
        </w:trPr>
        <w:tc>
          <w:tcPr>
            <w:tcW w:w="612" w:type="dxa"/>
            <w:vMerge/>
            <w:shd w:val="clear" w:color="auto" w:fill="DBE5F1" w:themeFill="accent1" w:themeFillTint="33"/>
            <w:textDirection w:val="btLr"/>
          </w:tcPr>
          <w:p w14:paraId="7FB5C11C" w14:textId="77777777" w:rsidR="00F66C27" w:rsidRPr="00102596" w:rsidRDefault="00F66C27" w:rsidP="00914FE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62" w:type="dxa"/>
          </w:tcPr>
          <w:p w14:paraId="7ABE45B5" w14:textId="77777777" w:rsidR="00F66C27" w:rsidRPr="004F739F" w:rsidRDefault="00F66C27" w:rsidP="00914FE1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F739F">
              <w:rPr>
                <w:rFonts w:ascii="Arial" w:eastAsiaTheme="minorEastAsia" w:hAnsi="Arial" w:cs="Arial"/>
                <w:sz w:val="20"/>
                <w:szCs w:val="20"/>
              </w:rPr>
              <w:t xml:space="preserve">Planning and teaching </w:t>
            </w:r>
            <w:proofErr w:type="gramStart"/>
            <w:r w:rsidRPr="004F739F">
              <w:rPr>
                <w:rFonts w:ascii="Arial" w:eastAsiaTheme="minorEastAsia" w:hAnsi="Arial" w:cs="Arial"/>
                <w:sz w:val="20"/>
                <w:szCs w:val="20"/>
              </w:rPr>
              <w:t>is</w:t>
            </w:r>
            <w:proofErr w:type="gramEnd"/>
            <w:r w:rsidRPr="004F739F">
              <w:rPr>
                <w:rFonts w:ascii="Arial" w:eastAsiaTheme="minorEastAsia" w:hAnsi="Arial" w:cs="Arial"/>
                <w:sz w:val="20"/>
                <w:szCs w:val="20"/>
              </w:rPr>
              <w:t xml:space="preserve"> adapted to meet the needs of all learners, including those with SEND and vulnerabilities </w:t>
            </w:r>
            <w:r w:rsidRPr="004F739F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LT5.1, LT5.3, LT5.7</w:t>
            </w:r>
          </w:p>
        </w:tc>
        <w:tc>
          <w:tcPr>
            <w:tcW w:w="3688" w:type="dxa"/>
            <w:gridSpan w:val="3"/>
          </w:tcPr>
          <w:p w14:paraId="70851861" w14:textId="7E87A610" w:rsidR="00F66C27" w:rsidRPr="004F739F" w:rsidRDefault="00F66C27" w:rsidP="004F739F">
            <w:pPr>
              <w:rPr>
                <w:rFonts w:ascii="Arial" w:eastAsiaTheme="minorEastAsia" w:hAnsi="Arial" w:cs="Arial"/>
                <w:b/>
                <w:bCs/>
                <w:color w:val="FF0000"/>
                <w:sz w:val="20"/>
                <w:szCs w:val="20"/>
              </w:rPr>
            </w:pPr>
            <w:r w:rsidRPr="004F739F">
              <w:rPr>
                <w:rFonts w:ascii="Arial" w:hAnsi="Arial" w:cs="Arial"/>
                <w:sz w:val="20"/>
                <w:szCs w:val="20"/>
                <w:lang w:val="en-US"/>
              </w:rPr>
              <w:t xml:space="preserve">to plan for progression in PSHE skills from EYFS, across the primary curriculum in readiness for KS3. With support from PSHE Association </w:t>
            </w:r>
            <w:proofErr w:type="spellStart"/>
            <w:r w:rsidRPr="004F739F">
              <w:rPr>
                <w:rFonts w:ascii="Arial" w:hAnsi="Arial" w:cs="Arial"/>
                <w:sz w:val="20"/>
                <w:szCs w:val="20"/>
                <w:lang w:val="en-US"/>
              </w:rPr>
              <w:t>programme</w:t>
            </w:r>
            <w:proofErr w:type="spellEnd"/>
            <w:r w:rsidRPr="004F739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4F739F">
              <w:rPr>
                <w:rFonts w:ascii="Arial" w:hAnsi="Arial" w:cs="Arial"/>
                <w:sz w:val="20"/>
                <w:szCs w:val="20"/>
                <w:lang w:val="en-US"/>
              </w:rPr>
              <w:t>builders</w:t>
            </w:r>
            <w:proofErr w:type="gramEnd"/>
            <w:r w:rsidRPr="004F739F">
              <w:rPr>
                <w:rFonts w:ascii="Arial" w:hAnsi="Arial" w:cs="Arial"/>
                <w:sz w:val="20"/>
                <w:szCs w:val="20"/>
                <w:lang w:val="en-US"/>
              </w:rPr>
              <w:t xml:space="preserve"> documentation </w:t>
            </w:r>
            <w:r w:rsidRPr="004F739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LH2.3</w:t>
            </w:r>
          </w:p>
        </w:tc>
        <w:tc>
          <w:tcPr>
            <w:tcW w:w="3672" w:type="dxa"/>
            <w:gridSpan w:val="2"/>
          </w:tcPr>
          <w:p w14:paraId="3D05232C" w14:textId="77777777" w:rsidR="00F66C27" w:rsidRPr="004F739F" w:rsidRDefault="00F66C27" w:rsidP="00914FE1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37" w:type="dxa"/>
            <w:gridSpan w:val="2"/>
          </w:tcPr>
          <w:p w14:paraId="0923120D" w14:textId="77777777" w:rsidR="00F66C27" w:rsidRPr="004F739F" w:rsidRDefault="00F66C27" w:rsidP="00914FE1">
            <w:pPr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vMerge/>
            <w:shd w:val="clear" w:color="auto" w:fill="DBE5F1" w:themeFill="accent1" w:themeFillTint="33"/>
          </w:tcPr>
          <w:p w14:paraId="21781FA4" w14:textId="77777777" w:rsidR="00F66C27" w:rsidRPr="00433A8C" w:rsidRDefault="00F66C27" w:rsidP="00914FE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F66C27" w:rsidRPr="00B53DBB" w14:paraId="381B2512" w14:textId="77777777" w:rsidTr="004F739F">
        <w:trPr>
          <w:gridAfter w:val="1"/>
          <w:wAfter w:w="9" w:type="dxa"/>
          <w:trHeight w:val="279"/>
        </w:trPr>
        <w:tc>
          <w:tcPr>
            <w:tcW w:w="612" w:type="dxa"/>
            <w:vMerge/>
            <w:shd w:val="clear" w:color="auto" w:fill="DBE5F1" w:themeFill="accent1" w:themeFillTint="33"/>
            <w:textDirection w:val="btLr"/>
          </w:tcPr>
          <w:p w14:paraId="1B0BA215" w14:textId="77777777" w:rsidR="00F66C27" w:rsidRPr="00102596" w:rsidRDefault="00F66C27" w:rsidP="00914FE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62" w:type="dxa"/>
          </w:tcPr>
          <w:p w14:paraId="2855C7C9" w14:textId="77777777" w:rsidR="00F66C27" w:rsidRPr="004F739F" w:rsidRDefault="00F66C27" w:rsidP="00914FE1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F739F">
              <w:rPr>
                <w:rFonts w:ascii="Arial" w:eastAsiaTheme="minorEastAsia" w:hAnsi="Arial" w:cs="Arial"/>
                <w:sz w:val="20"/>
                <w:szCs w:val="20"/>
              </w:rPr>
              <w:t xml:space="preserve">Planning through a spiral curriculum for progression in knowledge, skills, </w:t>
            </w:r>
            <w:proofErr w:type="gramStart"/>
            <w:r w:rsidRPr="004F739F">
              <w:rPr>
                <w:rFonts w:ascii="Arial" w:eastAsiaTheme="minorEastAsia" w:hAnsi="Arial" w:cs="Arial"/>
                <w:sz w:val="20"/>
                <w:szCs w:val="20"/>
              </w:rPr>
              <w:t>attitudes</w:t>
            </w:r>
            <w:proofErr w:type="gramEnd"/>
            <w:r w:rsidRPr="004F739F">
              <w:rPr>
                <w:rFonts w:ascii="Arial" w:eastAsiaTheme="minorEastAsia" w:hAnsi="Arial" w:cs="Arial"/>
                <w:sz w:val="20"/>
                <w:szCs w:val="20"/>
              </w:rPr>
              <w:t xml:space="preserve"> and attributes is vital </w:t>
            </w:r>
            <w:r w:rsidRPr="004F739F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LT3.3</w:t>
            </w:r>
          </w:p>
        </w:tc>
        <w:tc>
          <w:tcPr>
            <w:tcW w:w="3688" w:type="dxa"/>
            <w:gridSpan w:val="3"/>
          </w:tcPr>
          <w:p w14:paraId="7DDE40C8" w14:textId="77777777" w:rsidR="00F66C27" w:rsidRPr="004F739F" w:rsidRDefault="00F66C27" w:rsidP="00914FE1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F739F">
              <w:rPr>
                <w:rFonts w:ascii="Arial" w:hAnsi="Arial" w:cs="Arial"/>
                <w:sz w:val="20"/>
                <w:szCs w:val="20"/>
              </w:rPr>
              <w:t xml:space="preserve">to evaluate a high-quality PSHE learning experience that breaks down the statutory requirements into component knowledge </w:t>
            </w:r>
            <w:r w:rsidRPr="004F739F">
              <w:rPr>
                <w:rFonts w:ascii="Arial" w:hAnsi="Arial" w:cs="Arial"/>
                <w:b/>
                <w:bCs/>
                <w:sz w:val="20"/>
                <w:szCs w:val="20"/>
              </w:rPr>
              <w:t>LH4.1</w:t>
            </w:r>
          </w:p>
        </w:tc>
        <w:tc>
          <w:tcPr>
            <w:tcW w:w="3672" w:type="dxa"/>
            <w:gridSpan w:val="2"/>
          </w:tcPr>
          <w:p w14:paraId="526845E5" w14:textId="77777777" w:rsidR="00F66C27" w:rsidRPr="004F739F" w:rsidRDefault="00F66C27" w:rsidP="00914FE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37" w:type="dxa"/>
            <w:gridSpan w:val="2"/>
          </w:tcPr>
          <w:p w14:paraId="054E4B2B" w14:textId="77777777" w:rsidR="00F66C27" w:rsidRPr="004F739F" w:rsidRDefault="00F66C27" w:rsidP="00914FE1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12" w:type="dxa"/>
            <w:vMerge/>
            <w:shd w:val="clear" w:color="auto" w:fill="DBE5F1" w:themeFill="accent1" w:themeFillTint="33"/>
          </w:tcPr>
          <w:p w14:paraId="27A67675" w14:textId="77777777" w:rsidR="00F66C27" w:rsidRPr="00433A8C" w:rsidRDefault="00F66C27" w:rsidP="00914FE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F66C27" w:rsidRPr="00B53DBB" w14:paraId="74897102" w14:textId="77777777" w:rsidTr="004F739F">
        <w:trPr>
          <w:gridAfter w:val="1"/>
          <w:wAfter w:w="9" w:type="dxa"/>
          <w:trHeight w:val="279"/>
        </w:trPr>
        <w:tc>
          <w:tcPr>
            <w:tcW w:w="612" w:type="dxa"/>
            <w:vMerge/>
            <w:shd w:val="clear" w:color="auto" w:fill="DBE5F1" w:themeFill="accent1" w:themeFillTint="33"/>
            <w:textDirection w:val="btLr"/>
          </w:tcPr>
          <w:p w14:paraId="0469F0B8" w14:textId="77777777" w:rsidR="00F66C27" w:rsidRPr="00102596" w:rsidRDefault="00F66C27" w:rsidP="00914FE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62" w:type="dxa"/>
          </w:tcPr>
          <w:p w14:paraId="6F4479C3" w14:textId="77777777" w:rsidR="00F66C27" w:rsidRPr="004F739F" w:rsidRDefault="00F66C27" w:rsidP="00914FE1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F739F">
              <w:rPr>
                <w:rFonts w:ascii="Arial" w:hAnsi="Arial" w:cs="Arial"/>
                <w:sz w:val="20"/>
                <w:szCs w:val="20"/>
                <w:lang w:val="en-US"/>
              </w:rPr>
              <w:t xml:space="preserve">short-term plans are necessary to identify the sequence of learning which </w:t>
            </w:r>
            <w:proofErr w:type="gramStart"/>
            <w:r w:rsidRPr="004F739F">
              <w:rPr>
                <w:rFonts w:ascii="Arial" w:hAnsi="Arial" w:cs="Arial"/>
                <w:sz w:val="20"/>
                <w:szCs w:val="20"/>
                <w:lang w:val="en-US"/>
              </w:rPr>
              <w:t>takes into account</w:t>
            </w:r>
            <w:proofErr w:type="gramEnd"/>
            <w:r w:rsidRPr="004F739F">
              <w:rPr>
                <w:rFonts w:ascii="Arial" w:hAnsi="Arial" w:cs="Arial"/>
                <w:sz w:val="20"/>
                <w:szCs w:val="20"/>
                <w:lang w:val="en-US"/>
              </w:rPr>
              <w:t xml:space="preserve"> pupils’ component and composite knowledge (small manageable chunks so as not to overload the working memory) as well as approaches to adaptive teaching </w:t>
            </w:r>
            <w:r w:rsidRPr="004F739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LT4.2</w:t>
            </w:r>
          </w:p>
        </w:tc>
        <w:tc>
          <w:tcPr>
            <w:tcW w:w="3688" w:type="dxa"/>
            <w:gridSpan w:val="3"/>
          </w:tcPr>
          <w:p w14:paraId="31003383" w14:textId="77777777" w:rsidR="00F66C27" w:rsidRPr="004F739F" w:rsidRDefault="00F66C27" w:rsidP="00914FE1">
            <w:pPr>
              <w:rPr>
                <w:rFonts w:ascii="Arial" w:hAnsi="Arial" w:cs="Arial"/>
                <w:sz w:val="20"/>
                <w:szCs w:val="20"/>
              </w:rPr>
            </w:pPr>
            <w:r w:rsidRPr="004F739F">
              <w:rPr>
                <w:rFonts w:ascii="Arial" w:eastAsiaTheme="minorEastAsia" w:hAnsi="Arial" w:cs="Arial"/>
                <w:sz w:val="20"/>
                <w:szCs w:val="20"/>
              </w:rPr>
              <w:t>to adapt teaching for learners with differing needs e.g., SEND or those learning EAL, ensuring that learning is ‘chunked’ into small, manageable steps so as not to overload the working memory</w:t>
            </w:r>
            <w:r w:rsidRPr="004F739F">
              <w:rPr>
                <w:rFonts w:ascii="Arial" w:hAnsi="Arial" w:cs="Arial"/>
                <w:sz w:val="20"/>
                <w:szCs w:val="20"/>
              </w:rPr>
              <w:t xml:space="preserve"> and to recognise that some information needs to be accessible for children and young people who might be open to exploitation.</w:t>
            </w:r>
          </w:p>
          <w:p w14:paraId="6FC50439" w14:textId="77777777" w:rsidR="00F66C27" w:rsidRPr="004F739F" w:rsidRDefault="00F66C27" w:rsidP="00914FE1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F73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739F">
              <w:rPr>
                <w:rFonts w:ascii="Arial" w:hAnsi="Arial" w:cs="Arial"/>
                <w:b/>
                <w:bCs/>
                <w:sz w:val="20"/>
                <w:szCs w:val="20"/>
              </w:rPr>
              <w:t>LH2.3, LH5.1, LH5.5</w:t>
            </w:r>
          </w:p>
        </w:tc>
        <w:tc>
          <w:tcPr>
            <w:tcW w:w="3672" w:type="dxa"/>
            <w:gridSpan w:val="2"/>
          </w:tcPr>
          <w:p w14:paraId="74400487" w14:textId="77777777" w:rsidR="00F66C27" w:rsidRPr="004F739F" w:rsidRDefault="00F66C27" w:rsidP="00914FE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37" w:type="dxa"/>
            <w:gridSpan w:val="2"/>
          </w:tcPr>
          <w:p w14:paraId="56FA98C4" w14:textId="77777777" w:rsidR="00F66C27" w:rsidRPr="00295CF6" w:rsidRDefault="00F66C27" w:rsidP="00914F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612" w:type="dxa"/>
            <w:vMerge/>
            <w:shd w:val="clear" w:color="auto" w:fill="DBE5F1" w:themeFill="accent1" w:themeFillTint="33"/>
          </w:tcPr>
          <w:p w14:paraId="66C37C6E" w14:textId="77777777" w:rsidR="00F66C27" w:rsidRPr="00433A8C" w:rsidRDefault="00F66C27" w:rsidP="00914FE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F66C27" w:rsidRPr="00B53DBB" w14:paraId="42FA3777" w14:textId="77777777" w:rsidTr="004F739F">
        <w:trPr>
          <w:gridAfter w:val="1"/>
          <w:wAfter w:w="9" w:type="dxa"/>
          <w:trHeight w:val="279"/>
        </w:trPr>
        <w:tc>
          <w:tcPr>
            <w:tcW w:w="612" w:type="dxa"/>
            <w:vMerge/>
            <w:shd w:val="clear" w:color="auto" w:fill="DBE5F1" w:themeFill="accent1" w:themeFillTint="33"/>
            <w:textDirection w:val="btLr"/>
          </w:tcPr>
          <w:p w14:paraId="57C14CE4" w14:textId="77777777" w:rsidR="00F66C27" w:rsidRPr="00102596" w:rsidRDefault="00F66C27" w:rsidP="00914FE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62" w:type="dxa"/>
          </w:tcPr>
          <w:p w14:paraId="2DAFA7B6" w14:textId="77777777" w:rsidR="00F66C27" w:rsidRPr="004F739F" w:rsidRDefault="00F66C27" w:rsidP="00914FE1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F739F">
              <w:rPr>
                <w:rFonts w:ascii="Arial" w:hAnsi="Arial" w:cs="Arial"/>
                <w:sz w:val="20"/>
                <w:szCs w:val="20"/>
              </w:rPr>
              <w:t xml:space="preserve">secure age and developmentally appropriate subject knowledge </w:t>
            </w:r>
            <w:proofErr w:type="gramStart"/>
            <w:r w:rsidRPr="004F739F">
              <w:rPr>
                <w:rFonts w:ascii="Arial" w:hAnsi="Arial" w:cs="Arial"/>
                <w:sz w:val="20"/>
                <w:szCs w:val="20"/>
              </w:rPr>
              <w:t>is</w:t>
            </w:r>
            <w:proofErr w:type="gramEnd"/>
            <w:r w:rsidRPr="004F739F">
              <w:rPr>
                <w:rFonts w:ascii="Arial" w:hAnsi="Arial" w:cs="Arial"/>
                <w:sz w:val="20"/>
                <w:szCs w:val="20"/>
              </w:rPr>
              <w:t xml:space="preserve"> vital for teaching Relationship, Health Education </w:t>
            </w:r>
            <w:r w:rsidRPr="004F739F">
              <w:rPr>
                <w:rFonts w:ascii="Arial" w:hAnsi="Arial" w:cs="Arial"/>
                <w:b/>
                <w:bCs/>
                <w:sz w:val="20"/>
                <w:szCs w:val="20"/>
              </w:rPr>
              <w:t>LT1.3, LT3.2, LT3.3, LT3.5</w:t>
            </w:r>
          </w:p>
        </w:tc>
        <w:tc>
          <w:tcPr>
            <w:tcW w:w="3688" w:type="dxa"/>
            <w:gridSpan w:val="3"/>
          </w:tcPr>
          <w:p w14:paraId="46C1C5A3" w14:textId="77777777" w:rsidR="00F66C27" w:rsidRPr="004F739F" w:rsidRDefault="00F66C27" w:rsidP="00914FE1">
            <w:pPr>
              <w:rPr>
                <w:rFonts w:ascii="Arial" w:hAnsi="Arial" w:cs="Arial"/>
                <w:sz w:val="20"/>
                <w:szCs w:val="20"/>
              </w:rPr>
            </w:pPr>
            <w:r w:rsidRPr="004F739F">
              <w:rPr>
                <w:rFonts w:ascii="Arial" w:hAnsi="Arial" w:cs="Arial"/>
                <w:sz w:val="20"/>
                <w:szCs w:val="20"/>
              </w:rPr>
              <w:t>to research in preparation for teaching other areas of PSHE ensuring that correct subject-specific vocabulary is taught and that opportunities for effective questioning are planned for</w:t>
            </w:r>
          </w:p>
          <w:p w14:paraId="12C7D3DC" w14:textId="77777777" w:rsidR="00F66C27" w:rsidRPr="004F739F" w:rsidRDefault="00F66C27" w:rsidP="00914F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73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739F">
              <w:rPr>
                <w:rFonts w:ascii="Arial" w:hAnsi="Arial" w:cs="Arial"/>
                <w:b/>
                <w:bCs/>
                <w:sz w:val="20"/>
                <w:szCs w:val="20"/>
              </w:rPr>
              <w:t>LH3.3, LH3.20, LH4.15, LH4.16, LH6.6</w:t>
            </w:r>
          </w:p>
        </w:tc>
        <w:tc>
          <w:tcPr>
            <w:tcW w:w="3672" w:type="dxa"/>
            <w:gridSpan w:val="2"/>
          </w:tcPr>
          <w:p w14:paraId="17176A01" w14:textId="77777777" w:rsidR="00F66C27" w:rsidRPr="004F739F" w:rsidRDefault="00F66C27" w:rsidP="00914FE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37" w:type="dxa"/>
            <w:gridSpan w:val="2"/>
          </w:tcPr>
          <w:p w14:paraId="784A5BFC" w14:textId="77777777" w:rsidR="00F66C27" w:rsidRPr="00295CF6" w:rsidRDefault="00F66C27" w:rsidP="00914F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612" w:type="dxa"/>
            <w:vMerge/>
            <w:shd w:val="clear" w:color="auto" w:fill="DBE5F1" w:themeFill="accent1" w:themeFillTint="33"/>
          </w:tcPr>
          <w:p w14:paraId="57B7D884" w14:textId="77777777" w:rsidR="00F66C27" w:rsidRPr="00433A8C" w:rsidRDefault="00F66C27" w:rsidP="00914FE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F66C27" w:rsidRPr="00B53DBB" w14:paraId="4F5EBD08" w14:textId="77777777" w:rsidTr="004F739F">
        <w:trPr>
          <w:gridAfter w:val="1"/>
          <w:wAfter w:w="9" w:type="dxa"/>
          <w:trHeight w:val="279"/>
        </w:trPr>
        <w:tc>
          <w:tcPr>
            <w:tcW w:w="612" w:type="dxa"/>
            <w:vMerge/>
            <w:shd w:val="clear" w:color="auto" w:fill="DBE5F1" w:themeFill="accent1" w:themeFillTint="33"/>
            <w:textDirection w:val="btLr"/>
          </w:tcPr>
          <w:p w14:paraId="142E9F35" w14:textId="77777777" w:rsidR="00F66C27" w:rsidRPr="00102596" w:rsidRDefault="00F66C27" w:rsidP="00914FE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62" w:type="dxa"/>
          </w:tcPr>
          <w:p w14:paraId="5B9E78F6" w14:textId="77777777" w:rsidR="00F66C27" w:rsidRPr="004F739F" w:rsidRDefault="00F66C27" w:rsidP="00914FE1">
            <w:pPr>
              <w:rPr>
                <w:rFonts w:ascii="Arial" w:hAnsi="Arial" w:cs="Arial"/>
                <w:sz w:val="20"/>
                <w:szCs w:val="20"/>
              </w:rPr>
            </w:pPr>
            <w:r w:rsidRPr="004F739F">
              <w:rPr>
                <w:rFonts w:ascii="Arial" w:hAnsi="Arial" w:cs="Arial"/>
                <w:sz w:val="20"/>
                <w:szCs w:val="20"/>
                <w:lang w:val="en-US"/>
              </w:rPr>
              <w:t xml:space="preserve">There are strategies to support learning of subject specific vocabulary and that these strategies </w:t>
            </w:r>
            <w:r w:rsidRPr="004F739F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can help to embed this learning in children’s long-term memory including pre-learning and over-learning </w:t>
            </w:r>
            <w:r w:rsidRPr="004F739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LH3.20</w:t>
            </w:r>
            <w:r w:rsidRPr="004F739F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4F739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LT2.2, LT2.7, LT2.8</w:t>
            </w:r>
          </w:p>
        </w:tc>
        <w:tc>
          <w:tcPr>
            <w:tcW w:w="3688" w:type="dxa"/>
            <w:gridSpan w:val="3"/>
          </w:tcPr>
          <w:p w14:paraId="699364DC" w14:textId="77777777" w:rsidR="00F66C27" w:rsidRPr="004F739F" w:rsidRDefault="00F66C27" w:rsidP="00914FE1">
            <w:pPr>
              <w:rPr>
                <w:rFonts w:ascii="Arial" w:hAnsi="Arial" w:cs="Arial"/>
                <w:sz w:val="20"/>
                <w:szCs w:val="20"/>
              </w:rPr>
            </w:pPr>
            <w:r w:rsidRPr="004F739F">
              <w:rPr>
                <w:rFonts w:ascii="Arial" w:hAnsi="Arial" w:cs="Arial"/>
                <w:sz w:val="20"/>
                <w:szCs w:val="20"/>
              </w:rPr>
              <w:lastRenderedPageBreak/>
              <w:t>to critically assess the effectiveness and appropriateness of teaching resources</w:t>
            </w:r>
          </w:p>
          <w:p w14:paraId="5691308D" w14:textId="77777777" w:rsidR="00F66C27" w:rsidRPr="004F739F" w:rsidRDefault="00F66C27" w:rsidP="00914FE1">
            <w:pPr>
              <w:rPr>
                <w:rFonts w:ascii="Arial" w:hAnsi="Arial" w:cs="Arial"/>
                <w:sz w:val="20"/>
                <w:szCs w:val="20"/>
              </w:rPr>
            </w:pPr>
            <w:r w:rsidRPr="004F739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lastRenderedPageBreak/>
              <w:t>LH3.1, LH3.3</w:t>
            </w:r>
          </w:p>
        </w:tc>
        <w:tc>
          <w:tcPr>
            <w:tcW w:w="3672" w:type="dxa"/>
            <w:gridSpan w:val="2"/>
          </w:tcPr>
          <w:p w14:paraId="1B0068E4" w14:textId="77777777" w:rsidR="00F66C27" w:rsidRPr="004F739F" w:rsidRDefault="00F66C27" w:rsidP="00914FE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37" w:type="dxa"/>
            <w:gridSpan w:val="2"/>
          </w:tcPr>
          <w:p w14:paraId="79C4BA3B" w14:textId="77777777" w:rsidR="00F66C27" w:rsidRPr="00295CF6" w:rsidRDefault="00F66C27" w:rsidP="00914F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612" w:type="dxa"/>
            <w:vMerge/>
            <w:shd w:val="clear" w:color="auto" w:fill="DBE5F1" w:themeFill="accent1" w:themeFillTint="33"/>
          </w:tcPr>
          <w:p w14:paraId="0B296D9C" w14:textId="77777777" w:rsidR="00F66C27" w:rsidRPr="00433A8C" w:rsidRDefault="00F66C27" w:rsidP="00914FE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F66C27" w:rsidRPr="00B53DBB" w14:paraId="29F2BDEC" w14:textId="77777777" w:rsidTr="004F739F">
        <w:trPr>
          <w:gridAfter w:val="1"/>
          <w:wAfter w:w="9" w:type="dxa"/>
          <w:trHeight w:val="279"/>
        </w:trPr>
        <w:tc>
          <w:tcPr>
            <w:tcW w:w="612" w:type="dxa"/>
            <w:vMerge/>
            <w:shd w:val="clear" w:color="auto" w:fill="DBE5F1" w:themeFill="accent1" w:themeFillTint="33"/>
            <w:textDirection w:val="btLr"/>
          </w:tcPr>
          <w:p w14:paraId="0086C110" w14:textId="77777777" w:rsidR="00F66C27" w:rsidRPr="00102596" w:rsidRDefault="00F66C27" w:rsidP="00914FE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62" w:type="dxa"/>
          </w:tcPr>
          <w:p w14:paraId="4CA93E88" w14:textId="77777777" w:rsidR="00F66C27" w:rsidRPr="004F739F" w:rsidRDefault="00F66C27" w:rsidP="00914FE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739F">
              <w:rPr>
                <w:rFonts w:ascii="Arial" w:hAnsi="Arial" w:cs="Arial"/>
                <w:sz w:val="20"/>
                <w:szCs w:val="20"/>
                <w:lang w:val="en-US"/>
              </w:rPr>
              <w:t xml:space="preserve">children should be given opportunities to engage with meaningful, high-quality, progressive learning in PSHE. </w:t>
            </w:r>
          </w:p>
          <w:p w14:paraId="13D0B855" w14:textId="77777777" w:rsidR="00F66C27" w:rsidRPr="004F739F" w:rsidRDefault="00F66C27" w:rsidP="00914FE1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F739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LT1.6, LT2.1</w:t>
            </w:r>
          </w:p>
        </w:tc>
        <w:tc>
          <w:tcPr>
            <w:tcW w:w="3688" w:type="dxa"/>
            <w:gridSpan w:val="3"/>
          </w:tcPr>
          <w:p w14:paraId="493C5A6A" w14:textId="77777777" w:rsidR="00F66C27" w:rsidRPr="004F739F" w:rsidRDefault="00F66C27" w:rsidP="00914FE1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F739F">
              <w:rPr>
                <w:rFonts w:ascii="Arial" w:hAnsi="Arial" w:cs="Arial"/>
                <w:sz w:val="20"/>
                <w:szCs w:val="20"/>
                <w:lang w:val="en-US"/>
              </w:rPr>
              <w:t xml:space="preserve">To establish safe and effective practice principles within the PSHE classroom </w:t>
            </w:r>
            <w:r w:rsidRPr="004F739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LH7.2, LH7.3</w:t>
            </w:r>
          </w:p>
        </w:tc>
        <w:tc>
          <w:tcPr>
            <w:tcW w:w="3672" w:type="dxa"/>
            <w:gridSpan w:val="2"/>
          </w:tcPr>
          <w:p w14:paraId="2B655D91" w14:textId="77777777" w:rsidR="00F66C27" w:rsidRPr="004F739F" w:rsidRDefault="00F66C27" w:rsidP="00914FE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37" w:type="dxa"/>
            <w:gridSpan w:val="2"/>
          </w:tcPr>
          <w:p w14:paraId="6AC33AF8" w14:textId="77777777" w:rsidR="00F66C27" w:rsidRPr="00295CF6" w:rsidRDefault="00F66C27" w:rsidP="00914F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612" w:type="dxa"/>
            <w:vMerge/>
            <w:shd w:val="clear" w:color="auto" w:fill="DBE5F1" w:themeFill="accent1" w:themeFillTint="33"/>
          </w:tcPr>
          <w:p w14:paraId="5EBA3E3E" w14:textId="77777777" w:rsidR="00F66C27" w:rsidRPr="00433A8C" w:rsidRDefault="00F66C27" w:rsidP="00914FE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F66C27" w:rsidRPr="00B53DBB" w14:paraId="47E906D6" w14:textId="77777777" w:rsidTr="004F739F">
        <w:trPr>
          <w:gridAfter w:val="1"/>
          <w:wAfter w:w="9" w:type="dxa"/>
          <w:trHeight w:val="279"/>
        </w:trPr>
        <w:tc>
          <w:tcPr>
            <w:tcW w:w="612" w:type="dxa"/>
            <w:vMerge/>
            <w:shd w:val="clear" w:color="auto" w:fill="DBE5F1" w:themeFill="accent1" w:themeFillTint="33"/>
            <w:textDirection w:val="btLr"/>
          </w:tcPr>
          <w:p w14:paraId="606CC1B4" w14:textId="77777777" w:rsidR="00F66C27" w:rsidRPr="00102596" w:rsidRDefault="00F66C27" w:rsidP="00914FE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62" w:type="dxa"/>
          </w:tcPr>
          <w:p w14:paraId="474FEE5B" w14:textId="77777777" w:rsidR="00F66C27" w:rsidRPr="004F739F" w:rsidRDefault="00F66C27" w:rsidP="00914FE1">
            <w:pPr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4F739F">
              <w:rPr>
                <w:rFonts w:ascii="Arial" w:hAnsi="Arial" w:cs="Arial"/>
                <w:sz w:val="20"/>
                <w:szCs w:val="20"/>
              </w:rPr>
              <w:t>Effective learning takes place through engaging/ participatory activities</w:t>
            </w:r>
            <w:r w:rsidRPr="004F73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LT2.2</w:t>
            </w:r>
          </w:p>
        </w:tc>
        <w:tc>
          <w:tcPr>
            <w:tcW w:w="3688" w:type="dxa"/>
            <w:gridSpan w:val="3"/>
          </w:tcPr>
          <w:p w14:paraId="6077FC56" w14:textId="77777777" w:rsidR="00F66C27" w:rsidRPr="004F739F" w:rsidRDefault="00F66C27" w:rsidP="00914FE1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4F739F">
              <w:rPr>
                <w:rFonts w:ascii="Arial" w:hAnsi="Arial" w:cs="Arial"/>
                <w:sz w:val="20"/>
                <w:szCs w:val="20"/>
              </w:rPr>
              <w:t>PSHE supports children in developing the knowledge and skills they need to manage their lives now and in the future</w:t>
            </w:r>
            <w:r w:rsidRPr="004F73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LT1.6, LT3.5</w:t>
            </w:r>
          </w:p>
        </w:tc>
        <w:tc>
          <w:tcPr>
            <w:tcW w:w="3672" w:type="dxa"/>
            <w:gridSpan w:val="2"/>
          </w:tcPr>
          <w:p w14:paraId="761862EE" w14:textId="77777777" w:rsidR="00F66C27" w:rsidRPr="00295CF6" w:rsidRDefault="00F66C27" w:rsidP="00914FE1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37" w:type="dxa"/>
            <w:gridSpan w:val="2"/>
          </w:tcPr>
          <w:p w14:paraId="20982FB0" w14:textId="77777777" w:rsidR="00F66C27" w:rsidRPr="00295CF6" w:rsidRDefault="00F66C27" w:rsidP="00914F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612" w:type="dxa"/>
            <w:vMerge/>
            <w:shd w:val="clear" w:color="auto" w:fill="DBE5F1" w:themeFill="accent1" w:themeFillTint="33"/>
          </w:tcPr>
          <w:p w14:paraId="096A23B8" w14:textId="77777777" w:rsidR="00F66C27" w:rsidRPr="00433A8C" w:rsidRDefault="00F66C27" w:rsidP="00914FE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F66C27" w:rsidRPr="00B53DBB" w14:paraId="2E000C5E" w14:textId="77777777" w:rsidTr="004F739F">
        <w:trPr>
          <w:gridAfter w:val="1"/>
          <w:wAfter w:w="9" w:type="dxa"/>
          <w:trHeight w:val="279"/>
        </w:trPr>
        <w:tc>
          <w:tcPr>
            <w:tcW w:w="612" w:type="dxa"/>
            <w:vMerge w:val="restart"/>
            <w:shd w:val="clear" w:color="auto" w:fill="DBE5F1" w:themeFill="accent1" w:themeFillTint="33"/>
            <w:textDirection w:val="btLr"/>
          </w:tcPr>
          <w:p w14:paraId="51B81409" w14:textId="44CEF45D" w:rsidR="00F66C27" w:rsidRPr="00102596" w:rsidRDefault="00F66C27" w:rsidP="00914FE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62" w:type="dxa"/>
          </w:tcPr>
          <w:p w14:paraId="1DE58460" w14:textId="77777777" w:rsidR="00F66C27" w:rsidRPr="004F739F" w:rsidRDefault="00F66C27" w:rsidP="00914FE1">
            <w:pPr>
              <w:rPr>
                <w:rFonts w:ascii="Arial" w:hAnsi="Arial" w:cs="Arial"/>
                <w:sz w:val="20"/>
                <w:szCs w:val="20"/>
              </w:rPr>
            </w:pPr>
            <w:r w:rsidRPr="004F739F">
              <w:rPr>
                <w:rFonts w:ascii="Arial" w:hAnsi="Arial" w:cs="Arial"/>
                <w:sz w:val="20"/>
                <w:szCs w:val="20"/>
              </w:rPr>
              <w:t xml:space="preserve">there are subject specific strategies to create a safe learning environment </w:t>
            </w:r>
            <w:r w:rsidRPr="004F739F">
              <w:rPr>
                <w:rFonts w:ascii="Arial" w:hAnsi="Arial" w:cs="Arial"/>
                <w:b/>
                <w:bCs/>
                <w:sz w:val="20"/>
                <w:szCs w:val="20"/>
              </w:rPr>
              <w:t>LT1.1, LT7.1</w:t>
            </w:r>
          </w:p>
        </w:tc>
        <w:tc>
          <w:tcPr>
            <w:tcW w:w="3688" w:type="dxa"/>
            <w:gridSpan w:val="3"/>
          </w:tcPr>
          <w:p w14:paraId="091407F5" w14:textId="77777777" w:rsidR="00F66C27" w:rsidRPr="004F739F" w:rsidRDefault="00F66C27" w:rsidP="00914FE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739F">
              <w:rPr>
                <w:rFonts w:ascii="Arial" w:hAnsi="Arial" w:cs="Arial"/>
                <w:sz w:val="20"/>
                <w:szCs w:val="20"/>
                <w:lang w:val="en-US"/>
              </w:rPr>
              <w:t>Identify pupils starting points and misconceptions by delivering baseline assessments.</w:t>
            </w:r>
            <w:r w:rsidRPr="004F739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LT6.1</w:t>
            </w:r>
          </w:p>
        </w:tc>
        <w:tc>
          <w:tcPr>
            <w:tcW w:w="3672" w:type="dxa"/>
            <w:gridSpan w:val="2"/>
          </w:tcPr>
          <w:p w14:paraId="6081F481" w14:textId="77777777" w:rsidR="00F66C27" w:rsidRPr="00295CF6" w:rsidRDefault="00F66C27" w:rsidP="00914FE1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37" w:type="dxa"/>
            <w:gridSpan w:val="2"/>
          </w:tcPr>
          <w:p w14:paraId="748DE309" w14:textId="77777777" w:rsidR="00F66C27" w:rsidRPr="00295CF6" w:rsidRDefault="00F66C27" w:rsidP="00914F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612" w:type="dxa"/>
            <w:vMerge w:val="restart"/>
            <w:shd w:val="clear" w:color="auto" w:fill="DBE5F1" w:themeFill="accent1" w:themeFillTint="33"/>
          </w:tcPr>
          <w:p w14:paraId="024BB8E0" w14:textId="77777777" w:rsidR="00F66C27" w:rsidRPr="00433A8C" w:rsidRDefault="00F66C27" w:rsidP="00914FE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F66C27" w:rsidRPr="00B53DBB" w14:paraId="532B59A7" w14:textId="77777777" w:rsidTr="004F739F">
        <w:trPr>
          <w:gridAfter w:val="1"/>
          <w:wAfter w:w="9" w:type="dxa"/>
          <w:trHeight w:val="279"/>
        </w:trPr>
        <w:tc>
          <w:tcPr>
            <w:tcW w:w="612" w:type="dxa"/>
            <w:vMerge/>
            <w:shd w:val="clear" w:color="auto" w:fill="DBE5F1" w:themeFill="accent1" w:themeFillTint="33"/>
            <w:textDirection w:val="btLr"/>
          </w:tcPr>
          <w:p w14:paraId="52E74552" w14:textId="77777777" w:rsidR="00F66C27" w:rsidRPr="00102596" w:rsidRDefault="00F66C27" w:rsidP="00914FE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62" w:type="dxa"/>
          </w:tcPr>
          <w:p w14:paraId="0D5B3D19" w14:textId="77777777" w:rsidR="00F66C27" w:rsidRPr="004F739F" w:rsidRDefault="00F66C27" w:rsidP="00914F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739F">
              <w:rPr>
                <w:rFonts w:ascii="Arial" w:hAnsi="Arial" w:cs="Arial"/>
                <w:sz w:val="20"/>
                <w:szCs w:val="20"/>
              </w:rPr>
              <w:t xml:space="preserve">Although the DfE (2019) recommends sex education at primary level, it is not compulsory, and parents have the right to withdraw. </w:t>
            </w:r>
          </w:p>
        </w:tc>
        <w:tc>
          <w:tcPr>
            <w:tcW w:w="3688" w:type="dxa"/>
            <w:gridSpan w:val="3"/>
          </w:tcPr>
          <w:p w14:paraId="0043A78D" w14:textId="77777777" w:rsidR="00F66C27" w:rsidRPr="004F739F" w:rsidRDefault="00F66C27" w:rsidP="00914FE1">
            <w:pPr>
              <w:rPr>
                <w:rFonts w:ascii="Arial" w:hAnsi="Arial" w:cs="Arial"/>
                <w:color w:val="F79646" w:themeColor="accent6"/>
                <w:sz w:val="20"/>
                <w:szCs w:val="20"/>
                <w:lang w:val="en-US"/>
              </w:rPr>
            </w:pPr>
            <w:r w:rsidRPr="004F739F">
              <w:rPr>
                <w:rFonts w:ascii="Arial" w:hAnsi="Arial" w:cs="Arial"/>
                <w:sz w:val="20"/>
                <w:szCs w:val="20"/>
                <w:lang w:val="en-US"/>
              </w:rPr>
              <w:t>Ensure inclusivity throughout PSHE curriculum and resources</w:t>
            </w:r>
          </w:p>
        </w:tc>
        <w:tc>
          <w:tcPr>
            <w:tcW w:w="3672" w:type="dxa"/>
            <w:gridSpan w:val="2"/>
          </w:tcPr>
          <w:p w14:paraId="3E7F79EE" w14:textId="77777777" w:rsidR="00F66C27" w:rsidRPr="00295CF6" w:rsidRDefault="00F66C27" w:rsidP="00914FE1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37" w:type="dxa"/>
            <w:gridSpan w:val="2"/>
          </w:tcPr>
          <w:p w14:paraId="3B7571A9" w14:textId="77777777" w:rsidR="00F66C27" w:rsidRPr="00295CF6" w:rsidRDefault="00F66C27" w:rsidP="00914F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612" w:type="dxa"/>
            <w:vMerge/>
            <w:shd w:val="clear" w:color="auto" w:fill="DBE5F1" w:themeFill="accent1" w:themeFillTint="33"/>
          </w:tcPr>
          <w:p w14:paraId="23962C39" w14:textId="77777777" w:rsidR="00F66C27" w:rsidRPr="00433A8C" w:rsidRDefault="00F66C27" w:rsidP="00914FE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F66C27" w:rsidRPr="00B53DBB" w14:paraId="47A827F7" w14:textId="77777777" w:rsidTr="004F739F">
        <w:trPr>
          <w:gridAfter w:val="1"/>
          <w:wAfter w:w="9" w:type="dxa"/>
          <w:trHeight w:val="279"/>
        </w:trPr>
        <w:tc>
          <w:tcPr>
            <w:tcW w:w="612" w:type="dxa"/>
            <w:shd w:val="clear" w:color="auto" w:fill="DBE5F1" w:themeFill="accent1" w:themeFillTint="33"/>
            <w:textDirection w:val="btLr"/>
          </w:tcPr>
          <w:p w14:paraId="411B386E" w14:textId="77777777" w:rsidR="00F66C27" w:rsidRPr="00102596" w:rsidRDefault="00F66C27" w:rsidP="00914FE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62" w:type="dxa"/>
          </w:tcPr>
          <w:p w14:paraId="37D144DC" w14:textId="77777777" w:rsidR="00F66C27" w:rsidRDefault="00F66C27" w:rsidP="00914F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739F">
              <w:rPr>
                <w:rFonts w:ascii="Arial" w:hAnsi="Arial" w:cs="Arial"/>
                <w:sz w:val="20"/>
                <w:szCs w:val="20"/>
              </w:rPr>
              <w:t xml:space="preserve">Mental health and wellbeing impact a child’s academic achievement and there are effective classroom strategies to address this. </w:t>
            </w:r>
            <w:r w:rsidRPr="004F739F">
              <w:rPr>
                <w:rFonts w:ascii="Arial" w:hAnsi="Arial" w:cs="Arial"/>
                <w:b/>
                <w:bCs/>
                <w:sz w:val="20"/>
                <w:szCs w:val="20"/>
              </w:rPr>
              <w:t>LT1.1, LT7.4</w:t>
            </w:r>
          </w:p>
          <w:p w14:paraId="4C50A8DB" w14:textId="2A8E8000" w:rsidR="0045785F" w:rsidRPr="004F739F" w:rsidRDefault="0045785F" w:rsidP="0091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8" w:type="dxa"/>
            <w:gridSpan w:val="3"/>
          </w:tcPr>
          <w:p w14:paraId="4D6AABAE" w14:textId="77777777" w:rsidR="00F66C27" w:rsidRPr="004F739F" w:rsidRDefault="00F66C27" w:rsidP="00914FE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739F">
              <w:rPr>
                <w:rFonts w:ascii="Arial" w:hAnsi="Arial" w:cs="Arial"/>
                <w:sz w:val="20"/>
                <w:szCs w:val="20"/>
                <w:lang w:val="en-US"/>
              </w:rPr>
              <w:t xml:space="preserve">Promote respectful </w:t>
            </w:r>
            <w:proofErr w:type="spellStart"/>
            <w:r w:rsidRPr="004F739F">
              <w:rPr>
                <w:rFonts w:ascii="Arial" w:hAnsi="Arial" w:cs="Arial"/>
                <w:sz w:val="20"/>
                <w:szCs w:val="20"/>
                <w:lang w:val="en-US"/>
              </w:rPr>
              <w:t>behaviour</w:t>
            </w:r>
            <w:proofErr w:type="spellEnd"/>
            <w:r w:rsidRPr="004F739F">
              <w:rPr>
                <w:rFonts w:ascii="Arial" w:hAnsi="Arial" w:cs="Arial"/>
                <w:sz w:val="20"/>
                <w:szCs w:val="20"/>
                <w:lang w:val="en-US"/>
              </w:rPr>
              <w:t xml:space="preserve"> through collectively establishing ground rules </w:t>
            </w:r>
            <w:r w:rsidRPr="004F739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LH7.4, LH7.5, LH7.7</w:t>
            </w:r>
          </w:p>
        </w:tc>
        <w:tc>
          <w:tcPr>
            <w:tcW w:w="3672" w:type="dxa"/>
            <w:gridSpan w:val="2"/>
          </w:tcPr>
          <w:p w14:paraId="10490F0D" w14:textId="77777777" w:rsidR="00F66C27" w:rsidRPr="00295CF6" w:rsidRDefault="00F66C27" w:rsidP="00914FE1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37" w:type="dxa"/>
            <w:gridSpan w:val="2"/>
          </w:tcPr>
          <w:p w14:paraId="5DD31B38" w14:textId="77777777" w:rsidR="00F66C27" w:rsidRPr="00295CF6" w:rsidRDefault="00F66C27" w:rsidP="00914F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DBE5F1" w:themeFill="accent1" w:themeFillTint="33"/>
          </w:tcPr>
          <w:p w14:paraId="06C827B6" w14:textId="77777777" w:rsidR="00F66C27" w:rsidRPr="00433A8C" w:rsidRDefault="00F66C27" w:rsidP="00914FE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F66C27" w:rsidRPr="00B53DBB" w14:paraId="602F3883" w14:textId="77777777" w:rsidTr="004F739F">
        <w:trPr>
          <w:gridAfter w:val="1"/>
          <w:wAfter w:w="9" w:type="dxa"/>
          <w:trHeight w:val="279"/>
        </w:trPr>
        <w:tc>
          <w:tcPr>
            <w:tcW w:w="612" w:type="dxa"/>
            <w:vMerge w:val="restart"/>
            <w:shd w:val="clear" w:color="auto" w:fill="DBE5F1" w:themeFill="accent1" w:themeFillTint="33"/>
            <w:textDirection w:val="btLr"/>
          </w:tcPr>
          <w:p w14:paraId="19120713" w14:textId="77777777" w:rsidR="00F66C27" w:rsidRPr="00102596" w:rsidRDefault="00F66C27" w:rsidP="00914FE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596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Assessment</w:t>
            </w:r>
          </w:p>
        </w:tc>
        <w:tc>
          <w:tcPr>
            <w:tcW w:w="7150" w:type="dxa"/>
            <w:gridSpan w:val="4"/>
            <w:shd w:val="clear" w:color="auto" w:fill="B8CCE4" w:themeFill="accent1" w:themeFillTint="66"/>
          </w:tcPr>
          <w:p w14:paraId="63A61D4C" w14:textId="77777777" w:rsidR="00F66C27" w:rsidRPr="00102596" w:rsidRDefault="00F66C27" w:rsidP="00914FE1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 w:rsidRPr="00102596"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  <w:t>Assessment</w:t>
            </w:r>
          </w:p>
        </w:tc>
        <w:tc>
          <w:tcPr>
            <w:tcW w:w="7209" w:type="dxa"/>
            <w:gridSpan w:val="4"/>
            <w:shd w:val="clear" w:color="auto" w:fill="B8CCE4" w:themeFill="accent1" w:themeFillTint="66"/>
          </w:tcPr>
          <w:p w14:paraId="76BECBB1" w14:textId="77777777" w:rsidR="00F66C27" w:rsidRPr="00102596" w:rsidRDefault="00F66C27" w:rsidP="00914FE1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 w:rsidRPr="00102596"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  <w:t>Assessment</w:t>
            </w:r>
          </w:p>
        </w:tc>
        <w:tc>
          <w:tcPr>
            <w:tcW w:w="612" w:type="dxa"/>
            <w:shd w:val="clear" w:color="auto" w:fill="B8CCE4" w:themeFill="accent1" w:themeFillTint="66"/>
          </w:tcPr>
          <w:p w14:paraId="10993266" w14:textId="77777777" w:rsidR="00F66C27" w:rsidRPr="00433A8C" w:rsidRDefault="00F66C27" w:rsidP="00914FE1">
            <w:pPr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</w:p>
        </w:tc>
      </w:tr>
      <w:tr w:rsidR="00F66C27" w:rsidRPr="00B53DBB" w14:paraId="3061A442" w14:textId="77777777" w:rsidTr="004F739F">
        <w:trPr>
          <w:gridAfter w:val="1"/>
          <w:wAfter w:w="9" w:type="dxa"/>
          <w:cantSplit/>
          <w:trHeight w:val="1134"/>
        </w:trPr>
        <w:tc>
          <w:tcPr>
            <w:tcW w:w="612" w:type="dxa"/>
            <w:vMerge/>
            <w:shd w:val="clear" w:color="auto" w:fill="DBE5F1" w:themeFill="accent1" w:themeFillTint="33"/>
            <w:textDirection w:val="btLr"/>
          </w:tcPr>
          <w:p w14:paraId="0E97E20B" w14:textId="77777777" w:rsidR="00F66C27" w:rsidRPr="00102596" w:rsidRDefault="00F66C27" w:rsidP="00914FE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50" w:type="dxa"/>
            <w:gridSpan w:val="4"/>
          </w:tcPr>
          <w:p w14:paraId="73C77B69" w14:textId="77777777" w:rsidR="00F66C27" w:rsidRPr="004F739F" w:rsidRDefault="00F66C27" w:rsidP="00914FE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F739F">
              <w:rPr>
                <w:rFonts w:ascii="Arial" w:hAnsi="Arial" w:cs="Arial"/>
                <w:i/>
                <w:iCs/>
                <w:sz w:val="20"/>
                <w:szCs w:val="20"/>
              </w:rPr>
              <w:t>What is being assessed?</w:t>
            </w:r>
          </w:p>
          <w:p w14:paraId="46D66CEC" w14:textId="77777777" w:rsidR="00F66C27" w:rsidRPr="004F739F" w:rsidRDefault="00F66C27" w:rsidP="00914FE1">
            <w:pPr>
              <w:rPr>
                <w:rFonts w:ascii="Arial" w:hAnsi="Arial" w:cs="Arial"/>
                <w:sz w:val="20"/>
                <w:szCs w:val="20"/>
              </w:rPr>
            </w:pPr>
            <w:r w:rsidRPr="004F739F">
              <w:rPr>
                <w:rFonts w:ascii="Arial" w:hAnsi="Arial" w:cs="Arial"/>
                <w:sz w:val="20"/>
                <w:szCs w:val="20"/>
              </w:rPr>
              <w:t>Trainees’ substantive knowledge.</w:t>
            </w:r>
          </w:p>
          <w:p w14:paraId="219D3A75" w14:textId="77777777" w:rsidR="00F66C27" w:rsidRPr="004F739F" w:rsidRDefault="00F66C27" w:rsidP="00914FE1">
            <w:pPr>
              <w:rPr>
                <w:rFonts w:ascii="Arial" w:hAnsi="Arial" w:cs="Arial"/>
                <w:sz w:val="20"/>
                <w:szCs w:val="20"/>
              </w:rPr>
            </w:pPr>
            <w:r w:rsidRPr="004F739F">
              <w:rPr>
                <w:rFonts w:ascii="Arial" w:hAnsi="Arial" w:cs="Arial"/>
                <w:sz w:val="20"/>
                <w:szCs w:val="20"/>
              </w:rPr>
              <w:t>Trainees’ substantive and pedagogical knowledge</w:t>
            </w:r>
          </w:p>
          <w:p w14:paraId="35646C1C" w14:textId="77777777" w:rsidR="00F66C27" w:rsidRPr="004F739F" w:rsidRDefault="00F66C27" w:rsidP="00914FE1">
            <w:pPr>
              <w:rPr>
                <w:rFonts w:ascii="Arial" w:hAnsi="Arial" w:cs="Arial"/>
                <w:sz w:val="20"/>
                <w:szCs w:val="20"/>
              </w:rPr>
            </w:pPr>
            <w:r w:rsidRPr="004F739F">
              <w:rPr>
                <w:rFonts w:ascii="Arial" w:hAnsi="Arial" w:cs="Arial"/>
                <w:sz w:val="20"/>
                <w:szCs w:val="20"/>
              </w:rPr>
              <w:t>Trainees’ ability to plan a lesson, breaking national curriculum end points into component knowledge.</w:t>
            </w:r>
          </w:p>
          <w:p w14:paraId="17EC972F" w14:textId="77777777" w:rsidR="00F66C27" w:rsidRPr="004F739F" w:rsidRDefault="00F66C27" w:rsidP="00914FE1">
            <w:pPr>
              <w:rPr>
                <w:rFonts w:ascii="Arial" w:hAnsi="Arial" w:cs="Arial"/>
                <w:sz w:val="20"/>
                <w:szCs w:val="20"/>
              </w:rPr>
            </w:pPr>
            <w:r w:rsidRPr="004F739F">
              <w:rPr>
                <w:rFonts w:ascii="Arial" w:hAnsi="Arial" w:cs="Arial"/>
                <w:sz w:val="20"/>
                <w:szCs w:val="20"/>
              </w:rPr>
              <w:t>Trainees’ ability to plan and teach a lesson, breaking RSHE end points into component knowledge</w:t>
            </w:r>
          </w:p>
          <w:p w14:paraId="7E073926" w14:textId="77777777" w:rsidR="00F66C27" w:rsidRPr="004F739F" w:rsidRDefault="00F66C27" w:rsidP="00914FE1">
            <w:pPr>
              <w:rPr>
                <w:rFonts w:ascii="Arial" w:hAnsi="Arial" w:cs="Arial"/>
                <w:sz w:val="20"/>
                <w:szCs w:val="20"/>
              </w:rPr>
            </w:pPr>
            <w:r w:rsidRPr="004F739F">
              <w:rPr>
                <w:rFonts w:ascii="Arial" w:hAnsi="Arial" w:cs="Arial"/>
                <w:sz w:val="20"/>
                <w:szCs w:val="20"/>
              </w:rPr>
              <w:t>Trainees’ developing subject and pedagogical knowledge and their engagement with literature</w:t>
            </w:r>
          </w:p>
          <w:p w14:paraId="76285D1D" w14:textId="77777777" w:rsidR="00F66C27" w:rsidRPr="004F739F" w:rsidRDefault="00F66C27" w:rsidP="00914FE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891A8C" w14:textId="77777777" w:rsidR="00F66C27" w:rsidRPr="004F739F" w:rsidRDefault="00F66C27" w:rsidP="0091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9" w:type="dxa"/>
            <w:gridSpan w:val="4"/>
          </w:tcPr>
          <w:p w14:paraId="77CC2DD2" w14:textId="77777777" w:rsidR="00F66C27" w:rsidRPr="004F739F" w:rsidRDefault="00F66C27" w:rsidP="00914FE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F739F">
              <w:rPr>
                <w:rFonts w:ascii="Arial" w:hAnsi="Arial" w:cs="Arial"/>
                <w:i/>
                <w:iCs/>
                <w:sz w:val="20"/>
                <w:szCs w:val="20"/>
              </w:rPr>
              <w:t>How is it being assessed?</w:t>
            </w:r>
          </w:p>
          <w:p w14:paraId="6F06BDA2" w14:textId="77777777" w:rsidR="00F66C27" w:rsidRPr="004F739F" w:rsidRDefault="00F66C27" w:rsidP="00914FE1">
            <w:pPr>
              <w:rPr>
                <w:rFonts w:ascii="Arial" w:hAnsi="Arial" w:cs="Arial"/>
                <w:sz w:val="20"/>
                <w:szCs w:val="20"/>
              </w:rPr>
            </w:pPr>
            <w:r w:rsidRPr="004F739F">
              <w:rPr>
                <w:rFonts w:ascii="Arial" w:hAnsi="Arial" w:cs="Arial"/>
                <w:sz w:val="20"/>
                <w:szCs w:val="20"/>
              </w:rPr>
              <w:t>Online multiple-choice assessment.</w:t>
            </w:r>
          </w:p>
          <w:p w14:paraId="26FD3199" w14:textId="77777777" w:rsidR="00F66C27" w:rsidRPr="004F739F" w:rsidRDefault="00F66C27" w:rsidP="00914FE1">
            <w:pPr>
              <w:rPr>
                <w:rFonts w:ascii="Arial" w:hAnsi="Arial" w:cs="Arial"/>
                <w:sz w:val="20"/>
                <w:szCs w:val="20"/>
              </w:rPr>
            </w:pPr>
            <w:r w:rsidRPr="004F739F">
              <w:rPr>
                <w:rFonts w:ascii="Arial" w:hAnsi="Arial" w:cs="Arial"/>
                <w:sz w:val="20"/>
                <w:szCs w:val="20"/>
              </w:rPr>
              <w:t>In-session retrieval activities/questioning.</w:t>
            </w:r>
          </w:p>
          <w:p w14:paraId="5A5201F2" w14:textId="77777777" w:rsidR="00F66C27" w:rsidRPr="004F739F" w:rsidRDefault="00F66C27" w:rsidP="00914FE1">
            <w:pPr>
              <w:rPr>
                <w:rFonts w:ascii="Arial" w:hAnsi="Arial" w:cs="Arial"/>
                <w:sz w:val="20"/>
                <w:szCs w:val="20"/>
              </w:rPr>
            </w:pPr>
            <w:r w:rsidRPr="004F739F">
              <w:rPr>
                <w:rFonts w:ascii="Arial" w:hAnsi="Arial" w:cs="Arial"/>
                <w:sz w:val="20"/>
                <w:szCs w:val="20"/>
              </w:rPr>
              <w:t>In-session directed task: small group planning activity and a discussion board contribution. Assessed via subject-specific feedback from mentors on professional practice.</w:t>
            </w:r>
          </w:p>
          <w:p w14:paraId="7E68A200" w14:textId="77777777" w:rsidR="00F66C27" w:rsidRPr="004F739F" w:rsidRDefault="00F66C27" w:rsidP="00914FE1">
            <w:pPr>
              <w:rPr>
                <w:rFonts w:ascii="Arial" w:hAnsi="Arial" w:cs="Arial"/>
                <w:sz w:val="20"/>
                <w:szCs w:val="20"/>
              </w:rPr>
            </w:pPr>
            <w:r w:rsidRPr="004F739F">
              <w:rPr>
                <w:rFonts w:ascii="Arial" w:hAnsi="Arial" w:cs="Arial"/>
                <w:sz w:val="20"/>
                <w:szCs w:val="20"/>
              </w:rPr>
              <w:t>Assessed via subject-specific feedback from mentors on professional practice.</w:t>
            </w:r>
          </w:p>
          <w:p w14:paraId="7619DDC2" w14:textId="77777777" w:rsidR="00F66C27" w:rsidRPr="004F739F" w:rsidRDefault="00F66C27" w:rsidP="00914FE1">
            <w:pPr>
              <w:rPr>
                <w:rFonts w:ascii="Arial" w:hAnsi="Arial" w:cs="Arial"/>
                <w:sz w:val="20"/>
                <w:szCs w:val="20"/>
              </w:rPr>
            </w:pPr>
            <w:r w:rsidRPr="004F739F">
              <w:rPr>
                <w:rFonts w:ascii="Arial" w:hAnsi="Arial" w:cs="Arial"/>
                <w:sz w:val="20"/>
                <w:szCs w:val="20"/>
              </w:rPr>
              <w:t>PED1024 reflective journal and trainees’ reflections in portfolio from professional practice.</w:t>
            </w:r>
          </w:p>
          <w:p w14:paraId="595D4473" w14:textId="77777777" w:rsidR="00F66C27" w:rsidRPr="004F739F" w:rsidRDefault="00F66C27" w:rsidP="00914FE1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DBE5F1" w:themeFill="accent1" w:themeFillTint="33"/>
            <w:textDirection w:val="tbRl"/>
          </w:tcPr>
          <w:p w14:paraId="6A17DC0C" w14:textId="77777777" w:rsidR="00F66C27" w:rsidRPr="00433A8C" w:rsidRDefault="00F66C27" w:rsidP="00914FE1">
            <w:pPr>
              <w:ind w:left="113" w:right="113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433A8C">
              <w:rPr>
                <w:rFonts w:ascii="Arial" w:eastAsiaTheme="minorEastAsia" w:hAnsi="Arial" w:cs="Arial"/>
                <w:sz w:val="18"/>
                <w:szCs w:val="18"/>
              </w:rPr>
              <w:t>Impac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t</w:t>
            </w:r>
          </w:p>
        </w:tc>
      </w:tr>
      <w:tr w:rsidR="00F66C27" w:rsidRPr="00B53DBB" w14:paraId="48FCBEAC" w14:textId="77777777" w:rsidTr="004F739F">
        <w:trPr>
          <w:gridAfter w:val="1"/>
          <w:wAfter w:w="9" w:type="dxa"/>
        </w:trPr>
        <w:tc>
          <w:tcPr>
            <w:tcW w:w="612" w:type="dxa"/>
            <w:vMerge w:val="restart"/>
            <w:shd w:val="clear" w:color="auto" w:fill="DBE5F1" w:themeFill="accent1" w:themeFillTint="33"/>
            <w:textDirection w:val="btLr"/>
          </w:tcPr>
          <w:p w14:paraId="2CE74108" w14:textId="77777777" w:rsidR="00F66C27" w:rsidRPr="00102596" w:rsidRDefault="00F66C27" w:rsidP="00914FE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Composite Knowledge</w:t>
            </w:r>
          </w:p>
        </w:tc>
        <w:tc>
          <w:tcPr>
            <w:tcW w:w="14359" w:type="dxa"/>
            <w:gridSpan w:val="8"/>
            <w:shd w:val="clear" w:color="auto" w:fill="95B3D7" w:themeFill="accent1" w:themeFillTint="99"/>
          </w:tcPr>
          <w:p w14:paraId="3EB6AD91" w14:textId="1D174994" w:rsidR="00F66C27" w:rsidRPr="009A134C" w:rsidRDefault="002F4A76" w:rsidP="002F4A76">
            <w:pPr>
              <w:tabs>
                <w:tab w:val="left" w:pos="328"/>
                <w:tab w:val="center" w:pos="7071"/>
              </w:tabs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ab/>
            </w:r>
            <w:r w:rsidR="00F66C27" w:rsidRPr="009A134C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Composite knowledge/understanding/skills</w:t>
            </w:r>
          </w:p>
          <w:p w14:paraId="012D6F78" w14:textId="77777777" w:rsidR="00F66C27" w:rsidRPr="00712BBB" w:rsidRDefault="00F66C27" w:rsidP="00914FE1">
            <w:pPr>
              <w:pStyle w:val="ListParagraph"/>
              <w:ind w:left="36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12" w:type="dxa"/>
            <w:vMerge w:val="restart"/>
            <w:shd w:val="clear" w:color="auto" w:fill="DBE5F1" w:themeFill="accent1" w:themeFillTint="33"/>
          </w:tcPr>
          <w:p w14:paraId="4719EF43" w14:textId="77777777" w:rsidR="00F66C27" w:rsidRPr="009A134C" w:rsidRDefault="00F66C27" w:rsidP="00914FE1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66C27" w:rsidRPr="00B53DBB" w14:paraId="4D7557DE" w14:textId="77777777" w:rsidTr="004F739F">
        <w:trPr>
          <w:gridAfter w:val="1"/>
          <w:wAfter w:w="9" w:type="dxa"/>
          <w:trHeight w:val="581"/>
        </w:trPr>
        <w:tc>
          <w:tcPr>
            <w:tcW w:w="612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</w:tcPr>
          <w:p w14:paraId="232BAFEB" w14:textId="77777777" w:rsidR="00F66C27" w:rsidRPr="00102596" w:rsidRDefault="00F66C27" w:rsidP="00914FE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5E087F45" w14:textId="77777777" w:rsidR="00F66C27" w:rsidRPr="002F73AD" w:rsidRDefault="00F66C27" w:rsidP="00914FE1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A134C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By the end of this phase trainees will </w:t>
            </w:r>
            <w:r w:rsidRPr="009A134C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know:</w:t>
            </w:r>
          </w:p>
        </w:tc>
        <w:tc>
          <w:tcPr>
            <w:tcW w:w="4991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07075D0D" w14:textId="77777777" w:rsidR="00F66C27" w:rsidRPr="002F73AD" w:rsidRDefault="00F66C27" w:rsidP="00914FE1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A134C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By the end of this phase trainees will </w:t>
            </w:r>
            <w:r w:rsidRPr="009A134C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understand:</w:t>
            </w:r>
          </w:p>
        </w:tc>
        <w:tc>
          <w:tcPr>
            <w:tcW w:w="4778" w:type="dxa"/>
            <w:gridSpan w:val="3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40896D2D" w14:textId="77777777" w:rsidR="00F66C27" w:rsidRPr="009A134C" w:rsidRDefault="00F66C27" w:rsidP="00914FE1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A134C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By the end of this phase trainees will </w:t>
            </w:r>
            <w:r w:rsidRPr="009A134C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be able to:</w:t>
            </w:r>
          </w:p>
        </w:tc>
        <w:tc>
          <w:tcPr>
            <w:tcW w:w="612" w:type="dxa"/>
            <w:vMerge/>
            <w:shd w:val="clear" w:color="auto" w:fill="DBE5F1" w:themeFill="accent1" w:themeFillTint="33"/>
          </w:tcPr>
          <w:p w14:paraId="732E2CB0" w14:textId="77777777" w:rsidR="00F66C27" w:rsidRPr="009A134C" w:rsidRDefault="00F66C27" w:rsidP="00914FE1">
            <w:pPr>
              <w:jc w:val="center"/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F66C27" w:rsidRPr="00B53DBB" w14:paraId="0D7DC09D" w14:textId="77777777" w:rsidTr="004F739F">
        <w:trPr>
          <w:gridAfter w:val="1"/>
          <w:wAfter w:w="9" w:type="dxa"/>
          <w:trHeight w:val="1159"/>
        </w:trPr>
        <w:tc>
          <w:tcPr>
            <w:tcW w:w="612" w:type="dxa"/>
            <w:vMerge/>
            <w:shd w:val="clear" w:color="auto" w:fill="DBE5F1" w:themeFill="accent1" w:themeFillTint="33"/>
            <w:textDirection w:val="btLr"/>
          </w:tcPr>
          <w:p w14:paraId="29B8CA46" w14:textId="77777777" w:rsidR="00F66C27" w:rsidRPr="00102596" w:rsidRDefault="00F66C27" w:rsidP="00914FE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90" w:type="dxa"/>
            <w:gridSpan w:val="3"/>
          </w:tcPr>
          <w:p w14:paraId="3134A51D" w14:textId="77777777" w:rsidR="00F66C27" w:rsidRPr="004F739F" w:rsidRDefault="00F66C27" w:rsidP="00914FE1">
            <w:pPr>
              <w:rPr>
                <w:rFonts w:ascii="Arial" w:hAnsi="Arial" w:cs="Arial"/>
                <w:sz w:val="20"/>
                <w:szCs w:val="20"/>
              </w:rPr>
            </w:pPr>
            <w:r w:rsidRPr="004F739F">
              <w:rPr>
                <w:rFonts w:ascii="Arial" w:hAnsi="Arial" w:cs="Arial"/>
                <w:sz w:val="20"/>
                <w:szCs w:val="20"/>
              </w:rPr>
              <w:t>The fundamental principles of high quality PSHE education.</w:t>
            </w:r>
          </w:p>
          <w:p w14:paraId="187FB077" w14:textId="55ED004C" w:rsidR="00F66C27" w:rsidRDefault="00F66C27" w:rsidP="00914F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73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739F">
              <w:rPr>
                <w:rFonts w:ascii="Arial" w:hAnsi="Arial" w:cs="Arial"/>
                <w:b/>
                <w:bCs/>
                <w:sz w:val="20"/>
                <w:szCs w:val="20"/>
              </w:rPr>
              <w:t>LH3.20</w:t>
            </w:r>
          </w:p>
          <w:p w14:paraId="00313C1B" w14:textId="77777777" w:rsidR="0045785F" w:rsidRPr="004F739F" w:rsidRDefault="0045785F" w:rsidP="00914F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5A17B67" w14:textId="77777777" w:rsidR="00F66C27" w:rsidRPr="004F739F" w:rsidRDefault="00F66C27" w:rsidP="00914FE1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1" w:type="dxa"/>
            <w:gridSpan w:val="2"/>
          </w:tcPr>
          <w:p w14:paraId="4F0804C5" w14:textId="77777777" w:rsidR="00F66C27" w:rsidRPr="004F739F" w:rsidRDefault="00F66C27" w:rsidP="00914FE1">
            <w:pPr>
              <w:rPr>
                <w:rFonts w:ascii="Arial" w:hAnsi="Arial" w:cs="Arial"/>
                <w:sz w:val="20"/>
                <w:szCs w:val="20"/>
              </w:rPr>
            </w:pPr>
            <w:r w:rsidRPr="004F739F">
              <w:rPr>
                <w:rFonts w:ascii="Arial" w:hAnsi="Arial" w:cs="Arial"/>
                <w:sz w:val="20"/>
                <w:szCs w:val="20"/>
              </w:rPr>
              <w:t xml:space="preserve">That thoughtful sequencing of component and composite knowledge is key for children’s progress in learning </w:t>
            </w:r>
            <w:r w:rsidRPr="004F739F">
              <w:rPr>
                <w:rFonts w:ascii="Arial" w:hAnsi="Arial" w:cs="Arial"/>
                <w:b/>
                <w:bCs/>
                <w:sz w:val="20"/>
                <w:szCs w:val="20"/>
              </w:rPr>
              <w:t>LH2.3</w:t>
            </w:r>
          </w:p>
          <w:p w14:paraId="01ABD834" w14:textId="77777777" w:rsidR="00F66C27" w:rsidRPr="004F739F" w:rsidRDefault="00F66C27" w:rsidP="00914FE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78" w:type="dxa"/>
            <w:gridSpan w:val="3"/>
          </w:tcPr>
          <w:p w14:paraId="3892062D" w14:textId="77777777" w:rsidR="00F66C27" w:rsidRPr="004F739F" w:rsidRDefault="00F66C27" w:rsidP="00914FE1">
            <w:pPr>
              <w:rPr>
                <w:rFonts w:ascii="Arial" w:hAnsi="Arial" w:cs="Arial"/>
                <w:sz w:val="20"/>
                <w:szCs w:val="20"/>
              </w:rPr>
            </w:pPr>
            <w:r w:rsidRPr="004F739F">
              <w:rPr>
                <w:rFonts w:ascii="Arial" w:hAnsi="Arial" w:cs="Arial"/>
                <w:sz w:val="20"/>
                <w:szCs w:val="20"/>
              </w:rPr>
              <w:t xml:space="preserve">Use best practice principles to create an emotionally safe environment </w:t>
            </w:r>
            <w:r w:rsidRPr="004F739F">
              <w:rPr>
                <w:rFonts w:ascii="Arial" w:hAnsi="Arial" w:cs="Arial"/>
                <w:b/>
                <w:bCs/>
                <w:sz w:val="20"/>
                <w:szCs w:val="20"/>
              </w:rPr>
              <w:t>LH7.2</w:t>
            </w:r>
          </w:p>
        </w:tc>
        <w:tc>
          <w:tcPr>
            <w:tcW w:w="612" w:type="dxa"/>
            <w:vMerge/>
            <w:shd w:val="clear" w:color="auto" w:fill="DBE5F1" w:themeFill="accent1" w:themeFillTint="33"/>
          </w:tcPr>
          <w:p w14:paraId="5503CA89" w14:textId="77777777" w:rsidR="00F66C27" w:rsidRPr="2A4A3E22" w:rsidRDefault="00F66C27" w:rsidP="00F66C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66C27" w:rsidRPr="00B53DBB" w14:paraId="16131E4D" w14:textId="77777777" w:rsidTr="004F739F">
        <w:trPr>
          <w:gridAfter w:val="1"/>
          <w:wAfter w:w="9" w:type="dxa"/>
          <w:cantSplit/>
          <w:trHeight w:val="490"/>
        </w:trPr>
        <w:tc>
          <w:tcPr>
            <w:tcW w:w="612" w:type="dxa"/>
            <w:vMerge w:val="restart"/>
            <w:shd w:val="clear" w:color="auto" w:fill="DBE5F1" w:themeFill="accent1" w:themeFillTint="33"/>
            <w:textDirection w:val="btLr"/>
          </w:tcPr>
          <w:p w14:paraId="2C530E85" w14:textId="2DB54123" w:rsidR="00F66C27" w:rsidRPr="00102596" w:rsidRDefault="00F66C27" w:rsidP="00914FE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596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search</w:t>
            </w:r>
          </w:p>
        </w:tc>
        <w:tc>
          <w:tcPr>
            <w:tcW w:w="14971" w:type="dxa"/>
            <w:gridSpan w:val="9"/>
            <w:tcBorders>
              <w:bottom w:val="single" w:sz="4" w:space="0" w:color="auto"/>
            </w:tcBorders>
            <w:shd w:val="clear" w:color="auto" w:fill="95B3D7" w:themeFill="accent1" w:themeFillTint="99"/>
          </w:tcPr>
          <w:p w14:paraId="0960C2BC" w14:textId="77777777" w:rsidR="00F66C27" w:rsidRDefault="00F66C27" w:rsidP="00914FE1">
            <w:pPr>
              <w:pStyle w:val="Heading2"/>
              <w:jc w:val="center"/>
              <w:outlineLvl w:val="1"/>
              <w:rPr>
                <w:rStyle w:val="eop"/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F73AD">
              <w:rPr>
                <w:rStyle w:val="eop"/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KEY RESEARCH</w:t>
            </w:r>
          </w:p>
          <w:p w14:paraId="6C98EA70" w14:textId="77777777" w:rsidR="0045785F" w:rsidRDefault="00F66C27" w:rsidP="0045785F">
            <w:pPr>
              <w:pStyle w:val="Heading2"/>
              <w:jc w:val="center"/>
              <w:outlineLvl w:val="1"/>
              <w:rPr>
                <w:rStyle w:val="eop"/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2F73AD">
              <w:rPr>
                <w:rStyle w:val="eop"/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That </w:t>
            </w:r>
            <w:r>
              <w:rPr>
                <w:rStyle w:val="eop"/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t</w:t>
            </w:r>
            <w:r w:rsidRPr="002F73AD">
              <w:rPr>
                <w:rStyle w:val="eop"/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rainees will know that informs teaching and learning in </w:t>
            </w:r>
            <w:r>
              <w:rPr>
                <w:rStyle w:val="eop"/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PSHE</w:t>
            </w:r>
          </w:p>
          <w:p w14:paraId="601B6589" w14:textId="18616CD5" w:rsidR="0045785F" w:rsidRPr="0045785F" w:rsidRDefault="0045785F" w:rsidP="0045785F"/>
        </w:tc>
      </w:tr>
      <w:tr w:rsidR="00F66C27" w:rsidRPr="00B53DBB" w14:paraId="18773650" w14:textId="77777777" w:rsidTr="004F739F">
        <w:trPr>
          <w:gridAfter w:val="1"/>
          <w:wAfter w:w="9" w:type="dxa"/>
          <w:cantSplit/>
          <w:trHeight w:val="1428"/>
        </w:trPr>
        <w:tc>
          <w:tcPr>
            <w:tcW w:w="612" w:type="dxa"/>
            <w:vMerge/>
            <w:shd w:val="clear" w:color="auto" w:fill="DBE5F1" w:themeFill="accent1" w:themeFillTint="33"/>
            <w:textDirection w:val="btLr"/>
          </w:tcPr>
          <w:p w14:paraId="767E282A" w14:textId="77777777" w:rsidR="00F66C27" w:rsidRDefault="00F66C27" w:rsidP="00914FE1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71" w:type="dxa"/>
            <w:gridSpan w:val="9"/>
          </w:tcPr>
          <w:p w14:paraId="542B585A" w14:textId="77777777" w:rsidR="00F66C27" w:rsidRPr="004F739F" w:rsidRDefault="00F66C27" w:rsidP="00914FE1">
            <w:pPr>
              <w:rPr>
                <w:rFonts w:ascii="Arial" w:hAnsi="Arial" w:cs="Arial"/>
                <w:sz w:val="20"/>
                <w:szCs w:val="20"/>
              </w:rPr>
            </w:pPr>
            <w:r w:rsidRPr="004F739F">
              <w:rPr>
                <w:rFonts w:ascii="Arial" w:hAnsi="Arial" w:cs="Arial"/>
                <w:sz w:val="20"/>
                <w:szCs w:val="20"/>
              </w:rPr>
              <w:t xml:space="preserve">BANDURA, A. 1986 </w:t>
            </w:r>
            <w:r w:rsidRPr="004F739F">
              <w:rPr>
                <w:rFonts w:ascii="Arial" w:hAnsi="Arial" w:cs="Arial"/>
                <w:i/>
                <w:iCs/>
                <w:sz w:val="20"/>
                <w:szCs w:val="20"/>
              </w:rPr>
              <w:t>Social foundations of thought and action: a social cognitive theory</w:t>
            </w:r>
            <w:r w:rsidRPr="004F739F">
              <w:rPr>
                <w:rFonts w:ascii="Arial" w:hAnsi="Arial" w:cs="Arial"/>
                <w:sz w:val="20"/>
                <w:szCs w:val="20"/>
              </w:rPr>
              <w:t>. Englewood Cliffs, NJ: Prentice-Hall.</w:t>
            </w:r>
          </w:p>
          <w:p w14:paraId="1DE9617E" w14:textId="77777777" w:rsidR="00F66C27" w:rsidRPr="004F739F" w:rsidRDefault="00F66C27" w:rsidP="00914FE1">
            <w:pPr>
              <w:rPr>
                <w:rFonts w:ascii="Arial" w:hAnsi="Arial" w:cs="Arial"/>
                <w:sz w:val="20"/>
                <w:szCs w:val="20"/>
              </w:rPr>
            </w:pPr>
            <w:r w:rsidRPr="004F739F">
              <w:rPr>
                <w:rFonts w:ascii="Arial" w:hAnsi="Arial" w:cs="Arial"/>
                <w:sz w:val="20"/>
                <w:szCs w:val="20"/>
              </w:rPr>
              <w:t xml:space="preserve">DAVIES, E.L. and MATLEY, F. 2020 Teachers and pupils under pressure: UK teachers’ views on the content and format of personal, social, health and economic education </w:t>
            </w:r>
            <w:r w:rsidRPr="004F739F">
              <w:rPr>
                <w:rFonts w:ascii="Arial" w:hAnsi="Arial" w:cs="Arial"/>
                <w:i/>
                <w:iCs/>
                <w:sz w:val="20"/>
                <w:szCs w:val="20"/>
              </w:rPr>
              <w:t>Pastoral Care in Education</w:t>
            </w:r>
            <w:r w:rsidRPr="004F739F">
              <w:rPr>
                <w:rFonts w:ascii="Arial" w:hAnsi="Arial" w:cs="Arial"/>
                <w:sz w:val="20"/>
                <w:szCs w:val="20"/>
              </w:rPr>
              <w:t xml:space="preserve"> 38 (1) 4–22 </w:t>
            </w:r>
            <w:hyperlink r:id="rId7" w:history="1">
              <w:r w:rsidRPr="004F739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https://www.tandfonline.com/doi/full/10.1080/02643944.2020.1713868</w:t>
              </w:r>
            </w:hyperlink>
          </w:p>
          <w:p w14:paraId="1D4DEEB9" w14:textId="77777777" w:rsidR="00F66C27" w:rsidRPr="004F739F" w:rsidRDefault="00F66C27" w:rsidP="00914FE1">
            <w:pPr>
              <w:tabs>
                <w:tab w:val="center" w:pos="4513"/>
              </w:tabs>
              <w:rPr>
                <w:rFonts w:ascii="Arial" w:hAnsi="Arial" w:cs="Arial"/>
                <w:sz w:val="20"/>
                <w:szCs w:val="20"/>
              </w:rPr>
            </w:pPr>
            <w:r w:rsidRPr="004F739F">
              <w:rPr>
                <w:rFonts w:ascii="Arial" w:hAnsi="Arial" w:cs="Arial"/>
                <w:sz w:val="20"/>
                <w:szCs w:val="20"/>
              </w:rPr>
              <w:t xml:space="preserve">JONES, J. 2020 How Two English Primary Schools Promote Wellbeing. </w:t>
            </w:r>
            <w:proofErr w:type="spellStart"/>
            <w:r w:rsidRPr="004F739F">
              <w:rPr>
                <w:rFonts w:ascii="Arial" w:hAnsi="Arial" w:cs="Arial"/>
                <w:i/>
                <w:iCs/>
                <w:sz w:val="20"/>
                <w:szCs w:val="20"/>
              </w:rPr>
              <w:t>Pedagogika</w:t>
            </w:r>
            <w:proofErr w:type="spellEnd"/>
            <w:r w:rsidRPr="004F739F">
              <w:rPr>
                <w:rFonts w:ascii="Arial" w:hAnsi="Arial" w:cs="Arial"/>
                <w:sz w:val="20"/>
                <w:szCs w:val="20"/>
              </w:rPr>
              <w:t>, 70(4), 463–482</w:t>
            </w:r>
          </w:p>
          <w:p w14:paraId="51CC01C7" w14:textId="77777777" w:rsidR="00F66C27" w:rsidRPr="004F739F" w:rsidRDefault="00F66C27" w:rsidP="00914FE1">
            <w:pPr>
              <w:rPr>
                <w:rFonts w:ascii="Arial" w:hAnsi="Arial" w:cs="Arial"/>
                <w:sz w:val="20"/>
                <w:szCs w:val="20"/>
              </w:rPr>
            </w:pPr>
            <w:r w:rsidRPr="004F739F">
              <w:rPr>
                <w:rFonts w:ascii="Arial" w:hAnsi="Arial" w:cs="Arial"/>
                <w:sz w:val="20"/>
                <w:szCs w:val="20"/>
              </w:rPr>
              <w:t xml:space="preserve">EDUCATION ENDOWMENT FOUNDATION 2021 Improving Social and Emotional Learning </w:t>
            </w:r>
            <w:proofErr w:type="gramStart"/>
            <w:r w:rsidRPr="004F739F">
              <w:rPr>
                <w:rFonts w:ascii="Arial" w:hAnsi="Arial" w:cs="Arial"/>
                <w:sz w:val="20"/>
                <w:szCs w:val="20"/>
              </w:rPr>
              <w:t>In</w:t>
            </w:r>
            <w:proofErr w:type="gramEnd"/>
            <w:r w:rsidRPr="004F739F">
              <w:rPr>
                <w:rFonts w:ascii="Arial" w:hAnsi="Arial" w:cs="Arial"/>
                <w:sz w:val="20"/>
                <w:szCs w:val="20"/>
              </w:rPr>
              <w:t xml:space="preserve"> Primary Schools. Accessible from:  </w:t>
            </w:r>
            <w:hyperlink r:id="rId8" w:history="1">
              <w:r w:rsidRPr="004F739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https://d2tic4wvo1iusb.cloudfront.net/eef-guidance-reports/primary-sel/EEF_Social_and_Emotional_Learning.pdf?v=1671703516</w:t>
              </w:r>
            </w:hyperlink>
          </w:p>
          <w:p w14:paraId="1A6D0F94" w14:textId="77777777" w:rsidR="00F66C27" w:rsidRPr="004F739F" w:rsidRDefault="00F66C27" w:rsidP="00914FE1">
            <w:pPr>
              <w:rPr>
                <w:rFonts w:ascii="Arial" w:hAnsi="Arial" w:cs="Arial"/>
                <w:sz w:val="20"/>
                <w:szCs w:val="20"/>
              </w:rPr>
            </w:pPr>
            <w:r w:rsidRPr="004F739F">
              <w:rPr>
                <w:rFonts w:ascii="Arial" w:hAnsi="Arial" w:cs="Arial"/>
                <w:sz w:val="20"/>
                <w:szCs w:val="20"/>
              </w:rPr>
              <w:t xml:space="preserve">LOINAZ, E. </w:t>
            </w:r>
            <w:proofErr w:type="gramStart"/>
            <w:r w:rsidRPr="004F739F">
              <w:rPr>
                <w:rFonts w:ascii="Arial" w:hAnsi="Arial" w:cs="Arial"/>
                <w:sz w:val="20"/>
                <w:szCs w:val="20"/>
              </w:rPr>
              <w:t>S. ,</w:t>
            </w:r>
            <w:proofErr w:type="gramEnd"/>
            <w:r w:rsidRPr="004F739F">
              <w:rPr>
                <w:rFonts w:ascii="Arial" w:hAnsi="Arial" w:cs="Arial"/>
                <w:sz w:val="20"/>
                <w:szCs w:val="20"/>
              </w:rPr>
              <w:t xml:space="preserve"> 2019 Teachers’ perceptions and practice of social and emotional education in Greece, Spain, Sweden and the United Kingdom </w:t>
            </w:r>
            <w:r w:rsidRPr="004F739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International Journal of Emotional Education. 11.(1) </w:t>
            </w:r>
            <w:r w:rsidRPr="004F739F">
              <w:rPr>
                <w:rFonts w:ascii="Arial" w:hAnsi="Arial" w:cs="Arial"/>
                <w:sz w:val="20"/>
                <w:szCs w:val="20"/>
              </w:rPr>
              <w:t>pp31-48</w:t>
            </w:r>
          </w:p>
          <w:p w14:paraId="64FB63E6" w14:textId="77777777" w:rsidR="00F66C27" w:rsidRPr="004F739F" w:rsidRDefault="00F66C27" w:rsidP="00914FE1">
            <w:pPr>
              <w:rPr>
                <w:rFonts w:ascii="Arial" w:hAnsi="Arial" w:cs="Arial"/>
                <w:sz w:val="20"/>
                <w:szCs w:val="20"/>
              </w:rPr>
            </w:pPr>
            <w:r w:rsidRPr="004F739F">
              <w:rPr>
                <w:rFonts w:ascii="Arial" w:hAnsi="Arial" w:cs="Arial"/>
                <w:sz w:val="20"/>
                <w:szCs w:val="20"/>
              </w:rPr>
              <w:t xml:space="preserve">PICKETT, K.E. et al 2022 Vulnerabilities in child well-being among primary school children: a cross sectional study in Bradford, UK BMJ Open 12(6) </w:t>
            </w:r>
            <w:hyperlink r:id="rId9" w:history="1">
              <w:r w:rsidRPr="004F739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https://www-proquest-com.edgehill.idm.oclc.org/docview/2724922691?OpenUrlRefId=info:xri/sid:wcdiscovery&amp;accountid=10671</w:t>
              </w:r>
            </w:hyperlink>
          </w:p>
          <w:p w14:paraId="1B34652B" w14:textId="77777777" w:rsidR="00F66C27" w:rsidRPr="004F739F" w:rsidRDefault="00F66C27" w:rsidP="00914FE1">
            <w:pPr>
              <w:rPr>
                <w:rFonts w:ascii="Arial" w:hAnsi="Arial" w:cs="Arial"/>
                <w:sz w:val="20"/>
                <w:szCs w:val="20"/>
              </w:rPr>
            </w:pPr>
            <w:r w:rsidRPr="004F739F">
              <w:rPr>
                <w:rFonts w:ascii="Arial" w:hAnsi="Arial" w:cs="Arial"/>
                <w:sz w:val="20"/>
                <w:szCs w:val="20"/>
              </w:rPr>
              <w:t xml:space="preserve">PISA (2015) PISA in Focus: Do teacher-student relations affect students’ well-being at school? Accessible from: </w:t>
            </w:r>
            <w:hyperlink r:id="rId10" w:history="1">
              <w:r w:rsidRPr="004F739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https://doi.org/10.1787/22260919</w:t>
              </w:r>
            </w:hyperlink>
          </w:p>
          <w:p w14:paraId="4419EAB4" w14:textId="77777777" w:rsidR="00F66C27" w:rsidRPr="004F739F" w:rsidRDefault="00F66C27" w:rsidP="00914FE1">
            <w:pPr>
              <w:rPr>
                <w:rFonts w:ascii="Arial" w:hAnsi="Arial" w:cs="Arial"/>
                <w:sz w:val="20"/>
                <w:szCs w:val="20"/>
              </w:rPr>
            </w:pPr>
            <w:r w:rsidRPr="004F739F">
              <w:rPr>
                <w:rFonts w:ascii="Arial" w:hAnsi="Arial" w:cs="Arial"/>
                <w:sz w:val="20"/>
                <w:szCs w:val="20"/>
              </w:rPr>
              <w:t xml:space="preserve">SOMERVILLE, M.P. and WHITEBREAD, D. 2019 Emotion regulation and well-being in primary classrooms situated in low-socioeconomic communities. </w:t>
            </w:r>
            <w:r w:rsidRPr="004F739F">
              <w:rPr>
                <w:rFonts w:ascii="Arial" w:hAnsi="Arial" w:cs="Arial"/>
                <w:i/>
                <w:iCs/>
                <w:sz w:val="20"/>
                <w:szCs w:val="20"/>
              </w:rPr>
              <w:t>British Journal of Educational Psychology</w:t>
            </w:r>
            <w:r w:rsidRPr="004F739F">
              <w:rPr>
                <w:rFonts w:ascii="Arial" w:hAnsi="Arial" w:cs="Arial"/>
                <w:sz w:val="20"/>
                <w:szCs w:val="20"/>
              </w:rPr>
              <w:t xml:space="preserve">, 89, 565–584 </w:t>
            </w:r>
            <w:hyperlink r:id="rId11" w:history="1">
              <w:r w:rsidRPr="004F739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https://bpspsychub-onlinelibrary-wiley-com.edgehill.idm.oclc.org/doi/pdf/10.1111/bjep.12222</w:t>
              </w:r>
            </w:hyperlink>
          </w:p>
          <w:p w14:paraId="314DCB31" w14:textId="77777777" w:rsidR="00F66C27" w:rsidRPr="004F739F" w:rsidRDefault="00F66C27" w:rsidP="00914FE1">
            <w:pPr>
              <w:rPr>
                <w:rFonts w:ascii="Arial" w:hAnsi="Arial" w:cs="Arial"/>
                <w:sz w:val="20"/>
                <w:szCs w:val="20"/>
              </w:rPr>
            </w:pPr>
            <w:r w:rsidRPr="004F739F">
              <w:rPr>
                <w:rFonts w:ascii="Arial" w:hAnsi="Arial" w:cs="Arial"/>
                <w:sz w:val="20"/>
                <w:szCs w:val="20"/>
              </w:rPr>
              <w:t xml:space="preserve">TAYLOR, R. OBERLE, E., DURLAK, J.A. and WEISSBERG, R. P. 2017 ‘Promoting Positive Youth Development Through School-Based Social and Emotional Learning Interventions: A Meta-Analysis of Follow-up Effects’, </w:t>
            </w:r>
            <w:r w:rsidRPr="004F739F">
              <w:rPr>
                <w:rFonts w:ascii="Arial" w:hAnsi="Arial" w:cs="Arial"/>
                <w:i/>
                <w:iCs/>
                <w:sz w:val="20"/>
                <w:szCs w:val="20"/>
              </w:rPr>
              <w:t>Child Development</w:t>
            </w:r>
            <w:r w:rsidRPr="004F739F">
              <w:rPr>
                <w:rFonts w:ascii="Arial" w:hAnsi="Arial" w:cs="Arial"/>
                <w:sz w:val="20"/>
                <w:szCs w:val="20"/>
              </w:rPr>
              <w:t xml:space="preserve">, 88 (4), pp. 1156–1171. </w:t>
            </w:r>
            <w:hyperlink r:id="rId12" w:history="1">
              <w:r w:rsidRPr="004F739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https://srcd-onlinelibrary-wiley-com.edgehill.idm.oclc.org/doi/pdfdirect/10.1111/cdev.12864</w:t>
              </w:r>
            </w:hyperlink>
          </w:p>
          <w:p w14:paraId="1078DB70" w14:textId="77777777" w:rsidR="00F66C27" w:rsidRPr="004F739F" w:rsidRDefault="00F66C27" w:rsidP="00914FE1">
            <w:pPr>
              <w:rPr>
                <w:rFonts w:ascii="Arial" w:hAnsi="Arial" w:cs="Arial"/>
                <w:sz w:val="20"/>
                <w:szCs w:val="20"/>
              </w:rPr>
            </w:pPr>
            <w:r w:rsidRPr="004F739F">
              <w:rPr>
                <w:rFonts w:ascii="Arial" w:hAnsi="Arial" w:cs="Arial"/>
                <w:sz w:val="20"/>
                <w:szCs w:val="20"/>
              </w:rPr>
              <w:t>THURMAN, B. and BOUGHELAF, J 2015 “We don’t get taught enough”: an assessment of drug education provision in schools in England Drugs and Alcohol Today 15 (3) pp. 127-140</w:t>
            </w:r>
          </w:p>
          <w:p w14:paraId="078719DA" w14:textId="77777777" w:rsidR="00F66C27" w:rsidRPr="004F739F" w:rsidRDefault="00F66C27" w:rsidP="00914FE1">
            <w:pPr>
              <w:rPr>
                <w:rFonts w:ascii="Arial" w:hAnsi="Arial" w:cs="Arial"/>
                <w:sz w:val="20"/>
                <w:szCs w:val="20"/>
              </w:rPr>
            </w:pPr>
            <w:r w:rsidRPr="004F739F">
              <w:rPr>
                <w:rFonts w:ascii="Arial" w:hAnsi="Arial" w:cs="Arial"/>
                <w:sz w:val="20"/>
                <w:szCs w:val="20"/>
              </w:rPr>
              <w:t xml:space="preserve">WILDER, R. 2018 ‘Knowledge’ in English primary schools’ decision-making about sex and relationships education. </w:t>
            </w:r>
            <w:r w:rsidRPr="004F739F">
              <w:rPr>
                <w:rFonts w:ascii="Arial" w:hAnsi="Arial" w:cs="Arial"/>
                <w:i/>
                <w:iCs/>
                <w:sz w:val="20"/>
                <w:szCs w:val="20"/>
              </w:rPr>
              <w:t>Health Education Journal</w:t>
            </w:r>
            <w:r w:rsidRPr="004F739F">
              <w:rPr>
                <w:rFonts w:ascii="Arial" w:hAnsi="Arial" w:cs="Arial"/>
                <w:sz w:val="20"/>
                <w:szCs w:val="20"/>
              </w:rPr>
              <w:t xml:space="preserve"> Vol. 77(1) 30–42</w:t>
            </w:r>
          </w:p>
          <w:p w14:paraId="64F78294" w14:textId="77777777" w:rsidR="00F66C27" w:rsidRPr="004F739F" w:rsidRDefault="00F66C27" w:rsidP="00914FE1">
            <w:pPr>
              <w:rPr>
                <w:rFonts w:ascii="Arial" w:hAnsi="Arial" w:cs="Arial"/>
                <w:sz w:val="20"/>
                <w:szCs w:val="20"/>
              </w:rPr>
            </w:pPr>
            <w:r w:rsidRPr="004F739F">
              <w:rPr>
                <w:rFonts w:ascii="Arial" w:hAnsi="Arial" w:cs="Arial"/>
                <w:sz w:val="20"/>
                <w:szCs w:val="20"/>
              </w:rPr>
              <w:t xml:space="preserve">ZACHARIOU, A. and WHITEBREAD, D. Developmental differences in young children's self-regulation. </w:t>
            </w:r>
            <w:r w:rsidRPr="004F739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Journal of Applied Developmental Psychology. </w:t>
            </w:r>
            <w:r w:rsidRPr="004F739F">
              <w:rPr>
                <w:rFonts w:ascii="Arial" w:hAnsi="Arial" w:cs="Arial"/>
                <w:sz w:val="20"/>
                <w:szCs w:val="20"/>
              </w:rPr>
              <w:t>62 pp282-293</w:t>
            </w:r>
          </w:p>
          <w:p w14:paraId="2E94AB2A" w14:textId="77777777" w:rsidR="00F66C27" w:rsidRPr="008524E6" w:rsidRDefault="00F66C27" w:rsidP="00914FE1">
            <w:pPr>
              <w:rPr>
                <w:rStyle w:val="eop"/>
                <w:rFonts w:ascii="Arial" w:hAnsi="Arial" w:cs="Arial"/>
                <w:sz w:val="20"/>
                <w:szCs w:val="20"/>
              </w:rPr>
            </w:pPr>
          </w:p>
        </w:tc>
      </w:tr>
    </w:tbl>
    <w:p w14:paraId="0F764BD7" w14:textId="77777777" w:rsidR="00CF75EE" w:rsidRDefault="00CF75EE" w:rsidP="0045785F">
      <w:pPr>
        <w:pStyle w:val="NoSpacing"/>
      </w:pPr>
    </w:p>
    <w:sectPr w:rsidR="00CF75EE" w:rsidSect="00F66C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EB3DB" w14:textId="77777777" w:rsidR="00872BE3" w:rsidRDefault="00872BE3" w:rsidP="00872BE3">
      <w:pPr>
        <w:spacing w:after="0" w:line="240" w:lineRule="auto"/>
      </w:pPr>
      <w:r>
        <w:separator/>
      </w:r>
    </w:p>
  </w:endnote>
  <w:endnote w:type="continuationSeparator" w:id="0">
    <w:p w14:paraId="27941F64" w14:textId="77777777" w:rsidR="00872BE3" w:rsidRDefault="00872BE3" w:rsidP="00872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C8714" w14:textId="77777777" w:rsidR="00872BE3" w:rsidRDefault="00872BE3" w:rsidP="00872BE3">
      <w:pPr>
        <w:spacing w:after="0" w:line="240" w:lineRule="auto"/>
      </w:pPr>
      <w:r>
        <w:separator/>
      </w:r>
    </w:p>
  </w:footnote>
  <w:footnote w:type="continuationSeparator" w:id="0">
    <w:p w14:paraId="7D848424" w14:textId="77777777" w:rsidR="00872BE3" w:rsidRDefault="00872BE3" w:rsidP="00872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879DF"/>
    <w:multiLevelType w:val="hybridMultilevel"/>
    <w:tmpl w:val="7662FC98"/>
    <w:lvl w:ilvl="0" w:tplc="EC8C4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7EA1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30D2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6A8B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BA4F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F81B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6273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2CAD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CC1A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E52499"/>
    <w:multiLevelType w:val="hybridMultilevel"/>
    <w:tmpl w:val="6E58A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C1567"/>
    <w:multiLevelType w:val="hybridMultilevel"/>
    <w:tmpl w:val="73585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261834">
    <w:abstractNumId w:val="0"/>
  </w:num>
  <w:num w:numId="2" w16cid:durableId="1802844701">
    <w:abstractNumId w:val="2"/>
  </w:num>
  <w:num w:numId="3" w16cid:durableId="843402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C27"/>
    <w:rsid w:val="000F3143"/>
    <w:rsid w:val="002F4A76"/>
    <w:rsid w:val="0045785F"/>
    <w:rsid w:val="004F739F"/>
    <w:rsid w:val="00722685"/>
    <w:rsid w:val="00872BE3"/>
    <w:rsid w:val="008B0DC0"/>
    <w:rsid w:val="00971F84"/>
    <w:rsid w:val="00AC4811"/>
    <w:rsid w:val="00CF75EE"/>
    <w:rsid w:val="00F6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FB9B5"/>
  <w15:chartTrackingRefBased/>
  <w15:docId w15:val="{D66BE515-9FF9-42F3-817E-6C40C369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C27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72B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6C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0F3143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66C2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66C27"/>
    <w:pPr>
      <w:ind w:left="720"/>
      <w:contextualSpacing/>
    </w:pPr>
  </w:style>
  <w:style w:type="table" w:styleId="TableGrid">
    <w:name w:val="Table Grid"/>
    <w:basedOn w:val="TableNormal"/>
    <w:uiPriority w:val="59"/>
    <w:rsid w:val="00F66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66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F66C27"/>
  </w:style>
  <w:style w:type="character" w:styleId="Hyperlink">
    <w:name w:val="Hyperlink"/>
    <w:basedOn w:val="DefaultParagraphFont"/>
    <w:uiPriority w:val="99"/>
    <w:unhideWhenUsed/>
    <w:rsid w:val="00F66C2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72BE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72B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BE3"/>
  </w:style>
  <w:style w:type="paragraph" w:styleId="Footer">
    <w:name w:val="footer"/>
    <w:basedOn w:val="Normal"/>
    <w:link w:val="FooterChar"/>
    <w:uiPriority w:val="99"/>
    <w:unhideWhenUsed/>
    <w:rsid w:val="00872B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2tic4wvo1iusb.cloudfront.net/eef-guidance-reports/primary-sel/EEF_Social_and_Emotional_Learning.pdf?v=167170351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andfonline.com/doi/full/10.1080/02643944.2020.1713868" TargetMode="External"/><Relationship Id="rId12" Type="http://schemas.openxmlformats.org/officeDocument/2006/relationships/hyperlink" Target="https://srcd-onlinelibrary-wiley-com.edgehill.idm.oclc.org/doi/pdfdirect/10.1111/cdev.128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pspsychub-onlinelibrary-wiley-com.edgehill.idm.oclc.org/doi/pdf/10.1111/bjep.1222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i.org/10.1787/222609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-proquest-com.edgehill.idm.oclc.org/docview/2724922691?OpenUrlRefId=info:xri/sid:wcdiscovery&amp;accountid=1067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1566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Edge Hill University</Company>
  <LinksUpToDate>false</LinksUpToDate>
  <CharactersWithSpaces>10474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Thompson</dc:creator>
  <cp:keywords/>
  <dc:description/>
  <cp:lastModifiedBy>Stephanie Watts</cp:lastModifiedBy>
  <cp:revision>5</cp:revision>
  <dcterms:created xsi:type="dcterms:W3CDTF">2023-01-30T08:32:00Z</dcterms:created>
  <dcterms:modified xsi:type="dcterms:W3CDTF">2023-02-02T09:40:00Z</dcterms:modified>
</cp:coreProperties>
</file>