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9F05" w14:textId="77BCBDCC" w:rsidR="00CF75EE" w:rsidRDefault="00CF75EE" w:rsidP="00722685">
      <w:pPr>
        <w:pStyle w:val="NoSpacing"/>
      </w:pPr>
    </w:p>
    <w:p w14:paraId="319FB803" w14:textId="77777777" w:rsidR="00167CAC" w:rsidRPr="00167CAC" w:rsidRDefault="00167CAC" w:rsidP="00167CAC">
      <w:pPr>
        <w:autoSpaceDE w:val="0"/>
        <w:autoSpaceDN w:val="0"/>
        <w:adjustRightInd w:val="0"/>
        <w:spacing w:after="0" w:line="240" w:lineRule="auto"/>
        <w:rPr>
          <w:rFonts w:ascii="Calibri" w:hAnsi="Calibri" w:cs="Calibri"/>
          <w:color w:val="000000"/>
          <w:szCs w:val="24"/>
        </w:rPr>
      </w:pPr>
    </w:p>
    <w:p w14:paraId="33C6B0A6" w14:textId="35590B98" w:rsidR="002A0F17" w:rsidRDefault="00167CAC" w:rsidP="00167CAC">
      <w:pPr>
        <w:pStyle w:val="Title"/>
      </w:pPr>
      <w:r>
        <w:t>PGDE Post-14 Education Placement Information</w:t>
      </w:r>
    </w:p>
    <w:p w14:paraId="0EBEDDBB" w14:textId="04EFAF47" w:rsidR="7874F1FC" w:rsidRDefault="7874F1FC" w:rsidP="7874F1FC">
      <w:pPr>
        <w:rPr>
          <w:rFonts w:eastAsia="Calibri"/>
          <w:szCs w:val="24"/>
        </w:rPr>
      </w:pPr>
    </w:p>
    <w:p w14:paraId="7A23F162" w14:textId="51FCC716" w:rsidR="00C448C5" w:rsidRPr="00D80827" w:rsidRDefault="00C448C5" w:rsidP="7874F1FC">
      <w:pPr>
        <w:rPr>
          <w:rFonts w:eastAsia="Calibri"/>
          <w:sz w:val="20"/>
          <w:szCs w:val="20"/>
        </w:rPr>
      </w:pPr>
      <w:r w:rsidRPr="00D80827">
        <w:rPr>
          <w:rFonts w:eastAsia="Calibri"/>
          <w:sz w:val="20"/>
          <w:szCs w:val="20"/>
        </w:rPr>
        <w:t xml:space="preserve">The PGDE Post-14 comprises a </w:t>
      </w:r>
      <w:r w:rsidRPr="00D80827">
        <w:rPr>
          <w:rFonts w:eastAsia="Calibri"/>
          <w:b/>
          <w:sz w:val="20"/>
          <w:szCs w:val="20"/>
        </w:rPr>
        <w:t>single placement which is split into 3 distinct phases to help support trainee progression</w:t>
      </w:r>
      <w:r w:rsidRPr="00D80827">
        <w:rPr>
          <w:rFonts w:eastAsia="Calibri"/>
          <w:sz w:val="20"/>
          <w:szCs w:val="20"/>
        </w:rPr>
        <w:t xml:space="preserve">. </w:t>
      </w:r>
      <w:r w:rsidR="009D0948" w:rsidRPr="00D80827">
        <w:rPr>
          <w:rFonts w:eastAsia="Calibri"/>
          <w:sz w:val="20"/>
          <w:szCs w:val="20"/>
        </w:rPr>
        <w:t>It is intended that t</w:t>
      </w:r>
      <w:r w:rsidRPr="00D80827">
        <w:rPr>
          <w:rFonts w:eastAsia="Calibri"/>
          <w:sz w:val="20"/>
          <w:szCs w:val="20"/>
        </w:rPr>
        <w:t>rainees undertake all</w:t>
      </w:r>
      <w:r w:rsidR="004B42F8" w:rsidRPr="00D80827">
        <w:rPr>
          <w:rFonts w:eastAsia="Calibri"/>
          <w:sz w:val="20"/>
          <w:szCs w:val="20"/>
        </w:rPr>
        <w:t xml:space="preserve"> 3 phases in their single placement setting</w:t>
      </w:r>
      <w:r w:rsidR="009D0948" w:rsidRPr="00D80827">
        <w:rPr>
          <w:rFonts w:eastAsia="Calibri"/>
          <w:sz w:val="20"/>
          <w:szCs w:val="20"/>
        </w:rPr>
        <w:t xml:space="preserve"> however there can be opportunities for </w:t>
      </w:r>
      <w:r w:rsidR="00FD332D" w:rsidRPr="00D80827">
        <w:rPr>
          <w:rFonts w:eastAsia="Calibri"/>
          <w:sz w:val="20"/>
          <w:szCs w:val="20"/>
        </w:rPr>
        <w:t>additional placement experiences if trainees cannot amass at least 100 hours in their setting.</w:t>
      </w:r>
    </w:p>
    <w:tbl>
      <w:tblPr>
        <w:tblStyle w:val="TableGrid"/>
        <w:tblW w:w="14145" w:type="dxa"/>
        <w:tblLayout w:type="fixed"/>
        <w:tblLook w:val="04A0" w:firstRow="1" w:lastRow="0" w:firstColumn="1" w:lastColumn="0" w:noHBand="0" w:noVBand="1"/>
      </w:tblPr>
      <w:tblGrid>
        <w:gridCol w:w="3089"/>
        <w:gridCol w:w="3827"/>
        <w:gridCol w:w="7229"/>
      </w:tblGrid>
      <w:tr w:rsidR="7874F1FC" w14:paraId="779795EE" w14:textId="77777777" w:rsidTr="00F56790">
        <w:trPr>
          <w:cantSplit/>
          <w:tblHeader/>
        </w:trPr>
        <w:tc>
          <w:tcPr>
            <w:tcW w:w="3089" w:type="dxa"/>
            <w:tcBorders>
              <w:top w:val="single" w:sz="24" w:space="0" w:color="auto"/>
              <w:left w:val="single" w:sz="24" w:space="0" w:color="auto"/>
              <w:bottom w:val="single" w:sz="24" w:space="0" w:color="auto"/>
              <w:right w:val="single" w:sz="24" w:space="0" w:color="auto"/>
            </w:tcBorders>
          </w:tcPr>
          <w:p w14:paraId="4C257C97" w14:textId="6F59402C" w:rsidR="7874F1FC" w:rsidRDefault="7874F1FC" w:rsidP="7874F1FC">
            <w:pPr>
              <w:pStyle w:val="NoSpacing"/>
              <w:rPr>
                <w:rFonts w:eastAsia="Arial" w:cs="Arial"/>
                <w:color w:val="000000" w:themeColor="text1"/>
                <w:szCs w:val="24"/>
              </w:rPr>
            </w:pPr>
            <w:r w:rsidRPr="7874F1FC">
              <w:rPr>
                <w:rFonts w:eastAsia="Arial" w:cs="Arial"/>
                <w:color w:val="000000" w:themeColor="text1"/>
                <w:szCs w:val="24"/>
              </w:rPr>
              <w:t>Introductory</w:t>
            </w:r>
            <w:r w:rsidR="00243CE6">
              <w:rPr>
                <w:rFonts w:eastAsia="Arial" w:cs="Arial"/>
                <w:color w:val="000000" w:themeColor="text1"/>
                <w:szCs w:val="24"/>
              </w:rPr>
              <w:t xml:space="preserve"> phase</w:t>
            </w:r>
          </w:p>
        </w:tc>
        <w:tc>
          <w:tcPr>
            <w:tcW w:w="3827" w:type="dxa"/>
            <w:tcBorders>
              <w:top w:val="single" w:sz="24" w:space="0" w:color="auto"/>
              <w:left w:val="single" w:sz="24" w:space="0" w:color="auto"/>
              <w:bottom w:val="single" w:sz="24" w:space="0" w:color="auto"/>
              <w:right w:val="single" w:sz="24" w:space="0" w:color="auto"/>
            </w:tcBorders>
          </w:tcPr>
          <w:p w14:paraId="7AEC5941" w14:textId="74B0350E" w:rsidR="7874F1FC" w:rsidRDefault="7874F1FC" w:rsidP="7874F1FC">
            <w:pPr>
              <w:pStyle w:val="NoSpacing"/>
              <w:rPr>
                <w:rFonts w:eastAsia="Arial" w:cs="Arial"/>
                <w:color w:val="000000" w:themeColor="text1"/>
                <w:szCs w:val="24"/>
              </w:rPr>
            </w:pPr>
            <w:r w:rsidRPr="7874F1FC">
              <w:rPr>
                <w:rFonts w:eastAsia="Arial" w:cs="Arial"/>
                <w:color w:val="000000" w:themeColor="text1"/>
                <w:szCs w:val="24"/>
              </w:rPr>
              <w:t xml:space="preserve">Dates </w:t>
            </w:r>
          </w:p>
          <w:p w14:paraId="2B18E7B7" w14:textId="2781531B" w:rsidR="7874F1FC" w:rsidRDefault="7874F1FC" w:rsidP="7874F1FC">
            <w:pPr>
              <w:pStyle w:val="NoSpacing"/>
              <w:rPr>
                <w:rFonts w:eastAsia="Arial" w:cs="Arial"/>
                <w:color w:val="000000" w:themeColor="text1"/>
                <w:szCs w:val="24"/>
              </w:rPr>
            </w:pPr>
            <w:r w:rsidRPr="7874F1FC">
              <w:rPr>
                <w:rFonts w:eastAsia="Arial" w:cs="Arial"/>
                <w:color w:val="000000" w:themeColor="text1"/>
                <w:szCs w:val="24"/>
              </w:rPr>
              <w:t>Teaching Commitment</w:t>
            </w:r>
          </w:p>
          <w:p w14:paraId="153AEE2D" w14:textId="3B4DBA8B" w:rsidR="7874F1FC" w:rsidRDefault="7874F1FC" w:rsidP="7874F1FC">
            <w:pPr>
              <w:rPr>
                <w:rFonts w:eastAsia="Arial" w:cs="Arial"/>
                <w:color w:val="000000" w:themeColor="text1"/>
                <w:szCs w:val="24"/>
              </w:rPr>
            </w:pPr>
          </w:p>
        </w:tc>
        <w:tc>
          <w:tcPr>
            <w:tcW w:w="7229" w:type="dxa"/>
            <w:tcBorders>
              <w:top w:val="single" w:sz="24" w:space="0" w:color="auto"/>
              <w:left w:val="single" w:sz="24" w:space="0" w:color="auto"/>
              <w:bottom w:val="single" w:sz="24" w:space="0" w:color="auto"/>
              <w:right w:val="single" w:sz="24" w:space="0" w:color="auto"/>
            </w:tcBorders>
          </w:tcPr>
          <w:p w14:paraId="7B525801" w14:textId="332EA2F0" w:rsidR="7874F1FC" w:rsidRDefault="002759B1" w:rsidP="7874F1FC">
            <w:pPr>
              <w:pStyle w:val="NoSpacing"/>
              <w:rPr>
                <w:rFonts w:eastAsia="Arial" w:cs="Arial"/>
                <w:color w:val="000000" w:themeColor="text1"/>
                <w:szCs w:val="24"/>
              </w:rPr>
            </w:pPr>
            <w:r>
              <w:rPr>
                <w:rFonts w:eastAsia="Arial" w:cs="Arial"/>
                <w:color w:val="000000" w:themeColor="text1"/>
                <w:szCs w:val="24"/>
              </w:rPr>
              <w:t>w/</w:t>
            </w:r>
            <w:r w:rsidR="000D2BA7">
              <w:rPr>
                <w:rFonts w:eastAsia="Arial" w:cs="Arial"/>
                <w:color w:val="000000" w:themeColor="text1"/>
                <w:szCs w:val="24"/>
              </w:rPr>
              <w:t>b</w:t>
            </w:r>
            <w:r>
              <w:rPr>
                <w:rFonts w:eastAsia="Arial" w:cs="Arial"/>
                <w:color w:val="000000" w:themeColor="text1"/>
                <w:szCs w:val="24"/>
              </w:rPr>
              <w:t xml:space="preserve"> </w:t>
            </w:r>
            <w:r w:rsidR="00920A22">
              <w:rPr>
                <w:rFonts w:eastAsia="Arial" w:cs="Arial"/>
                <w:color w:val="000000" w:themeColor="text1"/>
                <w:szCs w:val="24"/>
              </w:rPr>
              <w:t>6</w:t>
            </w:r>
            <w:r w:rsidR="00BF02D5">
              <w:rPr>
                <w:rFonts w:eastAsia="Arial" w:cs="Arial"/>
                <w:color w:val="000000" w:themeColor="text1"/>
                <w:szCs w:val="24"/>
              </w:rPr>
              <w:t>/</w:t>
            </w:r>
            <w:r>
              <w:rPr>
                <w:rFonts w:eastAsia="Arial" w:cs="Arial"/>
                <w:color w:val="000000" w:themeColor="text1"/>
                <w:szCs w:val="24"/>
              </w:rPr>
              <w:t>11</w:t>
            </w:r>
            <w:r w:rsidR="00BF02D5">
              <w:rPr>
                <w:rFonts w:eastAsia="Arial" w:cs="Arial"/>
                <w:color w:val="000000" w:themeColor="text1"/>
                <w:szCs w:val="24"/>
              </w:rPr>
              <w:t>/</w:t>
            </w:r>
            <w:r>
              <w:rPr>
                <w:rFonts w:eastAsia="Arial" w:cs="Arial"/>
                <w:color w:val="000000" w:themeColor="text1"/>
                <w:szCs w:val="24"/>
              </w:rPr>
              <w:t>2</w:t>
            </w:r>
            <w:r w:rsidR="00920A22">
              <w:rPr>
                <w:rFonts w:eastAsia="Arial" w:cs="Arial"/>
                <w:color w:val="000000" w:themeColor="text1"/>
                <w:szCs w:val="24"/>
              </w:rPr>
              <w:t>3</w:t>
            </w:r>
            <w:r>
              <w:rPr>
                <w:rFonts w:eastAsia="Arial" w:cs="Arial"/>
                <w:color w:val="000000" w:themeColor="text1"/>
                <w:szCs w:val="24"/>
              </w:rPr>
              <w:t xml:space="preserve"> </w:t>
            </w:r>
            <w:r w:rsidR="004954FE">
              <w:rPr>
                <w:rFonts w:eastAsia="Arial" w:cs="Arial"/>
                <w:color w:val="000000" w:themeColor="text1"/>
                <w:szCs w:val="24"/>
              </w:rPr>
              <w:t>–</w:t>
            </w:r>
            <w:r>
              <w:rPr>
                <w:rFonts w:eastAsia="Arial" w:cs="Arial"/>
                <w:color w:val="000000" w:themeColor="text1"/>
                <w:szCs w:val="24"/>
              </w:rPr>
              <w:t xml:space="preserve"> </w:t>
            </w:r>
            <w:r w:rsidR="004954FE">
              <w:rPr>
                <w:rFonts w:eastAsia="Arial" w:cs="Arial"/>
                <w:color w:val="000000" w:themeColor="text1"/>
                <w:szCs w:val="24"/>
              </w:rPr>
              <w:t>1</w:t>
            </w:r>
            <w:r w:rsidR="00920A22">
              <w:rPr>
                <w:rFonts w:eastAsia="Arial" w:cs="Arial"/>
                <w:color w:val="000000" w:themeColor="text1"/>
                <w:szCs w:val="24"/>
              </w:rPr>
              <w:t>5</w:t>
            </w:r>
            <w:r w:rsidR="00BF02D5">
              <w:rPr>
                <w:rFonts w:eastAsia="Arial" w:cs="Arial"/>
                <w:color w:val="000000" w:themeColor="text1"/>
                <w:szCs w:val="24"/>
              </w:rPr>
              <w:t>/</w:t>
            </w:r>
            <w:r w:rsidR="004954FE">
              <w:rPr>
                <w:rFonts w:eastAsia="Arial" w:cs="Arial"/>
                <w:color w:val="000000" w:themeColor="text1"/>
                <w:szCs w:val="24"/>
              </w:rPr>
              <w:t>12</w:t>
            </w:r>
            <w:r w:rsidR="00BF02D5">
              <w:rPr>
                <w:rFonts w:eastAsia="Arial" w:cs="Arial"/>
                <w:color w:val="000000" w:themeColor="text1"/>
                <w:szCs w:val="24"/>
              </w:rPr>
              <w:t>/</w:t>
            </w:r>
            <w:r w:rsidR="004954FE">
              <w:rPr>
                <w:rFonts w:eastAsia="Arial" w:cs="Arial"/>
                <w:color w:val="000000" w:themeColor="text1"/>
                <w:szCs w:val="24"/>
              </w:rPr>
              <w:t>2</w:t>
            </w:r>
            <w:r w:rsidR="00920A22">
              <w:rPr>
                <w:rFonts w:eastAsia="Arial" w:cs="Arial"/>
                <w:color w:val="000000" w:themeColor="text1"/>
                <w:szCs w:val="24"/>
              </w:rPr>
              <w:t>3</w:t>
            </w:r>
            <w:r w:rsidR="00B51E6B">
              <w:rPr>
                <w:rFonts w:eastAsia="Arial" w:cs="Arial"/>
                <w:color w:val="000000" w:themeColor="text1"/>
                <w:szCs w:val="24"/>
              </w:rPr>
              <w:t xml:space="preserve"> </w:t>
            </w:r>
            <w:r w:rsidR="00B51E6B" w:rsidRPr="00D80827">
              <w:rPr>
                <w:rFonts w:eastAsia="Arial" w:cs="Arial"/>
                <w:color w:val="000000" w:themeColor="text1"/>
                <w:szCs w:val="24"/>
              </w:rPr>
              <w:t>(</w:t>
            </w:r>
            <w:r w:rsidR="00493303">
              <w:rPr>
                <w:rFonts w:eastAsia="Arial" w:cs="Arial"/>
                <w:color w:val="000000" w:themeColor="text1"/>
                <w:szCs w:val="24"/>
              </w:rPr>
              <w:t>Tues</w:t>
            </w:r>
            <w:r w:rsidR="00B51E6B" w:rsidRPr="00D80827">
              <w:rPr>
                <w:rFonts w:eastAsia="Arial" w:cs="Arial"/>
                <w:color w:val="000000" w:themeColor="text1"/>
                <w:szCs w:val="24"/>
              </w:rPr>
              <w:t>-Fri)</w:t>
            </w:r>
          </w:p>
          <w:p w14:paraId="3C1A2597" w14:textId="41FE6B33" w:rsidR="7874F1FC" w:rsidRDefault="7874F1FC" w:rsidP="7A81174D">
            <w:pPr>
              <w:pStyle w:val="NoSpacing"/>
              <w:rPr>
                <w:rFonts w:eastAsia="Arial" w:cs="Arial"/>
                <w:color w:val="000000" w:themeColor="text1"/>
              </w:rPr>
            </w:pPr>
            <w:r w:rsidRPr="7A81174D">
              <w:rPr>
                <w:rFonts w:eastAsia="Arial" w:cs="Arial"/>
                <w:color w:val="000000" w:themeColor="text1"/>
              </w:rPr>
              <w:t xml:space="preserve">Approx. </w:t>
            </w:r>
            <w:r w:rsidR="00D80827" w:rsidRPr="7A81174D">
              <w:rPr>
                <w:rFonts w:eastAsia="Arial" w:cs="Arial"/>
                <w:color w:val="000000" w:themeColor="text1"/>
              </w:rPr>
              <w:t>4-5</w:t>
            </w:r>
            <w:r w:rsidRPr="7A81174D">
              <w:rPr>
                <w:rFonts w:eastAsia="Arial" w:cs="Arial"/>
                <w:color w:val="000000" w:themeColor="text1"/>
              </w:rPr>
              <w:t xml:space="preserve"> hours p/w</w:t>
            </w:r>
            <w:r w:rsidR="00243CE6" w:rsidRPr="7A81174D">
              <w:rPr>
                <w:rFonts w:eastAsia="Arial" w:cs="Arial"/>
                <w:color w:val="000000" w:themeColor="text1"/>
              </w:rPr>
              <w:t xml:space="preserve"> after initial period of observation</w:t>
            </w:r>
            <w:r w:rsidR="78CDE219" w:rsidRPr="7A81174D">
              <w:rPr>
                <w:rFonts w:eastAsia="Arial" w:cs="Arial"/>
                <w:color w:val="000000" w:themeColor="text1"/>
              </w:rPr>
              <w:t xml:space="preserve"> by the end of the p</w:t>
            </w:r>
            <w:r w:rsidR="4B735BC8" w:rsidRPr="7A81174D">
              <w:rPr>
                <w:rFonts w:eastAsia="Arial" w:cs="Arial"/>
                <w:color w:val="000000" w:themeColor="text1"/>
              </w:rPr>
              <w:t>hase</w:t>
            </w:r>
            <w:r w:rsidR="311A6A01" w:rsidRPr="7A81174D">
              <w:rPr>
                <w:rFonts w:eastAsia="Arial" w:cs="Arial"/>
                <w:color w:val="000000" w:themeColor="text1"/>
              </w:rPr>
              <w:t>*</w:t>
            </w:r>
          </w:p>
        </w:tc>
      </w:tr>
      <w:tr w:rsidR="7874F1FC" w14:paraId="6C2F0F0B" w14:textId="77777777" w:rsidTr="00F56790">
        <w:trPr>
          <w:cantSplit/>
          <w:tblHeader/>
        </w:trPr>
        <w:tc>
          <w:tcPr>
            <w:tcW w:w="3089" w:type="dxa"/>
            <w:tcBorders>
              <w:top w:val="single" w:sz="24" w:space="0" w:color="auto"/>
              <w:left w:val="single" w:sz="24" w:space="0" w:color="auto"/>
              <w:bottom w:val="single" w:sz="24" w:space="0" w:color="auto"/>
              <w:right w:val="single" w:sz="24" w:space="0" w:color="auto"/>
            </w:tcBorders>
          </w:tcPr>
          <w:p w14:paraId="28499811" w14:textId="3831F50C" w:rsidR="7874F1FC" w:rsidRDefault="79902110" w:rsidP="33C2D2C6">
            <w:pPr>
              <w:pStyle w:val="NoSpacing"/>
              <w:rPr>
                <w:rFonts w:eastAsia="Arial" w:cs="Arial"/>
                <w:color w:val="000000" w:themeColor="text1"/>
              </w:rPr>
            </w:pPr>
            <w:r w:rsidRPr="33C2D2C6">
              <w:rPr>
                <w:rFonts w:eastAsia="Arial" w:cs="Arial"/>
                <w:color w:val="000000" w:themeColor="text1"/>
              </w:rPr>
              <w:t>Developmental</w:t>
            </w:r>
            <w:r w:rsidR="486CDF35" w:rsidRPr="33C2D2C6">
              <w:rPr>
                <w:rFonts w:eastAsia="Arial" w:cs="Arial"/>
                <w:color w:val="000000" w:themeColor="text1"/>
              </w:rPr>
              <w:t xml:space="preserve"> phase</w:t>
            </w:r>
          </w:p>
          <w:p w14:paraId="5D7319FB" w14:textId="78BE0116" w:rsidR="7874F1FC" w:rsidRDefault="1ADDCFBC" w:rsidP="33C2D2C6">
            <w:pPr>
              <w:pStyle w:val="NoSpacing"/>
              <w:rPr>
                <w:rFonts w:eastAsia="Arial" w:cs="Arial"/>
                <w:color w:val="000000" w:themeColor="text1"/>
                <w:sz w:val="20"/>
                <w:szCs w:val="20"/>
              </w:rPr>
            </w:pPr>
            <w:r w:rsidRPr="33C2D2C6">
              <w:rPr>
                <w:rFonts w:eastAsia="Arial" w:cs="Arial"/>
                <w:color w:val="000000" w:themeColor="text1"/>
                <w:sz w:val="20"/>
                <w:szCs w:val="20"/>
              </w:rPr>
              <w:t>(NB: Note this phase includes two weeks when trainees will undertake an enhancement placement in another setting)</w:t>
            </w:r>
          </w:p>
        </w:tc>
        <w:tc>
          <w:tcPr>
            <w:tcW w:w="3827" w:type="dxa"/>
            <w:tcBorders>
              <w:top w:val="single" w:sz="24" w:space="0" w:color="auto"/>
              <w:left w:val="single" w:sz="24" w:space="0" w:color="auto"/>
              <w:bottom w:val="single" w:sz="24" w:space="0" w:color="auto"/>
              <w:right w:val="single" w:sz="24" w:space="0" w:color="auto"/>
            </w:tcBorders>
          </w:tcPr>
          <w:p w14:paraId="05372431" w14:textId="639701D7" w:rsidR="7874F1FC" w:rsidRDefault="7874F1FC" w:rsidP="7874F1FC">
            <w:pPr>
              <w:pStyle w:val="Default"/>
              <w:rPr>
                <w:rFonts w:eastAsia="Arial"/>
                <w:color w:val="000000" w:themeColor="text1"/>
              </w:rPr>
            </w:pPr>
            <w:r w:rsidRPr="7874F1FC">
              <w:rPr>
                <w:rFonts w:eastAsia="Arial"/>
                <w:color w:val="000000" w:themeColor="text1"/>
              </w:rPr>
              <w:t xml:space="preserve">Dates </w:t>
            </w:r>
          </w:p>
          <w:p w14:paraId="0F00F805" w14:textId="42560A2F" w:rsidR="7874F1FC" w:rsidRDefault="7874F1FC" w:rsidP="7874F1FC">
            <w:pPr>
              <w:pStyle w:val="Default"/>
              <w:rPr>
                <w:rFonts w:eastAsia="Arial"/>
                <w:color w:val="000000" w:themeColor="text1"/>
              </w:rPr>
            </w:pPr>
            <w:r w:rsidRPr="7874F1FC">
              <w:rPr>
                <w:rFonts w:eastAsia="Arial"/>
                <w:color w:val="000000" w:themeColor="text1"/>
              </w:rPr>
              <w:t>Teaching Commitment</w:t>
            </w:r>
          </w:p>
          <w:p w14:paraId="3222C6B1" w14:textId="5EE6FEFA" w:rsidR="7874F1FC" w:rsidRDefault="7874F1FC" w:rsidP="7874F1FC">
            <w:pPr>
              <w:rPr>
                <w:rFonts w:eastAsia="Arial" w:cs="Arial"/>
                <w:color w:val="000000" w:themeColor="text1"/>
                <w:szCs w:val="24"/>
              </w:rPr>
            </w:pPr>
          </w:p>
        </w:tc>
        <w:tc>
          <w:tcPr>
            <w:tcW w:w="7229" w:type="dxa"/>
            <w:tcBorders>
              <w:top w:val="single" w:sz="24" w:space="0" w:color="auto"/>
              <w:left w:val="single" w:sz="24" w:space="0" w:color="auto"/>
              <w:bottom w:val="single" w:sz="24" w:space="0" w:color="auto"/>
              <w:right w:val="single" w:sz="24" w:space="0" w:color="auto"/>
            </w:tcBorders>
          </w:tcPr>
          <w:p w14:paraId="26B1F7E3" w14:textId="6EB93342" w:rsidR="00B92D74" w:rsidRDefault="00243CE6" w:rsidP="7874F1FC">
            <w:pPr>
              <w:pStyle w:val="NoSpacing"/>
              <w:rPr>
                <w:rFonts w:eastAsia="Arial" w:cs="Arial"/>
                <w:color w:val="000000" w:themeColor="text1"/>
                <w:szCs w:val="24"/>
              </w:rPr>
            </w:pPr>
            <w:r>
              <w:rPr>
                <w:rFonts w:eastAsia="Arial" w:cs="Arial"/>
                <w:color w:val="000000" w:themeColor="text1"/>
                <w:szCs w:val="24"/>
              </w:rPr>
              <w:t xml:space="preserve">w/b </w:t>
            </w:r>
            <w:r w:rsidR="00403897">
              <w:rPr>
                <w:rFonts w:eastAsia="Arial" w:cs="Arial"/>
                <w:color w:val="000000" w:themeColor="text1"/>
                <w:szCs w:val="24"/>
              </w:rPr>
              <w:t>1</w:t>
            </w:r>
            <w:r w:rsidR="00BF02D5">
              <w:rPr>
                <w:rFonts w:eastAsia="Arial" w:cs="Arial"/>
                <w:color w:val="000000" w:themeColor="text1"/>
                <w:szCs w:val="24"/>
              </w:rPr>
              <w:t>/</w:t>
            </w:r>
            <w:r w:rsidR="00EA05F0">
              <w:rPr>
                <w:rFonts w:eastAsia="Arial" w:cs="Arial"/>
                <w:color w:val="000000" w:themeColor="text1"/>
                <w:szCs w:val="24"/>
              </w:rPr>
              <w:t>1</w:t>
            </w:r>
            <w:r w:rsidR="00BF02D5">
              <w:rPr>
                <w:rFonts w:eastAsia="Arial" w:cs="Arial"/>
                <w:color w:val="000000" w:themeColor="text1"/>
                <w:szCs w:val="24"/>
              </w:rPr>
              <w:t>/</w:t>
            </w:r>
            <w:r w:rsidR="00EA05F0">
              <w:rPr>
                <w:rFonts w:eastAsia="Arial" w:cs="Arial"/>
                <w:color w:val="000000" w:themeColor="text1"/>
                <w:szCs w:val="24"/>
              </w:rPr>
              <w:t>2</w:t>
            </w:r>
            <w:r w:rsidR="00403897">
              <w:rPr>
                <w:rFonts w:eastAsia="Arial" w:cs="Arial"/>
                <w:color w:val="000000" w:themeColor="text1"/>
                <w:szCs w:val="24"/>
              </w:rPr>
              <w:t>4</w:t>
            </w:r>
            <w:r w:rsidR="00EA05F0">
              <w:rPr>
                <w:rFonts w:eastAsia="Arial" w:cs="Arial"/>
                <w:color w:val="000000" w:themeColor="text1"/>
                <w:szCs w:val="24"/>
              </w:rPr>
              <w:t xml:space="preserve"> – </w:t>
            </w:r>
            <w:r w:rsidR="00403897">
              <w:rPr>
                <w:rFonts w:eastAsia="Arial" w:cs="Arial"/>
                <w:color w:val="000000" w:themeColor="text1"/>
                <w:szCs w:val="24"/>
              </w:rPr>
              <w:t>29</w:t>
            </w:r>
            <w:r w:rsidR="00BF02D5">
              <w:rPr>
                <w:rFonts w:eastAsia="Arial" w:cs="Arial"/>
                <w:color w:val="000000" w:themeColor="text1"/>
                <w:szCs w:val="24"/>
              </w:rPr>
              <w:t>/</w:t>
            </w:r>
            <w:r w:rsidR="00EA05F0">
              <w:rPr>
                <w:rFonts w:eastAsia="Arial" w:cs="Arial"/>
                <w:color w:val="000000" w:themeColor="text1"/>
                <w:szCs w:val="24"/>
              </w:rPr>
              <w:t>3</w:t>
            </w:r>
            <w:r w:rsidR="00BF02D5">
              <w:rPr>
                <w:rFonts w:eastAsia="Arial" w:cs="Arial"/>
                <w:color w:val="000000" w:themeColor="text1"/>
                <w:szCs w:val="24"/>
              </w:rPr>
              <w:t>/</w:t>
            </w:r>
            <w:r w:rsidR="00403897">
              <w:rPr>
                <w:rFonts w:eastAsia="Arial" w:cs="Arial"/>
                <w:color w:val="000000" w:themeColor="text1"/>
                <w:szCs w:val="24"/>
              </w:rPr>
              <w:t>24</w:t>
            </w:r>
            <w:r w:rsidR="00B51E6B">
              <w:rPr>
                <w:rFonts w:eastAsia="Arial" w:cs="Arial"/>
                <w:color w:val="000000" w:themeColor="text1"/>
                <w:szCs w:val="24"/>
              </w:rPr>
              <w:t xml:space="preserve"> (</w:t>
            </w:r>
            <w:r w:rsidR="00493303">
              <w:rPr>
                <w:rFonts w:eastAsia="Arial" w:cs="Arial"/>
                <w:color w:val="000000" w:themeColor="text1"/>
                <w:szCs w:val="24"/>
              </w:rPr>
              <w:t>Tues</w:t>
            </w:r>
            <w:r w:rsidR="00B51E6B">
              <w:rPr>
                <w:rFonts w:eastAsia="Arial" w:cs="Arial"/>
                <w:color w:val="000000" w:themeColor="text1"/>
                <w:szCs w:val="24"/>
              </w:rPr>
              <w:t>-Fri)</w:t>
            </w:r>
          </w:p>
          <w:p w14:paraId="1DF064C8" w14:textId="77777777" w:rsidR="00D80827" w:rsidRDefault="00D80827" w:rsidP="7874F1FC">
            <w:pPr>
              <w:pStyle w:val="NoSpacing"/>
              <w:rPr>
                <w:rFonts w:eastAsia="Arial" w:cs="Arial"/>
                <w:color w:val="000000" w:themeColor="text1"/>
                <w:szCs w:val="24"/>
              </w:rPr>
            </w:pPr>
          </w:p>
          <w:p w14:paraId="190331AC" w14:textId="4851F45F" w:rsidR="7874F1FC" w:rsidRDefault="7874F1FC" w:rsidP="7A81174D">
            <w:pPr>
              <w:pStyle w:val="NoSpacing"/>
              <w:rPr>
                <w:rFonts w:eastAsia="Arial" w:cs="Arial"/>
                <w:color w:val="000000" w:themeColor="text1"/>
              </w:rPr>
            </w:pPr>
            <w:r w:rsidRPr="7A81174D">
              <w:rPr>
                <w:rFonts w:eastAsia="Arial" w:cs="Arial"/>
                <w:color w:val="000000" w:themeColor="text1"/>
              </w:rPr>
              <w:t>Approx.</w:t>
            </w:r>
            <w:r w:rsidR="73687F9B" w:rsidRPr="7A81174D">
              <w:rPr>
                <w:rFonts w:eastAsia="Arial" w:cs="Arial"/>
                <w:color w:val="000000" w:themeColor="text1"/>
              </w:rPr>
              <w:t>6-8</w:t>
            </w:r>
            <w:r w:rsidR="00B51E6B" w:rsidRPr="7A81174D">
              <w:rPr>
                <w:rFonts w:eastAsia="Arial" w:cs="Arial"/>
                <w:color w:val="000000" w:themeColor="text1"/>
              </w:rPr>
              <w:t xml:space="preserve"> hours</w:t>
            </w:r>
            <w:r w:rsidRPr="7A81174D">
              <w:rPr>
                <w:rFonts w:eastAsia="Arial" w:cs="Arial"/>
                <w:color w:val="000000" w:themeColor="text1"/>
              </w:rPr>
              <w:t xml:space="preserve"> p/w</w:t>
            </w:r>
            <w:r w:rsidR="580143FA" w:rsidRPr="7A81174D">
              <w:rPr>
                <w:rFonts w:eastAsia="Arial" w:cs="Arial"/>
                <w:color w:val="000000" w:themeColor="text1"/>
              </w:rPr>
              <w:t xml:space="preserve"> by the end of the phase</w:t>
            </w:r>
            <w:r w:rsidR="672EA08C" w:rsidRPr="7A81174D">
              <w:rPr>
                <w:rFonts w:eastAsia="Arial" w:cs="Arial"/>
                <w:color w:val="000000" w:themeColor="text1"/>
              </w:rPr>
              <w:t>*</w:t>
            </w:r>
          </w:p>
        </w:tc>
      </w:tr>
      <w:tr w:rsidR="7874F1FC" w14:paraId="368AF65A" w14:textId="77777777" w:rsidTr="00F56790">
        <w:trPr>
          <w:cantSplit/>
          <w:tblHeader/>
        </w:trPr>
        <w:tc>
          <w:tcPr>
            <w:tcW w:w="3089" w:type="dxa"/>
            <w:tcBorders>
              <w:top w:val="single" w:sz="24" w:space="0" w:color="auto"/>
              <w:left w:val="single" w:sz="24" w:space="0" w:color="auto"/>
              <w:bottom w:val="single" w:sz="24" w:space="0" w:color="auto"/>
              <w:right w:val="single" w:sz="24" w:space="0" w:color="auto"/>
            </w:tcBorders>
          </w:tcPr>
          <w:p w14:paraId="2448525D" w14:textId="75FBEBD8" w:rsidR="7874F1FC" w:rsidRDefault="7874F1FC" w:rsidP="7874F1FC">
            <w:pPr>
              <w:pStyle w:val="NoSpacing"/>
              <w:rPr>
                <w:rFonts w:eastAsia="Arial" w:cs="Arial"/>
                <w:color w:val="000000" w:themeColor="text1"/>
                <w:szCs w:val="24"/>
              </w:rPr>
            </w:pPr>
            <w:r w:rsidRPr="7874F1FC">
              <w:rPr>
                <w:rFonts w:eastAsia="Arial" w:cs="Arial"/>
                <w:color w:val="000000" w:themeColor="text1"/>
                <w:szCs w:val="24"/>
              </w:rPr>
              <w:t>Consolidation</w:t>
            </w:r>
            <w:r w:rsidR="00243CE6">
              <w:rPr>
                <w:rFonts w:eastAsia="Arial" w:cs="Arial"/>
                <w:color w:val="000000" w:themeColor="text1"/>
                <w:szCs w:val="24"/>
              </w:rPr>
              <w:t xml:space="preserve"> phase</w:t>
            </w:r>
          </w:p>
        </w:tc>
        <w:tc>
          <w:tcPr>
            <w:tcW w:w="3827" w:type="dxa"/>
            <w:tcBorders>
              <w:top w:val="single" w:sz="24" w:space="0" w:color="auto"/>
              <w:left w:val="single" w:sz="24" w:space="0" w:color="auto"/>
              <w:bottom w:val="single" w:sz="24" w:space="0" w:color="auto"/>
              <w:right w:val="single" w:sz="24" w:space="0" w:color="auto"/>
            </w:tcBorders>
          </w:tcPr>
          <w:p w14:paraId="3B4AC634" w14:textId="0BD2A4F2" w:rsidR="7874F1FC" w:rsidRDefault="7874F1FC" w:rsidP="7874F1FC">
            <w:pPr>
              <w:pStyle w:val="Default"/>
              <w:rPr>
                <w:rFonts w:eastAsia="Arial"/>
                <w:color w:val="000000" w:themeColor="text1"/>
              </w:rPr>
            </w:pPr>
            <w:r w:rsidRPr="7874F1FC">
              <w:rPr>
                <w:rFonts w:eastAsia="Arial"/>
                <w:color w:val="000000" w:themeColor="text1"/>
              </w:rPr>
              <w:t xml:space="preserve">Dates </w:t>
            </w:r>
          </w:p>
          <w:p w14:paraId="535D52F6" w14:textId="2EA1F000" w:rsidR="7874F1FC" w:rsidRDefault="7874F1FC" w:rsidP="7874F1FC">
            <w:pPr>
              <w:pStyle w:val="Default"/>
              <w:rPr>
                <w:rFonts w:eastAsia="Arial"/>
                <w:color w:val="000000" w:themeColor="text1"/>
              </w:rPr>
            </w:pPr>
            <w:r w:rsidRPr="7874F1FC">
              <w:rPr>
                <w:rFonts w:eastAsia="Arial"/>
                <w:color w:val="000000" w:themeColor="text1"/>
              </w:rPr>
              <w:t>Teaching Commitment</w:t>
            </w:r>
          </w:p>
          <w:p w14:paraId="2FF5F340" w14:textId="08DF2B04" w:rsidR="7874F1FC" w:rsidRDefault="7874F1FC" w:rsidP="7874F1FC">
            <w:pPr>
              <w:rPr>
                <w:rFonts w:eastAsia="Arial" w:cs="Arial"/>
                <w:color w:val="000000" w:themeColor="text1"/>
                <w:szCs w:val="24"/>
              </w:rPr>
            </w:pPr>
          </w:p>
        </w:tc>
        <w:tc>
          <w:tcPr>
            <w:tcW w:w="7229" w:type="dxa"/>
            <w:tcBorders>
              <w:top w:val="single" w:sz="24" w:space="0" w:color="auto"/>
              <w:left w:val="single" w:sz="24" w:space="0" w:color="auto"/>
              <w:bottom w:val="single" w:sz="24" w:space="0" w:color="auto"/>
              <w:right w:val="single" w:sz="24" w:space="0" w:color="auto"/>
            </w:tcBorders>
          </w:tcPr>
          <w:p w14:paraId="4ACF8B70" w14:textId="4985E378" w:rsidR="002E0229" w:rsidRDefault="00B51E6B" w:rsidP="002E0229">
            <w:pPr>
              <w:spacing w:after="200" w:line="276" w:lineRule="auto"/>
              <w:rPr>
                <w:rFonts w:eastAsia="Arial" w:cs="Arial"/>
                <w:color w:val="000000" w:themeColor="text1"/>
                <w:szCs w:val="24"/>
              </w:rPr>
            </w:pPr>
            <w:r>
              <w:rPr>
                <w:rFonts w:eastAsia="Arial" w:cs="Arial"/>
                <w:color w:val="000000" w:themeColor="text1"/>
                <w:szCs w:val="24"/>
              </w:rPr>
              <w:t>w/b 17</w:t>
            </w:r>
            <w:r w:rsidR="00BF02D5">
              <w:rPr>
                <w:rFonts w:eastAsia="Arial" w:cs="Arial"/>
                <w:color w:val="000000" w:themeColor="text1"/>
                <w:szCs w:val="24"/>
              </w:rPr>
              <w:t>/</w:t>
            </w:r>
            <w:r>
              <w:rPr>
                <w:rFonts w:eastAsia="Arial" w:cs="Arial"/>
                <w:color w:val="000000" w:themeColor="text1"/>
                <w:szCs w:val="24"/>
              </w:rPr>
              <w:t>4</w:t>
            </w:r>
            <w:r w:rsidR="00BF02D5">
              <w:rPr>
                <w:rFonts w:eastAsia="Arial" w:cs="Arial"/>
                <w:color w:val="000000" w:themeColor="text1"/>
                <w:szCs w:val="24"/>
              </w:rPr>
              <w:t>/</w:t>
            </w:r>
            <w:r>
              <w:rPr>
                <w:rFonts w:eastAsia="Arial" w:cs="Arial"/>
                <w:color w:val="000000" w:themeColor="text1"/>
                <w:szCs w:val="24"/>
              </w:rPr>
              <w:t>2</w:t>
            </w:r>
            <w:r w:rsidR="00403897">
              <w:rPr>
                <w:rFonts w:eastAsia="Arial" w:cs="Arial"/>
                <w:color w:val="000000" w:themeColor="text1"/>
                <w:szCs w:val="24"/>
              </w:rPr>
              <w:t xml:space="preserve">4 </w:t>
            </w:r>
            <w:r>
              <w:rPr>
                <w:rFonts w:eastAsia="Arial" w:cs="Arial"/>
                <w:color w:val="000000" w:themeColor="text1"/>
                <w:szCs w:val="24"/>
              </w:rPr>
              <w:t>– 16</w:t>
            </w:r>
            <w:r w:rsidR="00BF02D5">
              <w:rPr>
                <w:rFonts w:eastAsia="Arial" w:cs="Arial"/>
                <w:color w:val="000000" w:themeColor="text1"/>
                <w:szCs w:val="24"/>
              </w:rPr>
              <w:t>/</w:t>
            </w:r>
            <w:r>
              <w:rPr>
                <w:rFonts w:eastAsia="Arial" w:cs="Arial"/>
                <w:color w:val="000000" w:themeColor="text1"/>
                <w:szCs w:val="24"/>
              </w:rPr>
              <w:t>6</w:t>
            </w:r>
            <w:r w:rsidR="00BF02D5">
              <w:rPr>
                <w:rFonts w:eastAsia="Arial" w:cs="Arial"/>
                <w:color w:val="000000" w:themeColor="text1"/>
                <w:szCs w:val="24"/>
              </w:rPr>
              <w:t>/</w:t>
            </w:r>
            <w:r>
              <w:rPr>
                <w:rFonts w:eastAsia="Arial" w:cs="Arial"/>
                <w:color w:val="000000" w:themeColor="text1"/>
                <w:szCs w:val="24"/>
              </w:rPr>
              <w:t>2</w:t>
            </w:r>
            <w:r w:rsidR="00403897">
              <w:rPr>
                <w:rFonts w:eastAsia="Arial" w:cs="Arial"/>
                <w:color w:val="000000" w:themeColor="text1"/>
                <w:szCs w:val="24"/>
              </w:rPr>
              <w:t>4</w:t>
            </w:r>
            <w:r>
              <w:rPr>
                <w:rFonts w:eastAsia="Arial" w:cs="Arial"/>
                <w:color w:val="000000" w:themeColor="text1"/>
                <w:szCs w:val="24"/>
              </w:rPr>
              <w:t xml:space="preserve"> (Tues-Fri)</w:t>
            </w:r>
          </w:p>
          <w:p w14:paraId="5866D529" w14:textId="6A4357EE" w:rsidR="7874F1FC" w:rsidRDefault="7874F1FC" w:rsidP="7A81174D">
            <w:pPr>
              <w:spacing w:after="200" w:line="276" w:lineRule="auto"/>
              <w:rPr>
                <w:rFonts w:eastAsia="Arial" w:cs="Arial"/>
                <w:color w:val="000000" w:themeColor="text1"/>
              </w:rPr>
            </w:pPr>
            <w:r w:rsidRPr="7A81174D">
              <w:rPr>
                <w:rFonts w:eastAsia="Arial" w:cs="Arial"/>
                <w:color w:val="000000" w:themeColor="text1"/>
              </w:rPr>
              <w:t xml:space="preserve">Approx. </w:t>
            </w:r>
            <w:r w:rsidR="2F15E84F" w:rsidRPr="7A81174D">
              <w:rPr>
                <w:rFonts w:eastAsia="Arial" w:cs="Arial"/>
                <w:color w:val="000000" w:themeColor="text1"/>
              </w:rPr>
              <w:t>8-10</w:t>
            </w:r>
            <w:r w:rsidRPr="7A81174D">
              <w:rPr>
                <w:rFonts w:eastAsia="Arial" w:cs="Arial"/>
                <w:color w:val="000000" w:themeColor="text1"/>
              </w:rPr>
              <w:t xml:space="preserve"> hours p/w</w:t>
            </w:r>
            <w:r w:rsidR="5E32D3B6" w:rsidRPr="7A81174D">
              <w:rPr>
                <w:rFonts w:eastAsia="Arial" w:cs="Arial"/>
                <w:color w:val="000000" w:themeColor="text1"/>
              </w:rPr>
              <w:t xml:space="preserve"> by the end of the phase</w:t>
            </w:r>
            <w:r w:rsidR="60A42685" w:rsidRPr="7A81174D">
              <w:rPr>
                <w:rFonts w:eastAsia="Arial" w:cs="Arial"/>
                <w:color w:val="000000" w:themeColor="text1"/>
              </w:rPr>
              <w:t>*</w:t>
            </w:r>
          </w:p>
        </w:tc>
      </w:tr>
    </w:tbl>
    <w:p w14:paraId="341EA71A" w14:textId="10FA4A6C" w:rsidR="00E15683" w:rsidRPr="00E15683" w:rsidRDefault="7A81174D" w:rsidP="7A81174D">
      <w:pPr>
        <w:rPr>
          <w:sz w:val="22"/>
        </w:rPr>
      </w:pPr>
      <w:r w:rsidRPr="0E1E2E71">
        <w:rPr>
          <w:sz w:val="22"/>
        </w:rPr>
        <w:t xml:space="preserve">* </w:t>
      </w:r>
      <w:r w:rsidR="60A42685" w:rsidRPr="0E1E2E71">
        <w:rPr>
          <w:sz w:val="22"/>
        </w:rPr>
        <w:t>Please note these hours are approximat</w:t>
      </w:r>
      <w:r w:rsidR="62796854" w:rsidRPr="0E1E2E71">
        <w:rPr>
          <w:sz w:val="22"/>
        </w:rPr>
        <w:t xml:space="preserve">e however trainees will need to be given opportunity to amass 100 solo teaching hours and </w:t>
      </w:r>
      <w:r w:rsidR="197B6F81" w:rsidRPr="0E1E2E71">
        <w:rPr>
          <w:sz w:val="22"/>
        </w:rPr>
        <w:t>during the latter stages of their consolidation phase, should have opportunity to manage their workload in a manner akin to a</w:t>
      </w:r>
      <w:r w:rsidR="62796854" w:rsidRPr="0E1E2E71">
        <w:rPr>
          <w:sz w:val="22"/>
        </w:rPr>
        <w:t xml:space="preserve"> full-time FE</w:t>
      </w:r>
      <w:r w:rsidR="2F17C398" w:rsidRPr="0E1E2E71">
        <w:rPr>
          <w:sz w:val="22"/>
        </w:rPr>
        <w:t>T/FES</w:t>
      </w:r>
      <w:r w:rsidR="62796854" w:rsidRPr="0E1E2E71">
        <w:rPr>
          <w:sz w:val="22"/>
        </w:rPr>
        <w:t xml:space="preserve"> lecturer.</w:t>
      </w:r>
    </w:p>
    <w:tbl>
      <w:tblPr>
        <w:tblStyle w:val="TableGrid"/>
        <w:tblW w:w="141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12267"/>
      </w:tblGrid>
      <w:tr w:rsidR="00D80827" w14:paraId="6ED1EB63" w14:textId="77777777" w:rsidTr="00F56790">
        <w:trPr>
          <w:tblHeader/>
        </w:trPr>
        <w:tc>
          <w:tcPr>
            <w:tcW w:w="1878" w:type="dxa"/>
          </w:tcPr>
          <w:p w14:paraId="07757BEA" w14:textId="2C351170" w:rsidR="00D80827" w:rsidRPr="00E15683" w:rsidRDefault="00D80827" w:rsidP="00722685">
            <w:pPr>
              <w:pStyle w:val="NoSpacing"/>
              <w:rPr>
                <w:szCs w:val="24"/>
              </w:rPr>
            </w:pPr>
            <w:r>
              <w:rPr>
                <w:szCs w:val="24"/>
              </w:rPr>
              <w:lastRenderedPageBreak/>
              <w:t>Teaching expectations</w:t>
            </w:r>
          </w:p>
        </w:tc>
        <w:tc>
          <w:tcPr>
            <w:tcW w:w="12267" w:type="dxa"/>
          </w:tcPr>
          <w:p w14:paraId="2D43AD9A" w14:textId="77777777" w:rsidR="00D80827" w:rsidRDefault="00D80827" w:rsidP="009D0948">
            <w:pPr>
              <w:pStyle w:val="Default"/>
            </w:pPr>
            <w:r>
              <w:t>PGDE trainees are training to teach their subject in the FET/FES phase. On completion of their placement and an accompanying portfolio, they are eligible for QTLS once in-post.</w:t>
            </w:r>
          </w:p>
          <w:p w14:paraId="6044BE8F" w14:textId="77777777" w:rsidR="000E0B40" w:rsidRDefault="000E0B40" w:rsidP="009D0948">
            <w:pPr>
              <w:pStyle w:val="Default"/>
            </w:pPr>
          </w:p>
          <w:p w14:paraId="424E17B9" w14:textId="2324AA68" w:rsidR="000E0B40" w:rsidRDefault="000E0B40" w:rsidP="009D0948">
            <w:pPr>
              <w:pStyle w:val="Default"/>
            </w:pPr>
            <w:r>
              <w:t>At interview, PGDE trainees are asked to identify the subject (e.g. Music technology) and qualification(s) (e.g. BTEC) they are wishing to train to teach in. We are seeking placements which enable trainees to gain teaching experience in the subject and qualification(s) for which they are training</w:t>
            </w:r>
            <w:r w:rsidR="00024999">
              <w:t xml:space="preserve"> as FE teachers.</w:t>
            </w:r>
          </w:p>
          <w:p w14:paraId="5E0012FF" w14:textId="77777777" w:rsidR="000E0B40" w:rsidRDefault="000E0B40" w:rsidP="009D0948">
            <w:pPr>
              <w:pStyle w:val="Default"/>
            </w:pPr>
          </w:p>
          <w:p w14:paraId="72343BDC" w14:textId="77777777" w:rsidR="00B936E1" w:rsidRDefault="000E0B40" w:rsidP="00B936E1">
            <w:pPr>
              <w:pStyle w:val="Default"/>
            </w:pPr>
            <w:r>
              <w:t>PGDE trainees can only undertake their placement in a 6</w:t>
            </w:r>
            <w:r w:rsidRPr="33C2D2C6">
              <w:rPr>
                <w:vertAlign w:val="superscript"/>
              </w:rPr>
              <w:t>th</w:t>
            </w:r>
            <w:r>
              <w:t xml:space="preserve"> form college or a FE college/setting. They are unable to train to teach in a school with 6</w:t>
            </w:r>
            <w:r w:rsidRPr="33C2D2C6">
              <w:rPr>
                <w:vertAlign w:val="superscript"/>
              </w:rPr>
              <w:t>th</w:t>
            </w:r>
            <w:r>
              <w:t xml:space="preserve"> form.</w:t>
            </w:r>
          </w:p>
          <w:p w14:paraId="43D964E3" w14:textId="58779BF7" w:rsidR="33C2D2C6" w:rsidRDefault="33C2D2C6" w:rsidP="33C2D2C6">
            <w:pPr>
              <w:pStyle w:val="Default"/>
            </w:pPr>
          </w:p>
          <w:p w14:paraId="55B469C4" w14:textId="54C981CC" w:rsidR="7A145332" w:rsidRDefault="7A145332" w:rsidP="33C2D2C6">
            <w:pPr>
              <w:pStyle w:val="Default"/>
            </w:pPr>
            <w:r>
              <w:t xml:space="preserve">Trainees will need to be provided with a timetable Tuesday-Friday for the duration of the placement </w:t>
            </w:r>
            <w:r w:rsidR="3252A200">
              <w:t>except for</w:t>
            </w:r>
            <w:r>
              <w:t xml:space="preserve"> w/</w:t>
            </w:r>
            <w:r w:rsidR="000D2BA7">
              <w:t>b</w:t>
            </w:r>
            <w:r>
              <w:t xml:space="preserve"> 29</w:t>
            </w:r>
            <w:r w:rsidRPr="33C2D2C6">
              <w:rPr>
                <w:vertAlign w:val="superscript"/>
              </w:rPr>
              <w:t>th</w:t>
            </w:r>
            <w:r>
              <w:t xml:space="preserve"> Jan</w:t>
            </w:r>
            <w:r w:rsidR="00C120A6">
              <w:t>uary</w:t>
            </w:r>
            <w:r>
              <w:t xml:space="preserve"> and w/</w:t>
            </w:r>
            <w:r w:rsidR="000D2BA7">
              <w:t>b</w:t>
            </w:r>
            <w:r>
              <w:t xml:space="preserve"> 5</w:t>
            </w:r>
            <w:r w:rsidRPr="33C2D2C6">
              <w:rPr>
                <w:vertAlign w:val="superscript"/>
              </w:rPr>
              <w:t>th</w:t>
            </w:r>
            <w:r>
              <w:t xml:space="preserve"> Feb</w:t>
            </w:r>
            <w:r w:rsidR="00C120A6">
              <w:t>ruary</w:t>
            </w:r>
            <w:r>
              <w:t xml:space="preserve"> when they will be on an enhancement placement in another setting. They will need to be supported by their mentor during this time and a weekly curriculum will be provided to assist.</w:t>
            </w:r>
          </w:p>
          <w:p w14:paraId="21E36849" w14:textId="78A6FA45" w:rsidR="33C2D2C6" w:rsidRDefault="33C2D2C6" w:rsidP="33C2D2C6">
            <w:pPr>
              <w:pStyle w:val="Default"/>
              <w:rPr>
                <w:rFonts w:eastAsia="Arial"/>
              </w:rPr>
            </w:pPr>
          </w:p>
          <w:p w14:paraId="7C5E50A8" w14:textId="35234BCD" w:rsidR="00B936E1" w:rsidRPr="00B936E1" w:rsidRDefault="00B936E1" w:rsidP="00B936E1">
            <w:pPr>
              <w:pStyle w:val="Default"/>
            </w:pPr>
            <w:r w:rsidRPr="33C2D2C6">
              <w:rPr>
                <w:rFonts w:eastAsia="Arial"/>
              </w:rPr>
              <w:t xml:space="preserve">To support trainee workload and to allow for the purposeful integration facilitation of university teaching during placement, trainees will need to be available for online teaching delivered by the university on a Friday afternoon (between 13:00-15:00). They will need to be able to have access to </w:t>
            </w:r>
            <w:r>
              <w:t>somewhere quiet with internet access (such as a computer in a staffroom or library).</w:t>
            </w:r>
          </w:p>
          <w:p w14:paraId="053AF77C" w14:textId="1090A348" w:rsidR="33C2D2C6" w:rsidRDefault="33C2D2C6" w:rsidP="33C2D2C6">
            <w:pPr>
              <w:pStyle w:val="Default"/>
            </w:pPr>
          </w:p>
          <w:p w14:paraId="411F74D5" w14:textId="28B421AB" w:rsidR="00625440" w:rsidRDefault="00625440" w:rsidP="009D0948">
            <w:pPr>
              <w:pStyle w:val="Default"/>
            </w:pPr>
          </w:p>
        </w:tc>
      </w:tr>
      <w:tr w:rsidR="000E0B40" w14:paraId="58C2C4E9" w14:textId="77777777" w:rsidTr="00F56790">
        <w:trPr>
          <w:tblHeader/>
        </w:trPr>
        <w:tc>
          <w:tcPr>
            <w:tcW w:w="1878" w:type="dxa"/>
          </w:tcPr>
          <w:p w14:paraId="43D42F01" w14:textId="4AAAA250" w:rsidR="000E0B40" w:rsidRDefault="000E0B40" w:rsidP="00722685">
            <w:pPr>
              <w:pStyle w:val="NoSpacing"/>
              <w:rPr>
                <w:szCs w:val="24"/>
              </w:rPr>
            </w:pPr>
            <w:r>
              <w:rPr>
                <w:szCs w:val="24"/>
              </w:rPr>
              <w:t>Mentor expectations</w:t>
            </w:r>
          </w:p>
        </w:tc>
        <w:tc>
          <w:tcPr>
            <w:tcW w:w="12267" w:type="dxa"/>
          </w:tcPr>
          <w:p w14:paraId="4A1CC3F6" w14:textId="7FD59AAB" w:rsidR="00024999" w:rsidRDefault="000E0B40" w:rsidP="00024999">
            <w:pPr>
              <w:pStyle w:val="NoSpacing"/>
              <w:rPr>
                <w:sz w:val="20"/>
                <w:szCs w:val="20"/>
              </w:rPr>
            </w:pPr>
            <w:r>
              <w:t xml:space="preserve">We </w:t>
            </w:r>
            <w:r w:rsidRPr="00024999">
              <w:rPr>
                <w:szCs w:val="24"/>
              </w:rPr>
              <w:t xml:space="preserve">are seeking mentors who are expert practitioners in the subject in which the trainee is training to teach. </w:t>
            </w:r>
            <w:r w:rsidR="00024999" w:rsidRPr="00024999">
              <w:rPr>
                <w:szCs w:val="24"/>
              </w:rPr>
              <w:t xml:space="preserve"> Full mentor training is provided at the outset of the placement and Link Tutor support is provided for the duration. A subject specific ITE curriculum will be provided for </w:t>
            </w:r>
            <w:r w:rsidR="00024999">
              <w:rPr>
                <w:szCs w:val="24"/>
              </w:rPr>
              <w:t xml:space="preserve">mentors and </w:t>
            </w:r>
            <w:r w:rsidR="00024999" w:rsidRPr="00024999">
              <w:rPr>
                <w:szCs w:val="24"/>
              </w:rPr>
              <w:t xml:space="preserve">trainees to follow each week throughout </w:t>
            </w:r>
            <w:r w:rsidR="00024999">
              <w:rPr>
                <w:szCs w:val="24"/>
              </w:rPr>
              <w:t xml:space="preserve">the </w:t>
            </w:r>
            <w:r w:rsidR="00024999" w:rsidRPr="00024999">
              <w:rPr>
                <w:szCs w:val="24"/>
              </w:rPr>
              <w:t>placement.</w:t>
            </w:r>
            <w:r w:rsidR="00024999" w:rsidRPr="00661CE9">
              <w:rPr>
                <w:sz w:val="20"/>
                <w:szCs w:val="20"/>
              </w:rPr>
              <w:t xml:space="preserve"> </w:t>
            </w:r>
          </w:p>
          <w:p w14:paraId="3E1C24F6" w14:textId="4C968630" w:rsidR="000E0B40" w:rsidRDefault="000E0B40" w:rsidP="009D0948">
            <w:pPr>
              <w:pStyle w:val="Default"/>
            </w:pPr>
            <w:bookmarkStart w:id="0" w:name="_GoBack"/>
            <w:bookmarkEnd w:id="0"/>
          </w:p>
        </w:tc>
      </w:tr>
      <w:tr w:rsidR="00E15683" w14:paraId="38946468" w14:textId="77777777" w:rsidTr="00F56790">
        <w:trPr>
          <w:tblHeader/>
        </w:trPr>
        <w:tc>
          <w:tcPr>
            <w:tcW w:w="1878" w:type="dxa"/>
          </w:tcPr>
          <w:p w14:paraId="2892112D" w14:textId="405FC0FA" w:rsidR="00E15683" w:rsidRPr="00E15683" w:rsidRDefault="00E15683" w:rsidP="00722685">
            <w:pPr>
              <w:pStyle w:val="NoSpacing"/>
              <w:rPr>
                <w:szCs w:val="24"/>
              </w:rPr>
            </w:pPr>
            <w:r w:rsidRPr="00E15683">
              <w:rPr>
                <w:szCs w:val="24"/>
              </w:rPr>
              <w:lastRenderedPageBreak/>
              <w:t>Breadth of Experience</w:t>
            </w:r>
          </w:p>
        </w:tc>
        <w:tc>
          <w:tcPr>
            <w:tcW w:w="12267" w:type="dxa"/>
          </w:tcPr>
          <w:p w14:paraId="06A9BBC0" w14:textId="23C116CF" w:rsidR="00E15683" w:rsidRPr="00E15683" w:rsidRDefault="00E15683" w:rsidP="009D0948">
            <w:pPr>
              <w:pStyle w:val="Default"/>
            </w:pPr>
            <w:r>
              <w:t>During the trainees Professional Practice, it is expected that they carry out and record a range of different experiences, totalling more than 30 hours, whilst in their setting. This will include opportunities such as the observation of experienced teachers, participation in team meetings, assessment &amp; feedback involvement, attendance to open evenings, any appropriate CPD the setting offer, subject specific student intervention</w:t>
            </w:r>
            <w:r w:rsidR="52588DA8" w:rsidRPr="52588DA8">
              <w:rPr>
                <w:rFonts w:eastAsia="Arial"/>
                <w:color w:val="000000" w:themeColor="text1"/>
              </w:rPr>
              <w:t xml:space="preserve"> and any other non-teaching experience gained within the setting</w:t>
            </w:r>
            <w:r>
              <w:t xml:space="preserve">. Some aspects of breadth of experience can be carried out within the first 2 weeks of placement induction. On average BoE accounts for approximately 1.5 to 2 hours per week and </w:t>
            </w:r>
            <w:r w:rsidR="00D80827">
              <w:t>should be timetabled</w:t>
            </w:r>
            <w:r>
              <w:t xml:space="preserve"> in addition to </w:t>
            </w:r>
            <w:r w:rsidR="009D0948">
              <w:t>the teaching commitment ascribed to each phase.</w:t>
            </w:r>
          </w:p>
        </w:tc>
      </w:tr>
      <w:tr w:rsidR="00E15683" w14:paraId="20000E09" w14:textId="77777777" w:rsidTr="00F56790">
        <w:trPr>
          <w:tblHeader/>
        </w:trPr>
        <w:tc>
          <w:tcPr>
            <w:tcW w:w="1878" w:type="dxa"/>
          </w:tcPr>
          <w:p w14:paraId="49A1D43B" w14:textId="551F31CE" w:rsidR="00E15683" w:rsidRPr="00E15683" w:rsidRDefault="2F4391BD" w:rsidP="33C2D2C6">
            <w:pPr>
              <w:pStyle w:val="NoSpacing"/>
            </w:pPr>
            <w:r>
              <w:t>Enhancement in a contrasting setting</w:t>
            </w:r>
          </w:p>
        </w:tc>
        <w:tc>
          <w:tcPr>
            <w:tcW w:w="12267" w:type="dxa"/>
          </w:tcPr>
          <w:p w14:paraId="4A67A5D6" w14:textId="00DC48FF" w:rsidR="00E15683" w:rsidRPr="00E15683" w:rsidRDefault="00E15683" w:rsidP="33C2D2C6">
            <w:pPr>
              <w:rPr>
                <w:rFonts w:eastAsia="Arial" w:cs="Arial"/>
                <w:szCs w:val="24"/>
              </w:rPr>
            </w:pPr>
            <w:r w:rsidRPr="33C2D2C6">
              <w:rPr>
                <w:rFonts w:eastAsia="Arial" w:cs="Arial"/>
                <w:szCs w:val="24"/>
              </w:rPr>
              <w:t>The course is built on a single placement model, ho</w:t>
            </w:r>
            <w:r w:rsidR="58FFB20B" w:rsidRPr="33C2D2C6">
              <w:rPr>
                <w:rFonts w:eastAsia="Arial" w:cs="Arial"/>
                <w:szCs w:val="24"/>
              </w:rPr>
              <w:t>wever during the developmental phase trainees will undertake a two-week (8 day) enhancement in a contrasting setting</w:t>
            </w:r>
            <w:r w:rsidR="0CD2C985" w:rsidRPr="33C2D2C6">
              <w:rPr>
                <w:rFonts w:eastAsia="Arial" w:cs="Arial"/>
                <w:szCs w:val="24"/>
              </w:rPr>
              <w:t xml:space="preserve"> during w/</w:t>
            </w:r>
            <w:r w:rsidR="000D2BA7">
              <w:rPr>
                <w:rFonts w:eastAsia="Arial" w:cs="Arial"/>
                <w:szCs w:val="24"/>
              </w:rPr>
              <w:t>b</w:t>
            </w:r>
            <w:r w:rsidR="6B1C2BAB" w:rsidRPr="33C2D2C6">
              <w:rPr>
                <w:rFonts w:eastAsia="Arial" w:cs="Arial"/>
                <w:szCs w:val="24"/>
              </w:rPr>
              <w:t xml:space="preserve"> 29</w:t>
            </w:r>
            <w:r w:rsidR="6B1C2BAB" w:rsidRPr="33C2D2C6">
              <w:rPr>
                <w:rFonts w:eastAsia="Arial" w:cs="Arial"/>
                <w:szCs w:val="24"/>
                <w:vertAlign w:val="superscript"/>
              </w:rPr>
              <w:t>th</w:t>
            </w:r>
            <w:r w:rsidR="6B1C2BAB" w:rsidRPr="33C2D2C6">
              <w:rPr>
                <w:rFonts w:eastAsia="Arial" w:cs="Arial"/>
                <w:szCs w:val="24"/>
              </w:rPr>
              <w:t xml:space="preserve"> Jan</w:t>
            </w:r>
            <w:r w:rsidR="00C120A6">
              <w:rPr>
                <w:rFonts w:eastAsia="Arial" w:cs="Arial"/>
                <w:szCs w:val="24"/>
              </w:rPr>
              <w:t>uary</w:t>
            </w:r>
            <w:r w:rsidR="6B1C2BAB" w:rsidRPr="33C2D2C6">
              <w:rPr>
                <w:rFonts w:eastAsia="Arial" w:cs="Arial"/>
                <w:szCs w:val="24"/>
              </w:rPr>
              <w:t xml:space="preserve"> and 5</w:t>
            </w:r>
            <w:r w:rsidR="6B1C2BAB" w:rsidRPr="33C2D2C6">
              <w:rPr>
                <w:rFonts w:eastAsia="Arial" w:cs="Arial"/>
                <w:szCs w:val="24"/>
                <w:vertAlign w:val="superscript"/>
              </w:rPr>
              <w:t>th</w:t>
            </w:r>
            <w:r w:rsidR="6B1C2BAB" w:rsidRPr="33C2D2C6">
              <w:rPr>
                <w:rFonts w:eastAsia="Arial" w:cs="Arial"/>
                <w:szCs w:val="24"/>
              </w:rPr>
              <w:t xml:space="preserve"> February 2024.</w:t>
            </w:r>
            <w:r w:rsidR="58FFB20B" w:rsidRPr="33C2D2C6">
              <w:rPr>
                <w:rFonts w:eastAsia="Arial" w:cs="Arial"/>
                <w:szCs w:val="24"/>
              </w:rPr>
              <w:t xml:space="preserve"> We are seeking providers who </w:t>
            </w:r>
            <w:r w:rsidR="4CD07269" w:rsidRPr="33C2D2C6">
              <w:rPr>
                <w:rFonts w:eastAsia="Arial" w:cs="Arial"/>
                <w:szCs w:val="24"/>
              </w:rPr>
              <w:t>can</w:t>
            </w:r>
            <w:r w:rsidR="58FFB20B" w:rsidRPr="33C2D2C6">
              <w:rPr>
                <w:rFonts w:eastAsia="Arial" w:cs="Arial"/>
                <w:szCs w:val="24"/>
              </w:rPr>
              <w:t xml:space="preserve"> accommodate </w:t>
            </w:r>
            <w:r w:rsidR="6594CAD4" w:rsidRPr="33C2D2C6">
              <w:rPr>
                <w:rFonts w:eastAsia="Arial" w:cs="Arial"/>
                <w:szCs w:val="24"/>
              </w:rPr>
              <w:t>several</w:t>
            </w:r>
            <w:r w:rsidR="58FFB20B" w:rsidRPr="33C2D2C6">
              <w:rPr>
                <w:rFonts w:eastAsia="Arial" w:cs="Arial"/>
                <w:szCs w:val="24"/>
              </w:rPr>
              <w:t xml:space="preserve"> trainees</w:t>
            </w:r>
            <w:r w:rsidR="73EBF5A7" w:rsidRPr="33C2D2C6">
              <w:rPr>
                <w:rFonts w:eastAsia="Arial" w:cs="Arial"/>
                <w:szCs w:val="24"/>
              </w:rPr>
              <w:t xml:space="preserve"> </w:t>
            </w:r>
            <w:r w:rsidR="58FFB20B" w:rsidRPr="33C2D2C6">
              <w:rPr>
                <w:rFonts w:eastAsia="Arial" w:cs="Arial"/>
                <w:szCs w:val="24"/>
              </w:rPr>
              <w:t xml:space="preserve">and who are able to provide one or more of the following </w:t>
            </w:r>
            <w:r w:rsidR="17A4973D" w:rsidRPr="33C2D2C6">
              <w:rPr>
                <w:rFonts w:eastAsia="Arial" w:cs="Arial"/>
                <w:szCs w:val="24"/>
              </w:rPr>
              <w:t>opportunities:</w:t>
            </w:r>
          </w:p>
          <w:p w14:paraId="616DEA84" w14:textId="43BF1254" w:rsidR="00E15683" w:rsidRPr="00E15683" w:rsidRDefault="17A4973D" w:rsidP="33C2D2C6">
            <w:pPr>
              <w:pStyle w:val="ListParagraph"/>
              <w:numPr>
                <w:ilvl w:val="0"/>
                <w:numId w:val="1"/>
              </w:numPr>
              <w:rPr>
                <w:rFonts w:eastAsia="Arial" w:cs="Arial"/>
                <w:color w:val="212121"/>
                <w:szCs w:val="24"/>
              </w:rPr>
            </w:pPr>
            <w:r w:rsidRPr="33C2D2C6">
              <w:rPr>
                <w:rFonts w:eastAsia="Arial" w:cs="Arial"/>
                <w:color w:val="212121"/>
                <w:szCs w:val="24"/>
              </w:rPr>
              <w:t>Opportunities for trainees to d</w:t>
            </w:r>
            <w:r w:rsidR="58FFB20B" w:rsidRPr="33C2D2C6">
              <w:rPr>
                <w:rFonts w:eastAsia="Arial" w:cs="Arial"/>
                <w:color w:val="212121"/>
                <w:szCs w:val="24"/>
              </w:rPr>
              <w:t>evelop their skills of behaviour management</w:t>
            </w:r>
            <w:r w:rsidR="4FE2E60A" w:rsidRPr="33C2D2C6">
              <w:rPr>
                <w:rFonts w:eastAsia="Arial" w:cs="Arial"/>
                <w:color w:val="212121"/>
                <w:szCs w:val="24"/>
              </w:rPr>
              <w:t xml:space="preserve"> and learning in functional skills</w:t>
            </w:r>
            <w:r w:rsidR="56497C6E" w:rsidRPr="33C2D2C6">
              <w:rPr>
                <w:rFonts w:eastAsia="Arial" w:cs="Arial"/>
                <w:color w:val="212121"/>
                <w:szCs w:val="24"/>
              </w:rPr>
              <w:t xml:space="preserve"> via observations and acting as in-class support.</w:t>
            </w:r>
          </w:p>
          <w:p w14:paraId="3B7B8C4F" w14:textId="49EBA4A0" w:rsidR="00E15683" w:rsidRPr="00E15683" w:rsidRDefault="4FE2E60A" w:rsidP="33C2D2C6">
            <w:pPr>
              <w:pStyle w:val="ListParagraph"/>
              <w:numPr>
                <w:ilvl w:val="0"/>
                <w:numId w:val="1"/>
              </w:numPr>
              <w:rPr>
                <w:rFonts w:eastAsia="Arial" w:cs="Arial"/>
                <w:color w:val="212121"/>
                <w:szCs w:val="24"/>
              </w:rPr>
            </w:pPr>
            <w:r w:rsidRPr="33C2D2C6">
              <w:rPr>
                <w:rFonts w:eastAsia="Arial" w:cs="Arial"/>
                <w:color w:val="212121"/>
                <w:szCs w:val="24"/>
              </w:rPr>
              <w:t>Opportunities for trainees to d</w:t>
            </w:r>
            <w:r w:rsidR="58FFB20B" w:rsidRPr="33C2D2C6">
              <w:rPr>
                <w:rFonts w:eastAsia="Arial" w:cs="Arial"/>
                <w:color w:val="212121"/>
                <w:szCs w:val="24"/>
              </w:rPr>
              <w:t xml:space="preserve">evelop their understanding of the FE sector </w:t>
            </w:r>
            <w:r w:rsidR="510BCCB8" w:rsidRPr="33C2D2C6">
              <w:rPr>
                <w:rFonts w:eastAsia="Arial" w:cs="Arial"/>
                <w:color w:val="212121"/>
                <w:szCs w:val="24"/>
              </w:rPr>
              <w:t xml:space="preserve">by </w:t>
            </w:r>
            <w:r w:rsidR="58FFB20B" w:rsidRPr="33C2D2C6">
              <w:rPr>
                <w:rFonts w:eastAsia="Arial" w:cs="Arial"/>
                <w:color w:val="212121"/>
                <w:szCs w:val="24"/>
              </w:rPr>
              <w:t>observing vocational subjects such as plumbing, hairdressing, bricklaying etc</w:t>
            </w:r>
            <w:r w:rsidR="7C07A9BA" w:rsidRPr="33C2D2C6">
              <w:rPr>
                <w:rFonts w:eastAsia="Arial" w:cs="Arial"/>
                <w:color w:val="212121"/>
                <w:szCs w:val="24"/>
              </w:rPr>
              <w:t xml:space="preserve"> via observation and acting as in-class support.</w:t>
            </w:r>
          </w:p>
          <w:p w14:paraId="6EFD426F" w14:textId="365A0ACA" w:rsidR="00E15683" w:rsidRPr="00E15683" w:rsidRDefault="7C07A9BA" w:rsidP="33C2D2C6">
            <w:pPr>
              <w:pStyle w:val="ListParagraph"/>
              <w:numPr>
                <w:ilvl w:val="0"/>
                <w:numId w:val="1"/>
              </w:numPr>
              <w:rPr>
                <w:rFonts w:eastAsia="Arial" w:cs="Arial"/>
                <w:color w:val="212121"/>
                <w:szCs w:val="24"/>
              </w:rPr>
            </w:pPr>
            <w:r w:rsidRPr="33C2D2C6">
              <w:rPr>
                <w:rFonts w:eastAsia="Arial" w:cs="Arial"/>
                <w:color w:val="212121"/>
                <w:szCs w:val="24"/>
              </w:rPr>
              <w:t>Opportunities for trainees to d</w:t>
            </w:r>
            <w:r w:rsidR="58FFB20B" w:rsidRPr="33C2D2C6">
              <w:rPr>
                <w:rFonts w:eastAsia="Arial" w:cs="Arial"/>
                <w:color w:val="212121"/>
                <w:szCs w:val="24"/>
              </w:rPr>
              <w:t>evelop their knowledge and understanding</w:t>
            </w:r>
            <w:r w:rsidR="359BEF07" w:rsidRPr="33C2D2C6">
              <w:rPr>
                <w:rFonts w:eastAsia="Arial" w:cs="Arial"/>
                <w:color w:val="212121"/>
                <w:szCs w:val="24"/>
              </w:rPr>
              <w:t xml:space="preserve"> of their subject</w:t>
            </w:r>
            <w:r w:rsidR="58FFB20B" w:rsidRPr="33C2D2C6">
              <w:rPr>
                <w:rFonts w:eastAsia="Arial" w:cs="Arial"/>
                <w:color w:val="212121"/>
                <w:szCs w:val="24"/>
              </w:rPr>
              <w:t xml:space="preserve"> in a </w:t>
            </w:r>
            <w:r w:rsidR="3E8A8AB2" w:rsidRPr="33C2D2C6">
              <w:rPr>
                <w:rFonts w:eastAsia="Arial" w:cs="Arial"/>
                <w:color w:val="212121"/>
                <w:szCs w:val="24"/>
              </w:rPr>
              <w:t xml:space="preserve">school </w:t>
            </w:r>
            <w:r w:rsidR="58FFB20B" w:rsidRPr="33C2D2C6">
              <w:rPr>
                <w:rFonts w:eastAsia="Arial" w:cs="Arial"/>
                <w:color w:val="212121"/>
                <w:szCs w:val="24"/>
              </w:rPr>
              <w:t>6</w:t>
            </w:r>
            <w:r w:rsidR="58FFB20B" w:rsidRPr="33C2D2C6">
              <w:rPr>
                <w:rFonts w:eastAsia="Arial" w:cs="Arial"/>
                <w:color w:val="212121"/>
                <w:szCs w:val="24"/>
                <w:vertAlign w:val="superscript"/>
              </w:rPr>
              <w:t>th</w:t>
            </w:r>
            <w:r w:rsidR="58FFB20B" w:rsidRPr="33C2D2C6">
              <w:rPr>
                <w:rFonts w:eastAsia="Arial" w:cs="Arial"/>
                <w:color w:val="212121"/>
                <w:szCs w:val="24"/>
              </w:rPr>
              <w:t xml:space="preserve"> form setting</w:t>
            </w:r>
            <w:r w:rsidR="622B9F03" w:rsidRPr="33C2D2C6">
              <w:rPr>
                <w:rFonts w:eastAsia="Arial" w:cs="Arial"/>
                <w:color w:val="212121"/>
                <w:szCs w:val="24"/>
              </w:rPr>
              <w:t xml:space="preserve"> </w:t>
            </w:r>
            <w:r w:rsidR="58FFB20B" w:rsidRPr="33C2D2C6">
              <w:rPr>
                <w:rFonts w:eastAsia="Arial" w:cs="Arial"/>
                <w:color w:val="212121"/>
                <w:szCs w:val="24"/>
              </w:rPr>
              <w:t>with a focus on observing the teaching of their subject in a school 6</w:t>
            </w:r>
            <w:r w:rsidR="58FFB20B" w:rsidRPr="33C2D2C6">
              <w:rPr>
                <w:rFonts w:eastAsia="Arial" w:cs="Arial"/>
                <w:color w:val="212121"/>
                <w:szCs w:val="24"/>
                <w:vertAlign w:val="superscript"/>
              </w:rPr>
              <w:t>th</w:t>
            </w:r>
            <w:r w:rsidR="58FFB20B" w:rsidRPr="33C2D2C6">
              <w:rPr>
                <w:rFonts w:eastAsia="Arial" w:cs="Arial"/>
                <w:color w:val="212121"/>
                <w:szCs w:val="24"/>
              </w:rPr>
              <w:t xml:space="preserve"> form environment</w:t>
            </w:r>
          </w:p>
          <w:p w14:paraId="6057B678" w14:textId="5C086F48" w:rsidR="00E15683" w:rsidRPr="00E15683" w:rsidRDefault="6DDA3DD4" w:rsidP="33C2D2C6">
            <w:pPr>
              <w:spacing w:after="200" w:line="276" w:lineRule="auto"/>
              <w:rPr>
                <w:rFonts w:eastAsia="Arial" w:cs="Arial"/>
                <w:color w:val="212121"/>
                <w:szCs w:val="24"/>
              </w:rPr>
            </w:pPr>
            <w:r w:rsidRPr="33C2D2C6">
              <w:rPr>
                <w:rFonts w:eastAsia="Arial" w:cs="Arial"/>
                <w:color w:val="212121"/>
                <w:szCs w:val="24"/>
              </w:rPr>
              <w:t>Trainees undertaking an enhancement would not be expected to undertake any teaching</w:t>
            </w:r>
            <w:r w:rsidR="6A1AF7C5" w:rsidRPr="33C2D2C6">
              <w:rPr>
                <w:rFonts w:eastAsia="Arial" w:cs="Arial"/>
                <w:color w:val="212121"/>
                <w:szCs w:val="24"/>
              </w:rPr>
              <w:t>, guidance would be provided for the two weeks</w:t>
            </w:r>
            <w:r w:rsidRPr="33C2D2C6">
              <w:rPr>
                <w:rFonts w:eastAsia="Arial" w:cs="Arial"/>
                <w:color w:val="212121"/>
                <w:szCs w:val="24"/>
              </w:rPr>
              <w:t xml:space="preserve"> and all mentoring support would be provided by Edge Hill tutors. </w:t>
            </w:r>
            <w:r w:rsidR="3E3208E6" w:rsidRPr="33C2D2C6">
              <w:rPr>
                <w:rFonts w:eastAsia="Arial" w:cs="Arial"/>
                <w:color w:val="212121"/>
                <w:szCs w:val="24"/>
              </w:rPr>
              <w:t xml:space="preserve">Hours amassed during the </w:t>
            </w:r>
            <w:r w:rsidR="34703D94" w:rsidRPr="33C2D2C6">
              <w:rPr>
                <w:rFonts w:eastAsia="Arial" w:cs="Arial"/>
                <w:color w:val="212121"/>
                <w:szCs w:val="24"/>
              </w:rPr>
              <w:t xml:space="preserve">enhancement will count towards the trainees Breadth of Experience hours required for their QTLS eligibility. </w:t>
            </w:r>
          </w:p>
        </w:tc>
      </w:tr>
      <w:tr w:rsidR="00E15683" w14:paraId="1060957C" w14:textId="77777777" w:rsidTr="33C2D2C6">
        <w:tc>
          <w:tcPr>
            <w:tcW w:w="1878" w:type="dxa"/>
          </w:tcPr>
          <w:p w14:paraId="11868514" w14:textId="7EC3337C" w:rsidR="00E15683" w:rsidRPr="00E15683" w:rsidRDefault="00E15683" w:rsidP="00E15683">
            <w:pPr>
              <w:pStyle w:val="NoSpacing"/>
              <w:rPr>
                <w:szCs w:val="24"/>
              </w:rPr>
            </w:pPr>
            <w:r w:rsidRPr="00E15683">
              <w:rPr>
                <w:szCs w:val="24"/>
              </w:rPr>
              <w:t>Subjects</w:t>
            </w:r>
          </w:p>
        </w:tc>
        <w:tc>
          <w:tcPr>
            <w:tcW w:w="12267" w:type="dxa"/>
          </w:tcPr>
          <w:p w14:paraId="48C97DEF" w14:textId="5559589C" w:rsidR="00E15683" w:rsidRPr="00E15683" w:rsidRDefault="00E15683" w:rsidP="00E15683">
            <w:pPr>
              <w:pStyle w:val="Default"/>
            </w:pPr>
            <w:r>
              <w:t xml:space="preserve">The PGDE Post-14 Education offers a diverse range of subject specialisms, which include Performing Arts (dance, drama, music and musical theatre), Sports, and Art / Design through to the Core Sciences, Psychology and Sociology. </w:t>
            </w:r>
          </w:p>
          <w:p w14:paraId="54F58662" w14:textId="1CF47B58" w:rsidR="00E15683" w:rsidRPr="00E15683" w:rsidRDefault="00E15683" w:rsidP="00E15683">
            <w:pPr>
              <w:pStyle w:val="Default"/>
            </w:pPr>
            <w:r>
              <w:t xml:space="preserve">If prospective </w:t>
            </w:r>
            <w:r w:rsidR="00B92D74">
              <w:t>partners</w:t>
            </w:r>
            <w:r>
              <w:t xml:space="preserve"> have any questions about their subject area, please contact the </w:t>
            </w:r>
            <w:r w:rsidR="00D80827">
              <w:t xml:space="preserve">Acting Course Lead Peter </w:t>
            </w:r>
            <w:proofErr w:type="spellStart"/>
            <w:r w:rsidR="00D80827">
              <w:t>Cranie</w:t>
            </w:r>
            <w:proofErr w:type="spellEnd"/>
            <w:r w:rsidR="00D80827">
              <w:t xml:space="preserve"> </w:t>
            </w:r>
            <w:hyperlink r:id="rId10" w:history="1">
              <w:r w:rsidR="00D80827" w:rsidRPr="00593CA6">
                <w:rPr>
                  <w:rStyle w:val="Hyperlink"/>
                </w:rPr>
                <w:t>craniep@edgehill.ac.uk</w:t>
              </w:r>
            </w:hyperlink>
            <w:r w:rsidR="00D80827">
              <w:t xml:space="preserve"> </w:t>
            </w:r>
            <w:r>
              <w:t xml:space="preserve"> </w:t>
            </w:r>
          </w:p>
          <w:p w14:paraId="70ABF846" w14:textId="77777777" w:rsidR="00E15683" w:rsidRPr="00E15683" w:rsidRDefault="00E15683" w:rsidP="00E15683">
            <w:pPr>
              <w:pStyle w:val="Default"/>
            </w:pPr>
          </w:p>
        </w:tc>
      </w:tr>
    </w:tbl>
    <w:p w14:paraId="61B1E5E9" w14:textId="178E8928" w:rsidR="00A908B3" w:rsidRDefault="00A908B3" w:rsidP="00722685">
      <w:pPr>
        <w:pStyle w:val="NoSpacing"/>
      </w:pPr>
    </w:p>
    <w:sectPr w:rsidR="00A908B3" w:rsidSect="000E0B4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DD63A" w14:textId="77777777" w:rsidR="008D6BC7" w:rsidRDefault="008D6BC7" w:rsidP="00A908B3">
      <w:pPr>
        <w:spacing w:after="0" w:line="240" w:lineRule="auto"/>
      </w:pPr>
      <w:r>
        <w:separator/>
      </w:r>
    </w:p>
  </w:endnote>
  <w:endnote w:type="continuationSeparator" w:id="0">
    <w:p w14:paraId="5C1D215B" w14:textId="77777777" w:rsidR="008D6BC7" w:rsidRDefault="008D6BC7"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B044" w14:textId="77777777" w:rsidR="008D6BC7" w:rsidRDefault="008D6BC7" w:rsidP="00A908B3">
      <w:pPr>
        <w:spacing w:after="0" w:line="240" w:lineRule="auto"/>
      </w:pPr>
      <w:r>
        <w:separator/>
      </w:r>
    </w:p>
  </w:footnote>
  <w:footnote w:type="continuationSeparator" w:id="0">
    <w:p w14:paraId="59C85E60" w14:textId="77777777" w:rsidR="008D6BC7" w:rsidRDefault="008D6BC7"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46C6" w14:textId="296C50EF" w:rsidR="00A908B3" w:rsidRDefault="00920A22">
    <w:pPr>
      <w:pStyle w:val="Header"/>
    </w:pPr>
    <w:r>
      <w:rPr>
        <w:noProof/>
      </w:rPr>
      <w:drawing>
        <wp:anchor distT="0" distB="0" distL="114300" distR="114300" simplePos="0" relativeHeight="251658240" behindDoc="0" locked="0" layoutInCell="1" allowOverlap="1" wp14:anchorId="0F5A2531" wp14:editId="6E1918C3">
          <wp:simplePos x="0" y="0"/>
          <wp:positionH relativeFrom="page">
            <wp:posOffset>4999990</wp:posOffset>
          </wp:positionH>
          <wp:positionV relativeFrom="paragraph">
            <wp:posOffset>-330007</wp:posOffset>
          </wp:positionV>
          <wp:extent cx="2560320"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572770"/>
                  </a:xfrm>
                  <a:prstGeom prst="rect">
                    <a:avLst/>
                  </a:prstGeom>
                  <a:noFill/>
                  <a:ln>
                    <a:noFill/>
                  </a:ln>
                </pic:spPr>
              </pic:pic>
            </a:graphicData>
          </a:graphic>
        </wp:anchor>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858C"/>
    <w:multiLevelType w:val="hybridMultilevel"/>
    <w:tmpl w:val="F7EA976E"/>
    <w:lvl w:ilvl="0" w:tplc="D8B68130">
      <w:start w:val="1"/>
      <w:numFmt w:val="bullet"/>
      <w:lvlText w:val=""/>
      <w:lvlJc w:val="left"/>
      <w:pPr>
        <w:ind w:left="720" w:hanging="360"/>
      </w:pPr>
      <w:rPr>
        <w:rFonts w:ascii="Symbol" w:hAnsi="Symbol" w:hint="default"/>
      </w:rPr>
    </w:lvl>
    <w:lvl w:ilvl="1" w:tplc="74CA02B8">
      <w:start w:val="1"/>
      <w:numFmt w:val="bullet"/>
      <w:lvlText w:val="o"/>
      <w:lvlJc w:val="left"/>
      <w:pPr>
        <w:ind w:left="1440" w:hanging="360"/>
      </w:pPr>
      <w:rPr>
        <w:rFonts w:ascii="Courier New" w:hAnsi="Courier New" w:hint="default"/>
      </w:rPr>
    </w:lvl>
    <w:lvl w:ilvl="2" w:tplc="8D2E9A02">
      <w:start w:val="1"/>
      <w:numFmt w:val="bullet"/>
      <w:lvlText w:val=""/>
      <w:lvlJc w:val="left"/>
      <w:pPr>
        <w:ind w:left="2160" w:hanging="360"/>
      </w:pPr>
      <w:rPr>
        <w:rFonts w:ascii="Wingdings" w:hAnsi="Wingdings" w:hint="default"/>
      </w:rPr>
    </w:lvl>
    <w:lvl w:ilvl="3" w:tplc="D32CDC10">
      <w:start w:val="1"/>
      <w:numFmt w:val="bullet"/>
      <w:lvlText w:val=""/>
      <w:lvlJc w:val="left"/>
      <w:pPr>
        <w:ind w:left="2880" w:hanging="360"/>
      </w:pPr>
      <w:rPr>
        <w:rFonts w:ascii="Symbol" w:hAnsi="Symbol" w:hint="default"/>
      </w:rPr>
    </w:lvl>
    <w:lvl w:ilvl="4" w:tplc="D89A318C">
      <w:start w:val="1"/>
      <w:numFmt w:val="bullet"/>
      <w:lvlText w:val="o"/>
      <w:lvlJc w:val="left"/>
      <w:pPr>
        <w:ind w:left="3600" w:hanging="360"/>
      </w:pPr>
      <w:rPr>
        <w:rFonts w:ascii="Courier New" w:hAnsi="Courier New" w:hint="default"/>
      </w:rPr>
    </w:lvl>
    <w:lvl w:ilvl="5" w:tplc="2FDEBAA6">
      <w:start w:val="1"/>
      <w:numFmt w:val="bullet"/>
      <w:lvlText w:val=""/>
      <w:lvlJc w:val="left"/>
      <w:pPr>
        <w:ind w:left="4320" w:hanging="360"/>
      </w:pPr>
      <w:rPr>
        <w:rFonts w:ascii="Wingdings" w:hAnsi="Wingdings" w:hint="default"/>
      </w:rPr>
    </w:lvl>
    <w:lvl w:ilvl="6" w:tplc="F0E05C2A">
      <w:start w:val="1"/>
      <w:numFmt w:val="bullet"/>
      <w:lvlText w:val=""/>
      <w:lvlJc w:val="left"/>
      <w:pPr>
        <w:ind w:left="5040" w:hanging="360"/>
      </w:pPr>
      <w:rPr>
        <w:rFonts w:ascii="Symbol" w:hAnsi="Symbol" w:hint="default"/>
      </w:rPr>
    </w:lvl>
    <w:lvl w:ilvl="7" w:tplc="281073AA">
      <w:start w:val="1"/>
      <w:numFmt w:val="bullet"/>
      <w:lvlText w:val="o"/>
      <w:lvlJc w:val="left"/>
      <w:pPr>
        <w:ind w:left="5760" w:hanging="360"/>
      </w:pPr>
      <w:rPr>
        <w:rFonts w:ascii="Courier New" w:hAnsi="Courier New" w:hint="default"/>
      </w:rPr>
    </w:lvl>
    <w:lvl w:ilvl="8" w:tplc="D2246972">
      <w:start w:val="1"/>
      <w:numFmt w:val="bullet"/>
      <w:lvlText w:val=""/>
      <w:lvlJc w:val="left"/>
      <w:pPr>
        <w:ind w:left="6480" w:hanging="360"/>
      </w:pPr>
      <w:rPr>
        <w:rFonts w:ascii="Wingdings" w:hAnsi="Wingdings" w:hint="default"/>
      </w:rPr>
    </w:lvl>
  </w:abstractNum>
  <w:abstractNum w:abstractNumId="1" w15:restartNumberingAfterBreak="0">
    <w:nsid w:val="7ECFC0B5"/>
    <w:multiLevelType w:val="hybridMultilevel"/>
    <w:tmpl w:val="C9E6199A"/>
    <w:lvl w:ilvl="0" w:tplc="B2423B0A">
      <w:start w:val="1"/>
      <w:numFmt w:val="decimal"/>
      <w:lvlText w:val="%1."/>
      <w:lvlJc w:val="left"/>
      <w:pPr>
        <w:ind w:left="720" w:hanging="360"/>
      </w:pPr>
    </w:lvl>
    <w:lvl w:ilvl="1" w:tplc="36D02424">
      <w:start w:val="1"/>
      <w:numFmt w:val="lowerLetter"/>
      <w:lvlText w:val="%2."/>
      <w:lvlJc w:val="left"/>
      <w:pPr>
        <w:ind w:left="1440" w:hanging="360"/>
      </w:pPr>
    </w:lvl>
    <w:lvl w:ilvl="2" w:tplc="D2C8BD04">
      <w:start w:val="1"/>
      <w:numFmt w:val="lowerRoman"/>
      <w:lvlText w:val="%3."/>
      <w:lvlJc w:val="right"/>
      <w:pPr>
        <w:ind w:left="2160" w:hanging="180"/>
      </w:pPr>
    </w:lvl>
    <w:lvl w:ilvl="3" w:tplc="CC4C1260">
      <w:start w:val="1"/>
      <w:numFmt w:val="decimal"/>
      <w:lvlText w:val="%4."/>
      <w:lvlJc w:val="left"/>
      <w:pPr>
        <w:ind w:left="2880" w:hanging="360"/>
      </w:pPr>
    </w:lvl>
    <w:lvl w:ilvl="4" w:tplc="59684F86">
      <w:start w:val="1"/>
      <w:numFmt w:val="lowerLetter"/>
      <w:lvlText w:val="%5."/>
      <w:lvlJc w:val="left"/>
      <w:pPr>
        <w:ind w:left="3600" w:hanging="360"/>
      </w:pPr>
    </w:lvl>
    <w:lvl w:ilvl="5" w:tplc="1EB69662">
      <w:start w:val="1"/>
      <w:numFmt w:val="lowerRoman"/>
      <w:lvlText w:val="%6."/>
      <w:lvlJc w:val="right"/>
      <w:pPr>
        <w:ind w:left="4320" w:hanging="180"/>
      </w:pPr>
    </w:lvl>
    <w:lvl w:ilvl="6" w:tplc="AFF600BC">
      <w:start w:val="1"/>
      <w:numFmt w:val="decimal"/>
      <w:lvlText w:val="%7."/>
      <w:lvlJc w:val="left"/>
      <w:pPr>
        <w:ind w:left="5040" w:hanging="360"/>
      </w:pPr>
    </w:lvl>
    <w:lvl w:ilvl="7" w:tplc="8A0EC354">
      <w:start w:val="1"/>
      <w:numFmt w:val="lowerLetter"/>
      <w:lvlText w:val="%8."/>
      <w:lvlJc w:val="left"/>
      <w:pPr>
        <w:ind w:left="5760" w:hanging="360"/>
      </w:pPr>
    </w:lvl>
    <w:lvl w:ilvl="8" w:tplc="28EEA65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999"/>
    <w:rsid w:val="0007163C"/>
    <w:rsid w:val="000A2EDE"/>
    <w:rsid w:val="000D2BA7"/>
    <w:rsid w:val="000E0B40"/>
    <w:rsid w:val="000F3143"/>
    <w:rsid w:val="000F4049"/>
    <w:rsid w:val="00167CAC"/>
    <w:rsid w:val="00210B9C"/>
    <w:rsid w:val="00212249"/>
    <w:rsid w:val="00224460"/>
    <w:rsid w:val="00243CE6"/>
    <w:rsid w:val="002759B1"/>
    <w:rsid w:val="002A0F17"/>
    <w:rsid w:val="002CB804"/>
    <w:rsid w:val="002E0229"/>
    <w:rsid w:val="003126BA"/>
    <w:rsid w:val="0039304B"/>
    <w:rsid w:val="00403897"/>
    <w:rsid w:val="00493303"/>
    <w:rsid w:val="004954FE"/>
    <w:rsid w:val="004B42F8"/>
    <w:rsid w:val="004E373B"/>
    <w:rsid w:val="00501D4F"/>
    <w:rsid w:val="00625440"/>
    <w:rsid w:val="0066DB85"/>
    <w:rsid w:val="00722685"/>
    <w:rsid w:val="008B0A3D"/>
    <w:rsid w:val="008D6BC7"/>
    <w:rsid w:val="00920A22"/>
    <w:rsid w:val="00947E9D"/>
    <w:rsid w:val="00971F84"/>
    <w:rsid w:val="009D0948"/>
    <w:rsid w:val="00A908B3"/>
    <w:rsid w:val="00B51E6B"/>
    <w:rsid w:val="00B66934"/>
    <w:rsid w:val="00B92D74"/>
    <w:rsid w:val="00B936E1"/>
    <w:rsid w:val="00BC78D5"/>
    <w:rsid w:val="00BF02D5"/>
    <w:rsid w:val="00C120A6"/>
    <w:rsid w:val="00C448C5"/>
    <w:rsid w:val="00CF75EE"/>
    <w:rsid w:val="00D80827"/>
    <w:rsid w:val="00E15683"/>
    <w:rsid w:val="00EA05F0"/>
    <w:rsid w:val="00ED5935"/>
    <w:rsid w:val="00F56790"/>
    <w:rsid w:val="00F72332"/>
    <w:rsid w:val="00FD332D"/>
    <w:rsid w:val="01C88865"/>
    <w:rsid w:val="0342AC66"/>
    <w:rsid w:val="0439AFAD"/>
    <w:rsid w:val="0837C9E9"/>
    <w:rsid w:val="0CD2C985"/>
    <w:rsid w:val="0E1E2E71"/>
    <w:rsid w:val="104546D1"/>
    <w:rsid w:val="1120203B"/>
    <w:rsid w:val="11E11732"/>
    <w:rsid w:val="11F2CD4B"/>
    <w:rsid w:val="17A4973D"/>
    <w:rsid w:val="197B6F81"/>
    <w:rsid w:val="1A4865C5"/>
    <w:rsid w:val="1ADDCFBC"/>
    <w:rsid w:val="1FD24380"/>
    <w:rsid w:val="22CF6A8F"/>
    <w:rsid w:val="27812F52"/>
    <w:rsid w:val="29B67C21"/>
    <w:rsid w:val="2B524C82"/>
    <w:rsid w:val="2CEE1CE3"/>
    <w:rsid w:val="2D539142"/>
    <w:rsid w:val="2F15E84F"/>
    <w:rsid w:val="2F17C398"/>
    <w:rsid w:val="2F4391BD"/>
    <w:rsid w:val="3025BDA5"/>
    <w:rsid w:val="308B3204"/>
    <w:rsid w:val="311A6A01"/>
    <w:rsid w:val="31C18E06"/>
    <w:rsid w:val="3252A200"/>
    <w:rsid w:val="32B2A722"/>
    <w:rsid w:val="32D45382"/>
    <w:rsid w:val="33C2D2C6"/>
    <w:rsid w:val="344E7783"/>
    <w:rsid w:val="34703D94"/>
    <w:rsid w:val="359BEF07"/>
    <w:rsid w:val="360BF444"/>
    <w:rsid w:val="3ABDB907"/>
    <w:rsid w:val="3C96C928"/>
    <w:rsid w:val="3E25A39E"/>
    <w:rsid w:val="3E3208E6"/>
    <w:rsid w:val="3E8A8AB2"/>
    <w:rsid w:val="3F054699"/>
    <w:rsid w:val="3FB2D68A"/>
    <w:rsid w:val="42C8CAEC"/>
    <w:rsid w:val="44649B4D"/>
    <w:rsid w:val="46006BAE"/>
    <w:rsid w:val="486CDF35"/>
    <w:rsid w:val="48EBCEE3"/>
    <w:rsid w:val="4B735BC8"/>
    <w:rsid w:val="4CD07269"/>
    <w:rsid w:val="4D6BF428"/>
    <w:rsid w:val="4F5B6699"/>
    <w:rsid w:val="4FE2E60A"/>
    <w:rsid w:val="50A394EA"/>
    <w:rsid w:val="510BCCB8"/>
    <w:rsid w:val="5131E37E"/>
    <w:rsid w:val="521DB8EB"/>
    <w:rsid w:val="52588DA8"/>
    <w:rsid w:val="5482AC9D"/>
    <w:rsid w:val="561E7CFE"/>
    <w:rsid w:val="56497C6E"/>
    <w:rsid w:val="580143FA"/>
    <w:rsid w:val="58FFB20B"/>
    <w:rsid w:val="5C773FFC"/>
    <w:rsid w:val="5E32D3B6"/>
    <w:rsid w:val="60A42685"/>
    <w:rsid w:val="614AB11F"/>
    <w:rsid w:val="622B9F03"/>
    <w:rsid w:val="62796854"/>
    <w:rsid w:val="63D79A9C"/>
    <w:rsid w:val="6594CAD4"/>
    <w:rsid w:val="66F0CF52"/>
    <w:rsid w:val="672EA08C"/>
    <w:rsid w:val="6A1AF7C5"/>
    <w:rsid w:val="6A688880"/>
    <w:rsid w:val="6B1C2BAB"/>
    <w:rsid w:val="6C0458E1"/>
    <w:rsid w:val="6DDA3DD4"/>
    <w:rsid w:val="73687F9B"/>
    <w:rsid w:val="73EBF5A7"/>
    <w:rsid w:val="75D884A0"/>
    <w:rsid w:val="7821A61E"/>
    <w:rsid w:val="7874F1FC"/>
    <w:rsid w:val="78CDE219"/>
    <w:rsid w:val="79902110"/>
    <w:rsid w:val="7A145332"/>
    <w:rsid w:val="7A81174D"/>
    <w:rsid w:val="7A92CD66"/>
    <w:rsid w:val="7C07A9BA"/>
    <w:rsid w:val="7D9F8FB2"/>
    <w:rsid w:val="7DBF404E"/>
    <w:rsid w:val="7DCA6E28"/>
    <w:rsid w:val="7E6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12249"/>
    <w:rPr>
      <w:sz w:val="16"/>
      <w:szCs w:val="16"/>
    </w:rPr>
  </w:style>
  <w:style w:type="paragraph" w:styleId="CommentText">
    <w:name w:val="annotation text"/>
    <w:basedOn w:val="Normal"/>
    <w:link w:val="CommentTextChar"/>
    <w:uiPriority w:val="99"/>
    <w:unhideWhenUsed/>
    <w:rsid w:val="00212249"/>
    <w:pPr>
      <w:spacing w:line="240" w:lineRule="auto"/>
    </w:pPr>
    <w:rPr>
      <w:sz w:val="20"/>
      <w:szCs w:val="20"/>
    </w:rPr>
  </w:style>
  <w:style w:type="character" w:customStyle="1" w:styleId="CommentTextChar">
    <w:name w:val="Comment Text Char"/>
    <w:basedOn w:val="DefaultParagraphFont"/>
    <w:link w:val="CommentText"/>
    <w:uiPriority w:val="99"/>
    <w:rsid w:val="002122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2249"/>
    <w:rPr>
      <w:b/>
      <w:bCs/>
    </w:rPr>
  </w:style>
  <w:style w:type="character" w:customStyle="1" w:styleId="CommentSubjectChar">
    <w:name w:val="Comment Subject Char"/>
    <w:basedOn w:val="CommentTextChar"/>
    <w:link w:val="CommentSubject"/>
    <w:uiPriority w:val="99"/>
    <w:semiHidden/>
    <w:rsid w:val="00212249"/>
    <w:rPr>
      <w:rFonts w:ascii="Arial" w:hAnsi="Arial"/>
      <w:b/>
      <w:bCs/>
      <w:sz w:val="20"/>
      <w:szCs w:val="20"/>
    </w:rPr>
  </w:style>
  <w:style w:type="paragraph" w:styleId="BalloonText">
    <w:name w:val="Balloon Text"/>
    <w:basedOn w:val="Normal"/>
    <w:link w:val="BalloonTextChar"/>
    <w:uiPriority w:val="99"/>
    <w:semiHidden/>
    <w:unhideWhenUsed/>
    <w:rsid w:val="0021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49"/>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382142201">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aniep@edgehill.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180c8e4822491c2d794a0dc816946387">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331062bf3d45c107999c727ee2f7a8dd"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96AEB-C4E4-4B45-9852-6E868C8B4EDA}">
  <ds:schemaRefs>
    <ds:schemaRef ds:uri="http://schemas.microsoft.com/sharepoint/v3/contenttype/forms"/>
  </ds:schemaRefs>
</ds:datastoreItem>
</file>

<file path=customXml/itemProps2.xml><?xml version="1.0" encoding="utf-8"?>
<ds:datastoreItem xmlns:ds="http://schemas.openxmlformats.org/officeDocument/2006/customXml" ds:itemID="{543FB228-40B2-435A-B576-DC4B1F69F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3DD0F-C346-4F72-94EF-906B2EDAD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816</Words>
  <Characters>4656</Characters>
  <Application>Microsoft Office Word</Application>
  <DocSecurity>0</DocSecurity>
  <Lines>38</Lines>
  <Paragraphs>10</Paragraphs>
  <ScaleCrop>false</ScaleCrop>
  <Company>Edge Hill University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Laura Glancy</cp:lastModifiedBy>
  <cp:revision>5</cp:revision>
  <dcterms:created xsi:type="dcterms:W3CDTF">2023-05-10T12:24:00Z</dcterms:created>
  <dcterms:modified xsi:type="dcterms:W3CDTF">2023-05-11T07:33:00Z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