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C3B1" w14:textId="1A02B7B8" w:rsidR="002845B8" w:rsidRDefault="002845B8" w:rsidP="002845B8">
      <w:pPr>
        <w:pStyle w:val="Heading1"/>
        <w:jc w:val="right"/>
        <w:rPr>
          <w:rFonts w:eastAsia="Georgia" w:cs="Georgia"/>
        </w:rPr>
      </w:pPr>
      <w:r>
        <w:rPr>
          <w:noProof/>
        </w:rPr>
        <w:drawing>
          <wp:inline distT="0" distB="0" distL="0" distR="0" wp14:anchorId="6A1D46F1" wp14:editId="51A771B6">
            <wp:extent cx="2805057" cy="510939"/>
            <wp:effectExtent l="0" t="0" r="0" b="3810"/>
            <wp:docPr id="1" name="Picture 1" descr="Edge Hi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22" cy="5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B1CC6" w14:textId="7F73D4DB" w:rsidR="00CF75EE" w:rsidRPr="005A60B8" w:rsidRDefault="739A9DBC" w:rsidP="00F514DA">
      <w:pPr>
        <w:pStyle w:val="Heading1"/>
        <w:rPr>
          <w:u w:val="none"/>
        </w:rPr>
      </w:pPr>
      <w:r w:rsidRPr="005A60B8">
        <w:rPr>
          <w:rFonts w:eastAsia="Georgia"/>
          <w:u w:val="none"/>
        </w:rPr>
        <w:t xml:space="preserve">ITE </w:t>
      </w:r>
      <w:r w:rsidR="002E690D" w:rsidRPr="005A60B8">
        <w:rPr>
          <w:rFonts w:eastAsia="Georgia"/>
          <w:u w:val="none"/>
        </w:rPr>
        <w:t>Approach to: Core Content Framework</w:t>
      </w:r>
      <w:r w:rsidR="00527B99" w:rsidRPr="005A60B8">
        <w:rPr>
          <w:rFonts w:eastAsia="Georgia"/>
          <w:u w:val="none"/>
        </w:rPr>
        <w:t xml:space="preserve"> (CCF)</w:t>
      </w:r>
      <w:r w:rsidR="00452980" w:rsidRPr="005A60B8">
        <w:rPr>
          <w:rFonts w:eastAsia="Georgia"/>
          <w:u w:val="none"/>
        </w:rPr>
        <w:t xml:space="preserve"> </w:t>
      </w:r>
    </w:p>
    <w:p w14:paraId="45FBB43E" w14:textId="77777777" w:rsidR="002E690D" w:rsidRPr="002845B8" w:rsidRDefault="002E690D" w:rsidP="00722685">
      <w:pPr>
        <w:pStyle w:val="NoSpacing"/>
        <w:rPr>
          <w:rFonts w:cs="Arial"/>
          <w:b/>
          <w:sz w:val="22"/>
        </w:rPr>
      </w:pPr>
    </w:p>
    <w:p w14:paraId="643E7FF8" w14:textId="77777777" w:rsidR="002E690D" w:rsidRPr="00656412" w:rsidRDefault="002E690D" w:rsidP="00A412AD">
      <w:pPr>
        <w:pStyle w:val="Heading2"/>
      </w:pPr>
      <w:r w:rsidRPr="2F5F2DA3">
        <w:rPr>
          <w:rFonts w:ascii="Georgia" w:eastAsia="Georgia" w:hAnsi="Georgia" w:cs="Georgia"/>
        </w:rPr>
        <w:t>What do I need to know about it?</w:t>
      </w:r>
      <w:r>
        <w:br/>
      </w:r>
    </w:p>
    <w:p w14:paraId="4CC037F1" w14:textId="77777777" w:rsidR="003825AB" w:rsidRPr="005A60B8" w:rsidRDefault="003825AB" w:rsidP="00DC5F4A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>It defines in detail the minimum entitlement of all trainee teachers.</w:t>
      </w:r>
    </w:p>
    <w:p w14:paraId="052EF325" w14:textId="77777777" w:rsidR="003825AB" w:rsidRPr="005A60B8" w:rsidRDefault="003825AB" w:rsidP="2F5F2DA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>It aligns with our own</w:t>
      </w:r>
      <w:r w:rsidR="00D75852" w:rsidRPr="005A60B8">
        <w:rPr>
          <w:rFonts w:cs="Arial"/>
          <w:szCs w:val="24"/>
        </w:rPr>
        <w:t xml:space="preserve"> ambitious</w:t>
      </w:r>
      <w:r w:rsidRPr="005A60B8">
        <w:rPr>
          <w:rFonts w:cs="Arial"/>
          <w:szCs w:val="24"/>
        </w:rPr>
        <w:t xml:space="preserve"> ITE curriculum, based on the EHU </w:t>
      </w:r>
      <w:hyperlink r:id="rId11">
        <w:r w:rsidRPr="005A60B8">
          <w:rPr>
            <w:rStyle w:val="Hyperlink"/>
            <w:rFonts w:cs="Arial"/>
            <w:szCs w:val="24"/>
          </w:rPr>
          <w:t>ITE Pillars</w:t>
        </w:r>
      </w:hyperlink>
      <w:r w:rsidRPr="005A60B8">
        <w:rPr>
          <w:rFonts w:cs="Arial"/>
          <w:szCs w:val="24"/>
        </w:rPr>
        <w:t xml:space="preserve"> (which is a much richer curriculum)</w:t>
      </w:r>
      <w:r w:rsidR="007F601E" w:rsidRPr="005A60B8">
        <w:rPr>
          <w:rFonts w:cs="Arial"/>
          <w:szCs w:val="24"/>
        </w:rPr>
        <w:t>.</w:t>
      </w:r>
    </w:p>
    <w:p w14:paraId="753276B4" w14:textId="20B58849" w:rsidR="00BE79AC" w:rsidRPr="005A60B8" w:rsidRDefault="00D75852" w:rsidP="2F5F2DA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>The</w:t>
      </w:r>
      <w:r w:rsidR="00BE79AC" w:rsidRPr="005A60B8">
        <w:rPr>
          <w:rFonts w:cs="Arial"/>
          <w:szCs w:val="24"/>
        </w:rPr>
        <w:t xml:space="preserve"> EHU ITE pillars together with the </w:t>
      </w:r>
      <w:hyperlink r:id="rId12">
        <w:r w:rsidR="00BE79AC" w:rsidRPr="005A60B8">
          <w:rPr>
            <w:rStyle w:val="Hyperlink"/>
            <w:rFonts w:cs="Arial"/>
            <w:szCs w:val="24"/>
          </w:rPr>
          <w:t>CCF</w:t>
        </w:r>
      </w:hyperlink>
      <w:r w:rsidR="00BE79AC" w:rsidRPr="005A60B8">
        <w:rPr>
          <w:rFonts w:cs="Arial"/>
          <w:szCs w:val="24"/>
        </w:rPr>
        <w:t xml:space="preserve"> have been key documents used to support the design of the sequencing and progression of our own provision, programme by programme (as outlined within our </w:t>
      </w:r>
      <w:r w:rsidR="000F49CA" w:rsidRPr="005A60B8">
        <w:rPr>
          <w:rFonts w:cs="Arial"/>
          <w:szCs w:val="24"/>
        </w:rPr>
        <w:t>C</w:t>
      </w:r>
      <w:r w:rsidR="00BE79AC" w:rsidRPr="005A60B8">
        <w:rPr>
          <w:rFonts w:cs="Arial"/>
          <w:szCs w:val="24"/>
        </w:rPr>
        <w:t xml:space="preserve">urriculum </w:t>
      </w:r>
      <w:r w:rsidR="000F49CA" w:rsidRPr="005A60B8">
        <w:rPr>
          <w:rFonts w:cs="Arial"/>
          <w:szCs w:val="24"/>
        </w:rPr>
        <w:t>C</w:t>
      </w:r>
      <w:r w:rsidR="00BE79AC" w:rsidRPr="005A60B8">
        <w:rPr>
          <w:rFonts w:cs="Arial"/>
          <w:szCs w:val="24"/>
        </w:rPr>
        <w:t xml:space="preserve">ommunication </w:t>
      </w:r>
      <w:r w:rsidR="49189C9E" w:rsidRPr="005A60B8">
        <w:rPr>
          <w:rFonts w:cs="Arial"/>
          <w:szCs w:val="24"/>
        </w:rPr>
        <w:t>d</w:t>
      </w:r>
      <w:r w:rsidR="00BE79AC" w:rsidRPr="005A60B8">
        <w:rPr>
          <w:rFonts w:cs="Arial"/>
          <w:szCs w:val="24"/>
        </w:rPr>
        <w:t>ocuments).</w:t>
      </w:r>
    </w:p>
    <w:p w14:paraId="2C00D44C" w14:textId="44C18A9A" w:rsidR="002E690D" w:rsidRPr="005A60B8" w:rsidRDefault="007F601E" w:rsidP="2F5F2DA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>The CCF</w:t>
      </w:r>
      <w:r w:rsidR="002E690D" w:rsidRPr="005A60B8">
        <w:rPr>
          <w:rFonts w:cs="Arial"/>
          <w:szCs w:val="24"/>
        </w:rPr>
        <w:t xml:space="preserve"> has been designed to support trainee development in 5 core areas: behaviour management, pedagogy, curriculum, </w:t>
      </w:r>
      <w:r w:rsidR="0029460F" w:rsidRPr="005A60B8">
        <w:rPr>
          <w:rFonts w:cs="Arial"/>
          <w:szCs w:val="24"/>
        </w:rPr>
        <w:t>assessment,</w:t>
      </w:r>
      <w:r w:rsidR="002E690D" w:rsidRPr="005A60B8">
        <w:rPr>
          <w:rFonts w:cs="Arial"/>
          <w:szCs w:val="24"/>
        </w:rPr>
        <w:t xml:space="preserve"> and professional behaviours</w:t>
      </w:r>
      <w:r w:rsidR="00527B99" w:rsidRPr="005A60B8">
        <w:rPr>
          <w:rFonts w:cs="Arial"/>
          <w:szCs w:val="24"/>
        </w:rPr>
        <w:t>.</w:t>
      </w:r>
    </w:p>
    <w:p w14:paraId="36DD39A8" w14:textId="77777777" w:rsidR="002E690D" w:rsidRPr="005A60B8" w:rsidRDefault="002E690D" w:rsidP="00DC5F4A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 xml:space="preserve">It is presented </w:t>
      </w:r>
      <w:r w:rsidR="000F49CA" w:rsidRPr="005A60B8">
        <w:rPr>
          <w:rFonts w:cs="Arial"/>
          <w:szCs w:val="24"/>
        </w:rPr>
        <w:t>with</w:t>
      </w:r>
      <w:r w:rsidRPr="005A60B8">
        <w:rPr>
          <w:rFonts w:cs="Arial"/>
          <w:szCs w:val="24"/>
        </w:rPr>
        <w:t>in 8 key sections: High Expectations</w:t>
      </w:r>
      <w:r w:rsidR="00BC3580" w:rsidRPr="005A60B8">
        <w:rPr>
          <w:rFonts w:cs="Arial"/>
          <w:szCs w:val="24"/>
        </w:rPr>
        <w:t xml:space="preserve">, </w:t>
      </w:r>
      <w:r w:rsidRPr="005A60B8">
        <w:rPr>
          <w:rFonts w:cs="Arial"/>
          <w:szCs w:val="24"/>
        </w:rPr>
        <w:t>How Pupils Learn, Subject and Curriculum, Classroom Practice, Adaptive Teaching, Assessment, Managing Behaviour and Professional Behaviours</w:t>
      </w:r>
      <w:r w:rsidR="00527B99" w:rsidRPr="005A60B8">
        <w:rPr>
          <w:rFonts w:cs="Arial"/>
          <w:szCs w:val="24"/>
        </w:rPr>
        <w:t>.</w:t>
      </w:r>
    </w:p>
    <w:p w14:paraId="5FF9B7E6" w14:textId="37E733B6" w:rsidR="00527B99" w:rsidRPr="005A60B8" w:rsidRDefault="00BF22A9" w:rsidP="2F5F2DA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>Each section of the CCF contains a range of ‘learn that’ and ‘learn how to’ statements or principles, however, this</w:t>
      </w:r>
      <w:r w:rsidR="00527B99" w:rsidRPr="005A60B8">
        <w:rPr>
          <w:rFonts w:cs="Arial"/>
          <w:szCs w:val="24"/>
        </w:rPr>
        <w:t xml:space="preserve"> is not an assessment </w:t>
      </w:r>
      <w:r w:rsidR="003825AB" w:rsidRPr="005A60B8">
        <w:rPr>
          <w:rFonts w:cs="Arial"/>
          <w:szCs w:val="24"/>
        </w:rPr>
        <w:t>framework and</w:t>
      </w:r>
      <w:r w:rsidR="00527B99" w:rsidRPr="005A60B8">
        <w:rPr>
          <w:rFonts w:cs="Arial"/>
          <w:szCs w:val="24"/>
        </w:rPr>
        <w:t xml:space="preserve"> should not be used as such.</w:t>
      </w:r>
    </w:p>
    <w:p w14:paraId="0A10D28B" w14:textId="1E91A72F" w:rsidR="00E67379" w:rsidRPr="005A60B8" w:rsidRDefault="00E67379" w:rsidP="13C39458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>The Introductory/Development</w:t>
      </w:r>
      <w:r w:rsidR="34B409DD" w:rsidRPr="005A60B8">
        <w:rPr>
          <w:rFonts w:cs="Arial"/>
          <w:szCs w:val="24"/>
        </w:rPr>
        <w:t>al</w:t>
      </w:r>
      <w:r w:rsidRPr="005A60B8">
        <w:rPr>
          <w:rFonts w:cs="Arial"/>
          <w:szCs w:val="24"/>
        </w:rPr>
        <w:t>/Consolidation phases of placements should engage with the EHU ITE curriculum and CCF content with levels of detail and complexity commensurate with the stage of the programme</w:t>
      </w:r>
      <w:r w:rsidR="000F49CA" w:rsidRPr="005A60B8">
        <w:rPr>
          <w:rFonts w:cs="Arial"/>
          <w:szCs w:val="24"/>
        </w:rPr>
        <w:t>.</w:t>
      </w:r>
    </w:p>
    <w:p w14:paraId="4269C5C2" w14:textId="7E57F65C" w:rsidR="00527B99" w:rsidRPr="005A60B8" w:rsidRDefault="00527B99" w:rsidP="2F5F2DA3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 xml:space="preserve">The CCF dovetails with the </w:t>
      </w:r>
      <w:hyperlink r:id="rId13">
        <w:r w:rsidRPr="005A60B8">
          <w:rPr>
            <w:rStyle w:val="Hyperlink"/>
            <w:rFonts w:cs="Arial"/>
            <w:szCs w:val="24"/>
          </w:rPr>
          <w:t>Early Career</w:t>
        </w:r>
        <w:r w:rsidR="72EA2664" w:rsidRPr="005A60B8">
          <w:rPr>
            <w:rStyle w:val="Hyperlink"/>
            <w:rFonts w:cs="Arial"/>
            <w:szCs w:val="24"/>
          </w:rPr>
          <w:t xml:space="preserve"> </w:t>
        </w:r>
        <w:r w:rsidRPr="005A60B8">
          <w:rPr>
            <w:rStyle w:val="Hyperlink"/>
            <w:rFonts w:cs="Arial"/>
            <w:szCs w:val="24"/>
          </w:rPr>
          <w:t>Framework</w:t>
        </w:r>
      </w:hyperlink>
      <w:r w:rsidRPr="005A60B8">
        <w:rPr>
          <w:rFonts w:cs="Arial"/>
          <w:szCs w:val="24"/>
        </w:rPr>
        <w:t xml:space="preserve"> (ECF) where Early Career Teachers (ECTs) further develop their skills through a structured programme of support in their first two years of teaching.</w:t>
      </w:r>
    </w:p>
    <w:p w14:paraId="6ED48435" w14:textId="77777777" w:rsidR="00527B99" w:rsidRPr="005A60B8" w:rsidRDefault="00527B99" w:rsidP="00DC5F4A">
      <w:pPr>
        <w:pStyle w:val="NoSpacing"/>
        <w:numPr>
          <w:ilvl w:val="0"/>
          <w:numId w:val="5"/>
        </w:numPr>
        <w:rPr>
          <w:rFonts w:cs="Arial"/>
          <w:szCs w:val="24"/>
        </w:rPr>
      </w:pPr>
      <w:r w:rsidRPr="005A60B8">
        <w:rPr>
          <w:rFonts w:cs="Arial"/>
          <w:szCs w:val="24"/>
        </w:rPr>
        <w:t>A full bibliography is provided</w:t>
      </w:r>
      <w:r w:rsidR="003825AB" w:rsidRPr="005A60B8">
        <w:rPr>
          <w:rFonts w:cs="Arial"/>
          <w:szCs w:val="24"/>
        </w:rPr>
        <w:t xml:space="preserve"> within the framework </w:t>
      </w:r>
      <w:r w:rsidRPr="005A60B8">
        <w:rPr>
          <w:rFonts w:cs="Arial"/>
          <w:szCs w:val="24"/>
        </w:rPr>
        <w:t xml:space="preserve">which </w:t>
      </w:r>
      <w:r w:rsidR="000F49CA" w:rsidRPr="005A60B8">
        <w:rPr>
          <w:rFonts w:cs="Arial"/>
          <w:szCs w:val="24"/>
        </w:rPr>
        <w:t>should</w:t>
      </w:r>
      <w:r w:rsidRPr="005A60B8">
        <w:rPr>
          <w:rFonts w:cs="Arial"/>
          <w:szCs w:val="24"/>
        </w:rPr>
        <w:t xml:space="preserve"> be shared with traine</w:t>
      </w:r>
      <w:r w:rsidR="000F49CA" w:rsidRPr="005A60B8">
        <w:rPr>
          <w:rFonts w:cs="Arial"/>
          <w:szCs w:val="24"/>
        </w:rPr>
        <w:t>e</w:t>
      </w:r>
      <w:r w:rsidRPr="005A60B8">
        <w:rPr>
          <w:rFonts w:cs="Arial"/>
          <w:szCs w:val="24"/>
        </w:rPr>
        <w:t>s to support their critical engagement with research</w:t>
      </w:r>
      <w:r w:rsidR="00D75852" w:rsidRPr="005A60B8">
        <w:rPr>
          <w:rFonts w:cs="Arial"/>
          <w:szCs w:val="24"/>
        </w:rPr>
        <w:t xml:space="preserve">. Trainees should be engaging with these materials both whilst at school and at </w:t>
      </w:r>
      <w:r w:rsidR="000F49CA" w:rsidRPr="005A60B8">
        <w:rPr>
          <w:rFonts w:cs="Arial"/>
          <w:szCs w:val="24"/>
        </w:rPr>
        <w:t>centre-based</w:t>
      </w:r>
      <w:r w:rsidR="00D75852" w:rsidRPr="005A60B8">
        <w:rPr>
          <w:rFonts w:cs="Arial"/>
          <w:szCs w:val="24"/>
        </w:rPr>
        <w:t xml:space="preserve"> university training.</w:t>
      </w:r>
    </w:p>
    <w:p w14:paraId="69E0D233" w14:textId="77777777" w:rsidR="004827EA" w:rsidRPr="00656412" w:rsidRDefault="004827EA" w:rsidP="004827EA">
      <w:pPr>
        <w:pStyle w:val="NoSpacing"/>
        <w:rPr>
          <w:rFonts w:cs="Arial"/>
          <w:sz w:val="22"/>
        </w:rPr>
      </w:pPr>
    </w:p>
    <w:p w14:paraId="70ECCC8F" w14:textId="77777777" w:rsidR="004827EA" w:rsidRPr="00656412" w:rsidRDefault="004827EA" w:rsidP="2F5F2DA3">
      <w:pPr>
        <w:pStyle w:val="Heading2"/>
        <w:rPr>
          <w:rFonts w:ascii="Georgia" w:eastAsia="Georgia" w:hAnsi="Georgia" w:cs="Georgia"/>
        </w:rPr>
      </w:pPr>
      <w:r w:rsidRPr="2F5F2DA3">
        <w:rPr>
          <w:rFonts w:ascii="Georgia" w:eastAsia="Georgia" w:hAnsi="Georgia" w:cs="Georgia"/>
        </w:rPr>
        <w:t xml:space="preserve">Are there any </w:t>
      </w:r>
      <w:proofErr w:type="gramStart"/>
      <w:r w:rsidRPr="2F5F2DA3">
        <w:rPr>
          <w:rFonts w:ascii="Georgia" w:eastAsia="Georgia" w:hAnsi="Georgia" w:cs="Georgia"/>
        </w:rPr>
        <w:t>particular things</w:t>
      </w:r>
      <w:proofErr w:type="gramEnd"/>
      <w:r w:rsidRPr="2F5F2DA3">
        <w:rPr>
          <w:rFonts w:ascii="Georgia" w:eastAsia="Georgia" w:hAnsi="Georgia" w:cs="Georgia"/>
        </w:rPr>
        <w:t xml:space="preserve"> to note?</w:t>
      </w:r>
    </w:p>
    <w:p w14:paraId="47708894" w14:textId="77777777" w:rsidR="004827EA" w:rsidRPr="00656412" w:rsidRDefault="004827EA" w:rsidP="004827EA">
      <w:pPr>
        <w:pStyle w:val="NoSpacing"/>
        <w:rPr>
          <w:rFonts w:cs="Arial"/>
          <w:sz w:val="22"/>
        </w:rPr>
      </w:pPr>
    </w:p>
    <w:p w14:paraId="43346EB5" w14:textId="77777777" w:rsidR="004827EA" w:rsidRPr="005A60B8" w:rsidRDefault="003825AB" w:rsidP="00DC5F4A">
      <w:pPr>
        <w:pStyle w:val="NoSpacing"/>
        <w:rPr>
          <w:rFonts w:cs="Arial"/>
          <w:szCs w:val="24"/>
        </w:rPr>
      </w:pPr>
      <w:r w:rsidRPr="005A60B8">
        <w:rPr>
          <w:rFonts w:cs="Arial"/>
          <w:szCs w:val="24"/>
        </w:rPr>
        <w:t>Trainees should be fully aware of the principles underpinning the</w:t>
      </w:r>
      <w:r w:rsidR="004827EA" w:rsidRPr="005A60B8">
        <w:rPr>
          <w:rFonts w:cs="Arial"/>
          <w:szCs w:val="24"/>
        </w:rPr>
        <w:t xml:space="preserve"> CCF</w:t>
      </w:r>
      <w:r w:rsidR="00BE79AC" w:rsidRPr="005A60B8">
        <w:rPr>
          <w:rFonts w:cs="Arial"/>
          <w:szCs w:val="24"/>
        </w:rPr>
        <w:t xml:space="preserve">. There are some areas of </w:t>
      </w:r>
      <w:proofErr w:type="gramStart"/>
      <w:r w:rsidR="00BE79AC" w:rsidRPr="005A60B8">
        <w:rPr>
          <w:rFonts w:cs="Arial"/>
          <w:szCs w:val="24"/>
        </w:rPr>
        <w:t>particular interest</w:t>
      </w:r>
      <w:proofErr w:type="gramEnd"/>
      <w:r w:rsidR="00BE79AC" w:rsidRPr="005A60B8">
        <w:rPr>
          <w:rFonts w:cs="Arial"/>
          <w:szCs w:val="24"/>
        </w:rPr>
        <w:t xml:space="preserve"> for current practice, for example:</w:t>
      </w:r>
    </w:p>
    <w:p w14:paraId="4D87E088" w14:textId="77777777" w:rsidR="00D75852" w:rsidRPr="005A60B8" w:rsidRDefault="00D75852" w:rsidP="00D75852">
      <w:pPr>
        <w:pStyle w:val="NoSpacing"/>
        <w:ind w:left="720"/>
        <w:rPr>
          <w:rFonts w:cs="Arial"/>
          <w:szCs w:val="24"/>
        </w:rPr>
      </w:pPr>
    </w:p>
    <w:p w14:paraId="70BDA5E2" w14:textId="4DC5BC1B" w:rsidR="00BF22A9" w:rsidRPr="005A60B8" w:rsidRDefault="007F601E" w:rsidP="2F5F2DA3">
      <w:pPr>
        <w:pStyle w:val="NoSpacing"/>
        <w:numPr>
          <w:ilvl w:val="0"/>
          <w:numId w:val="7"/>
        </w:numPr>
        <w:ind w:left="851" w:hanging="425"/>
        <w:rPr>
          <w:rFonts w:cs="Arial"/>
          <w:szCs w:val="24"/>
        </w:rPr>
      </w:pPr>
      <w:r w:rsidRPr="005A60B8">
        <w:rPr>
          <w:rFonts w:cs="Arial"/>
          <w:szCs w:val="24"/>
        </w:rPr>
        <w:t>Consideration of SEND, disadvantage</w:t>
      </w:r>
      <w:r w:rsidR="3574552D" w:rsidRPr="005A60B8">
        <w:rPr>
          <w:rFonts w:cs="Arial"/>
          <w:szCs w:val="24"/>
        </w:rPr>
        <w:t>d backgrounds</w:t>
      </w:r>
      <w:r w:rsidRPr="005A60B8">
        <w:rPr>
          <w:rFonts w:cs="Arial"/>
          <w:szCs w:val="24"/>
        </w:rPr>
        <w:t xml:space="preserve"> and </w:t>
      </w:r>
      <w:r w:rsidR="2348F645" w:rsidRPr="005A60B8">
        <w:rPr>
          <w:rFonts w:cs="Arial"/>
          <w:szCs w:val="24"/>
        </w:rPr>
        <w:t>m</w:t>
      </w:r>
      <w:r w:rsidRPr="005A60B8">
        <w:rPr>
          <w:rFonts w:cs="Arial"/>
          <w:szCs w:val="24"/>
        </w:rPr>
        <w:t xml:space="preserve">ental </w:t>
      </w:r>
      <w:r w:rsidR="2629C913" w:rsidRPr="005A60B8">
        <w:rPr>
          <w:rFonts w:cs="Arial"/>
          <w:szCs w:val="24"/>
        </w:rPr>
        <w:t>h</w:t>
      </w:r>
      <w:r w:rsidR="0029460F" w:rsidRPr="005A60B8">
        <w:rPr>
          <w:rFonts w:cs="Arial"/>
          <w:szCs w:val="24"/>
        </w:rPr>
        <w:t>ealth.</w:t>
      </w:r>
    </w:p>
    <w:p w14:paraId="3691BF32" w14:textId="77777777" w:rsidR="00BE79AC" w:rsidRPr="005A60B8" w:rsidRDefault="00E67379" w:rsidP="007F1923">
      <w:pPr>
        <w:pStyle w:val="NoSpacing"/>
        <w:numPr>
          <w:ilvl w:val="0"/>
          <w:numId w:val="7"/>
        </w:numPr>
        <w:ind w:left="851" w:hanging="425"/>
        <w:rPr>
          <w:rFonts w:cs="Arial"/>
          <w:szCs w:val="24"/>
        </w:rPr>
      </w:pPr>
      <w:r w:rsidRPr="005A60B8">
        <w:rPr>
          <w:rFonts w:cs="Arial"/>
          <w:szCs w:val="24"/>
        </w:rPr>
        <w:t>The principles of a</w:t>
      </w:r>
      <w:r w:rsidR="00BE79AC" w:rsidRPr="005A60B8">
        <w:rPr>
          <w:rFonts w:cs="Arial"/>
          <w:szCs w:val="24"/>
        </w:rPr>
        <w:t xml:space="preserve">daptive teaching </w:t>
      </w:r>
      <w:r w:rsidR="00BF22A9" w:rsidRPr="005A60B8">
        <w:rPr>
          <w:rFonts w:cs="Arial"/>
          <w:szCs w:val="24"/>
        </w:rPr>
        <w:t xml:space="preserve">(as opposed to </w:t>
      </w:r>
      <w:r w:rsidRPr="005A60B8">
        <w:rPr>
          <w:rFonts w:cs="Arial"/>
          <w:szCs w:val="24"/>
        </w:rPr>
        <w:t xml:space="preserve">the use of </w:t>
      </w:r>
      <w:r w:rsidR="00BF22A9" w:rsidRPr="005A60B8">
        <w:rPr>
          <w:rFonts w:cs="Arial"/>
          <w:szCs w:val="24"/>
        </w:rPr>
        <w:t>differentiat</w:t>
      </w:r>
      <w:r w:rsidRPr="005A60B8">
        <w:rPr>
          <w:rFonts w:cs="Arial"/>
          <w:szCs w:val="24"/>
        </w:rPr>
        <w:t>ed tasks</w:t>
      </w:r>
      <w:r w:rsidR="00BF22A9" w:rsidRPr="005A60B8">
        <w:rPr>
          <w:rFonts w:cs="Arial"/>
          <w:szCs w:val="24"/>
        </w:rPr>
        <w:t>)</w:t>
      </w:r>
      <w:r w:rsidR="00D75852" w:rsidRPr="005A60B8">
        <w:rPr>
          <w:rFonts w:cs="Arial"/>
          <w:szCs w:val="24"/>
        </w:rPr>
        <w:t>.</w:t>
      </w:r>
    </w:p>
    <w:p w14:paraId="1060B0D1" w14:textId="77777777" w:rsidR="00E67379" w:rsidRPr="005A60B8" w:rsidRDefault="00E67379" w:rsidP="007F1923">
      <w:pPr>
        <w:pStyle w:val="NoSpacing"/>
        <w:numPr>
          <w:ilvl w:val="0"/>
          <w:numId w:val="7"/>
        </w:numPr>
        <w:ind w:left="851" w:hanging="425"/>
        <w:rPr>
          <w:rFonts w:cs="Arial"/>
          <w:szCs w:val="24"/>
        </w:rPr>
      </w:pPr>
      <w:r w:rsidRPr="005A60B8">
        <w:rPr>
          <w:rFonts w:cs="Arial"/>
          <w:szCs w:val="24"/>
        </w:rPr>
        <w:t>The key role of expert colleagues</w:t>
      </w:r>
      <w:r w:rsidR="007F601E" w:rsidRPr="005A60B8">
        <w:rPr>
          <w:rFonts w:cs="Arial"/>
          <w:szCs w:val="24"/>
        </w:rPr>
        <w:t>, including experienced and effective teachers and subject specialists in schools</w:t>
      </w:r>
      <w:r w:rsidR="00D75852" w:rsidRPr="005A60B8">
        <w:rPr>
          <w:rFonts w:cs="Arial"/>
          <w:szCs w:val="24"/>
        </w:rPr>
        <w:t>.</w:t>
      </w:r>
    </w:p>
    <w:p w14:paraId="686BF89F" w14:textId="77777777" w:rsidR="007F601E" w:rsidRPr="005A60B8" w:rsidRDefault="007F601E" w:rsidP="007F1923">
      <w:pPr>
        <w:pStyle w:val="NoSpacing"/>
        <w:numPr>
          <w:ilvl w:val="0"/>
          <w:numId w:val="7"/>
        </w:numPr>
        <w:ind w:left="851" w:hanging="425"/>
        <w:rPr>
          <w:rFonts w:cs="Arial"/>
          <w:szCs w:val="24"/>
        </w:rPr>
      </w:pPr>
      <w:r w:rsidRPr="005A60B8">
        <w:rPr>
          <w:rFonts w:cs="Arial"/>
          <w:szCs w:val="24"/>
        </w:rPr>
        <w:t>Support for Behaviour Management Training</w:t>
      </w:r>
      <w:r w:rsidR="00D75852" w:rsidRPr="005A60B8">
        <w:rPr>
          <w:rFonts w:cs="Arial"/>
          <w:szCs w:val="24"/>
        </w:rPr>
        <w:t>.</w:t>
      </w:r>
    </w:p>
    <w:p w14:paraId="112DDC88" w14:textId="77777777" w:rsidR="007F601E" w:rsidRPr="005A60B8" w:rsidRDefault="007F601E" w:rsidP="007F1923">
      <w:pPr>
        <w:pStyle w:val="NoSpacing"/>
        <w:numPr>
          <w:ilvl w:val="0"/>
          <w:numId w:val="7"/>
        </w:numPr>
        <w:ind w:left="851" w:hanging="425"/>
        <w:rPr>
          <w:rFonts w:cs="Arial"/>
          <w:szCs w:val="24"/>
        </w:rPr>
      </w:pPr>
      <w:r w:rsidRPr="005A60B8">
        <w:rPr>
          <w:rFonts w:cs="Arial"/>
          <w:szCs w:val="24"/>
        </w:rPr>
        <w:t xml:space="preserve">The importance of </w:t>
      </w:r>
      <w:r w:rsidR="00D75852" w:rsidRPr="005A60B8">
        <w:rPr>
          <w:rFonts w:cs="Arial"/>
          <w:szCs w:val="24"/>
        </w:rPr>
        <w:t>s</w:t>
      </w:r>
      <w:r w:rsidRPr="005A60B8">
        <w:rPr>
          <w:rFonts w:cs="Arial"/>
          <w:szCs w:val="24"/>
        </w:rPr>
        <w:t xml:space="preserve">ubject </w:t>
      </w:r>
      <w:r w:rsidR="00D75852" w:rsidRPr="005A60B8">
        <w:rPr>
          <w:rFonts w:cs="Arial"/>
          <w:szCs w:val="24"/>
        </w:rPr>
        <w:t>s</w:t>
      </w:r>
      <w:r w:rsidRPr="005A60B8">
        <w:rPr>
          <w:rFonts w:cs="Arial"/>
          <w:szCs w:val="24"/>
        </w:rPr>
        <w:t xml:space="preserve">pecific </w:t>
      </w:r>
      <w:r w:rsidR="00D75852" w:rsidRPr="005A60B8">
        <w:rPr>
          <w:rFonts w:cs="Arial"/>
          <w:szCs w:val="24"/>
        </w:rPr>
        <w:t>knowledge and t</w:t>
      </w:r>
      <w:r w:rsidRPr="005A60B8">
        <w:rPr>
          <w:rFonts w:cs="Arial"/>
          <w:szCs w:val="24"/>
        </w:rPr>
        <w:t>raining.</w:t>
      </w:r>
    </w:p>
    <w:p w14:paraId="27720F0C" w14:textId="77777777" w:rsidR="007F601E" w:rsidRPr="005A60B8" w:rsidRDefault="007F601E" w:rsidP="007F1923">
      <w:pPr>
        <w:pStyle w:val="NoSpacing"/>
        <w:numPr>
          <w:ilvl w:val="0"/>
          <w:numId w:val="7"/>
        </w:numPr>
        <w:ind w:left="851" w:hanging="425"/>
        <w:rPr>
          <w:rFonts w:cs="Arial"/>
          <w:szCs w:val="24"/>
        </w:rPr>
      </w:pPr>
      <w:r w:rsidRPr="005A60B8">
        <w:rPr>
          <w:rFonts w:cs="Arial"/>
          <w:szCs w:val="24"/>
        </w:rPr>
        <w:t>Working memory, long-term memory – balancing exposition, repetition, practice and retrieval of critical knowledge and skills</w:t>
      </w:r>
      <w:r w:rsidR="00D75852" w:rsidRPr="005A60B8">
        <w:rPr>
          <w:rFonts w:cs="Arial"/>
          <w:szCs w:val="24"/>
        </w:rPr>
        <w:t>.</w:t>
      </w:r>
    </w:p>
    <w:p w14:paraId="5DB7F754" w14:textId="4D6B6434" w:rsidR="007F601E" w:rsidRPr="005A60B8" w:rsidRDefault="007F601E" w:rsidP="007F1923">
      <w:pPr>
        <w:pStyle w:val="NoSpacing"/>
        <w:numPr>
          <w:ilvl w:val="0"/>
          <w:numId w:val="7"/>
        </w:numPr>
        <w:ind w:left="851" w:hanging="425"/>
        <w:rPr>
          <w:rFonts w:cs="Arial"/>
          <w:szCs w:val="24"/>
        </w:rPr>
      </w:pPr>
      <w:r w:rsidRPr="005A60B8">
        <w:rPr>
          <w:rFonts w:cs="Arial"/>
          <w:szCs w:val="24"/>
        </w:rPr>
        <w:lastRenderedPageBreak/>
        <w:t>Trainees themselves need to demonstrate evidence that they know more and remember more of their ITE curriculum and that they can</w:t>
      </w:r>
      <w:r w:rsidR="00D75852" w:rsidRPr="005A60B8">
        <w:rPr>
          <w:rFonts w:cs="Arial"/>
          <w:szCs w:val="24"/>
        </w:rPr>
        <w:t xml:space="preserve"> put this into practice.</w:t>
      </w:r>
    </w:p>
    <w:p w14:paraId="3C3C4D13" w14:textId="2E49B27B" w:rsidR="002845B8" w:rsidRDefault="002845B8" w:rsidP="2F5F2DA3">
      <w:pPr>
        <w:pStyle w:val="Heading2"/>
        <w:rPr>
          <w:rFonts w:ascii="Georgia" w:eastAsia="Georgia" w:hAnsi="Georgia" w:cs="Georgia"/>
        </w:rPr>
      </w:pPr>
      <w:bookmarkStart w:id="0" w:name="_GoBack"/>
      <w:bookmarkEnd w:id="0"/>
    </w:p>
    <w:p w14:paraId="759845A7" w14:textId="71EA1533" w:rsidR="00BF22A9" w:rsidRPr="00656412" w:rsidRDefault="00BF22A9" w:rsidP="2F5F2DA3">
      <w:pPr>
        <w:pStyle w:val="Heading2"/>
        <w:rPr>
          <w:rFonts w:ascii="Georgia" w:eastAsia="Georgia" w:hAnsi="Georgia" w:cs="Georgia"/>
        </w:rPr>
      </w:pPr>
      <w:r w:rsidRPr="2F5F2DA3">
        <w:rPr>
          <w:rFonts w:ascii="Georgia" w:eastAsia="Georgia" w:hAnsi="Georgia" w:cs="Georgia"/>
        </w:rPr>
        <w:t>How can I use the CCF?</w:t>
      </w:r>
    </w:p>
    <w:p w14:paraId="6DB50656" w14:textId="77777777" w:rsidR="00BF22A9" w:rsidRPr="00656412" w:rsidRDefault="00BF22A9" w:rsidP="00BF22A9">
      <w:pPr>
        <w:pStyle w:val="NoSpacing"/>
        <w:rPr>
          <w:rFonts w:cs="Arial"/>
          <w:b/>
          <w:bCs/>
          <w:sz w:val="22"/>
        </w:rPr>
      </w:pPr>
    </w:p>
    <w:p w14:paraId="1D383561" w14:textId="697190E3" w:rsidR="0095246D" w:rsidRPr="005A60B8" w:rsidRDefault="00BF22A9" w:rsidP="2F5F2DA3">
      <w:pPr>
        <w:pStyle w:val="NoSpacing"/>
        <w:numPr>
          <w:ilvl w:val="0"/>
          <w:numId w:val="8"/>
        </w:numPr>
        <w:rPr>
          <w:rFonts w:cs="Arial"/>
          <w:b/>
          <w:bCs/>
          <w:szCs w:val="24"/>
        </w:rPr>
      </w:pPr>
      <w:r w:rsidRPr="005A60B8">
        <w:rPr>
          <w:rFonts w:cs="Arial"/>
          <w:szCs w:val="24"/>
        </w:rPr>
        <w:t>Weekly Development Summar</w:t>
      </w:r>
      <w:r w:rsidR="4CAF4981" w:rsidRPr="005A60B8">
        <w:rPr>
          <w:rFonts w:cs="Arial"/>
          <w:szCs w:val="24"/>
        </w:rPr>
        <w:t>y</w:t>
      </w:r>
      <w:r w:rsidR="447AB5CE" w:rsidRPr="005A60B8">
        <w:rPr>
          <w:rFonts w:cs="Arial"/>
          <w:szCs w:val="24"/>
        </w:rPr>
        <w:t xml:space="preserve"> form</w:t>
      </w:r>
      <w:r w:rsidRPr="005A60B8">
        <w:rPr>
          <w:rFonts w:cs="Arial"/>
          <w:szCs w:val="24"/>
        </w:rPr>
        <w:t xml:space="preserve"> ha</w:t>
      </w:r>
      <w:r w:rsidR="4950D07D" w:rsidRPr="005A60B8">
        <w:rPr>
          <w:rFonts w:cs="Arial"/>
          <w:szCs w:val="24"/>
        </w:rPr>
        <w:t>s</w:t>
      </w:r>
      <w:r w:rsidRPr="005A60B8">
        <w:rPr>
          <w:rFonts w:cs="Arial"/>
          <w:szCs w:val="24"/>
        </w:rPr>
        <w:t xml:space="preserve"> been </w:t>
      </w:r>
      <w:r w:rsidR="00E67379" w:rsidRPr="005A60B8">
        <w:rPr>
          <w:rFonts w:cs="Arial"/>
          <w:szCs w:val="24"/>
        </w:rPr>
        <w:t xml:space="preserve">shaped </w:t>
      </w:r>
      <w:r w:rsidRPr="005A60B8">
        <w:rPr>
          <w:rFonts w:cs="Arial"/>
          <w:szCs w:val="24"/>
        </w:rPr>
        <w:t xml:space="preserve">with the </w:t>
      </w:r>
      <w:r w:rsidR="00E67379" w:rsidRPr="005A60B8">
        <w:rPr>
          <w:rFonts w:cs="Arial"/>
          <w:szCs w:val="24"/>
        </w:rPr>
        <w:t>themes</w:t>
      </w:r>
      <w:r w:rsidRPr="005A60B8">
        <w:rPr>
          <w:rFonts w:cs="Arial"/>
          <w:szCs w:val="24"/>
        </w:rPr>
        <w:t xml:space="preserve"> of the CCF in mind. Mentors and </w:t>
      </w:r>
      <w:r w:rsidR="75366486" w:rsidRPr="005A60B8">
        <w:rPr>
          <w:rFonts w:cs="Arial"/>
          <w:szCs w:val="24"/>
        </w:rPr>
        <w:t>L</w:t>
      </w:r>
      <w:r w:rsidRPr="005A60B8">
        <w:rPr>
          <w:rFonts w:cs="Arial"/>
          <w:szCs w:val="24"/>
        </w:rPr>
        <w:t xml:space="preserve">Ts might sample statements or principles from the CCF </w:t>
      </w:r>
      <w:r w:rsidR="00E67379" w:rsidRPr="005A60B8">
        <w:rPr>
          <w:rFonts w:cs="Arial"/>
          <w:szCs w:val="24"/>
        </w:rPr>
        <w:t xml:space="preserve">(and wider EHU ITE curriculum) </w:t>
      </w:r>
      <w:r w:rsidR="00D75852" w:rsidRPr="005A60B8">
        <w:rPr>
          <w:rFonts w:cs="Arial"/>
          <w:szCs w:val="24"/>
        </w:rPr>
        <w:t>to explore</w:t>
      </w:r>
      <w:r w:rsidRPr="005A60B8">
        <w:rPr>
          <w:rFonts w:cs="Arial"/>
          <w:szCs w:val="24"/>
        </w:rPr>
        <w:t xml:space="preserve"> how a trainee has engaged with the t</w:t>
      </w:r>
      <w:r w:rsidR="00E67379" w:rsidRPr="005A60B8">
        <w:rPr>
          <w:rFonts w:cs="Arial"/>
          <w:szCs w:val="24"/>
        </w:rPr>
        <w:t>hemes</w:t>
      </w:r>
      <w:r w:rsidRPr="005A60B8">
        <w:rPr>
          <w:rFonts w:cs="Arial"/>
          <w:szCs w:val="24"/>
        </w:rPr>
        <w:t xml:space="preserve"> (formatively)</w:t>
      </w:r>
      <w:r w:rsidR="00D75852" w:rsidRPr="005A60B8">
        <w:rPr>
          <w:rFonts w:cs="Arial"/>
          <w:szCs w:val="24"/>
        </w:rPr>
        <w:t xml:space="preserve"> and how they can demonstrate what they know about a </w:t>
      </w:r>
      <w:proofErr w:type="gramStart"/>
      <w:r w:rsidR="00D75852" w:rsidRPr="005A60B8">
        <w:rPr>
          <w:rFonts w:cs="Arial"/>
          <w:szCs w:val="24"/>
        </w:rPr>
        <w:t>particular</w:t>
      </w:r>
      <w:r w:rsidR="001B356B" w:rsidRPr="005A60B8">
        <w:rPr>
          <w:rFonts w:cs="Arial"/>
          <w:szCs w:val="24"/>
        </w:rPr>
        <w:t xml:space="preserve"> </w:t>
      </w:r>
      <w:r w:rsidR="00D75852" w:rsidRPr="005A60B8">
        <w:rPr>
          <w:rFonts w:cs="Arial"/>
          <w:szCs w:val="24"/>
        </w:rPr>
        <w:t>aspect</w:t>
      </w:r>
      <w:proofErr w:type="gramEnd"/>
      <w:r w:rsidR="00D75852" w:rsidRPr="005A60B8">
        <w:rPr>
          <w:rFonts w:cs="Arial"/>
          <w:szCs w:val="24"/>
        </w:rPr>
        <w:t xml:space="preserve"> or principle</w:t>
      </w:r>
      <w:r w:rsidR="001B356B" w:rsidRPr="005A60B8">
        <w:rPr>
          <w:rFonts w:cs="Arial"/>
          <w:szCs w:val="24"/>
        </w:rPr>
        <w:t>.</w:t>
      </w:r>
    </w:p>
    <w:p w14:paraId="7D2E8502" w14:textId="77777777" w:rsidR="0095246D" w:rsidRPr="005A60B8" w:rsidRDefault="0095246D" w:rsidP="0095246D">
      <w:pPr>
        <w:pStyle w:val="NoSpacing"/>
        <w:ind w:left="720"/>
        <w:rPr>
          <w:rFonts w:cs="Arial"/>
          <w:b/>
          <w:bCs/>
          <w:szCs w:val="24"/>
        </w:rPr>
      </w:pPr>
    </w:p>
    <w:p w14:paraId="09AB037F" w14:textId="77777777" w:rsidR="00D75852" w:rsidRPr="005A60B8" w:rsidRDefault="00E67379" w:rsidP="2F5F2DA3">
      <w:pPr>
        <w:pStyle w:val="NoSpacing"/>
        <w:numPr>
          <w:ilvl w:val="0"/>
          <w:numId w:val="8"/>
        </w:numPr>
        <w:rPr>
          <w:rFonts w:cs="Arial"/>
          <w:b/>
          <w:bCs/>
          <w:szCs w:val="24"/>
        </w:rPr>
      </w:pPr>
      <w:r w:rsidRPr="005A60B8">
        <w:rPr>
          <w:rFonts w:cs="Arial"/>
          <w:szCs w:val="24"/>
        </w:rPr>
        <w:t xml:space="preserve">Within the weekly meeting the CCF </w:t>
      </w:r>
      <w:r w:rsidR="001B356B" w:rsidRPr="005A60B8">
        <w:rPr>
          <w:rFonts w:cs="Arial"/>
          <w:szCs w:val="24"/>
        </w:rPr>
        <w:t xml:space="preserve">materials </w:t>
      </w:r>
      <w:r w:rsidRPr="005A60B8">
        <w:rPr>
          <w:rFonts w:cs="Arial"/>
          <w:szCs w:val="24"/>
        </w:rPr>
        <w:t xml:space="preserve">can support a mentor </w:t>
      </w:r>
      <w:r w:rsidR="001B356B" w:rsidRPr="005A60B8">
        <w:rPr>
          <w:rFonts w:cs="Arial"/>
          <w:szCs w:val="24"/>
        </w:rPr>
        <w:t>when</w:t>
      </w:r>
      <w:r w:rsidRPr="005A60B8">
        <w:rPr>
          <w:rFonts w:cs="Arial"/>
          <w:szCs w:val="24"/>
        </w:rPr>
        <w:t xml:space="preserve"> holding discussions about what has been learned and applied by a trainee at that stage in their training</w:t>
      </w:r>
      <w:r w:rsidR="00C606C8" w:rsidRPr="005A60B8">
        <w:rPr>
          <w:rFonts w:cs="Arial"/>
          <w:szCs w:val="24"/>
        </w:rPr>
        <w:t>.</w:t>
      </w:r>
    </w:p>
    <w:p w14:paraId="19A01110" w14:textId="141FB3B8" w:rsidR="2F5F2DA3" w:rsidRPr="005A60B8" w:rsidRDefault="2F5F2DA3" w:rsidP="2F5F2DA3">
      <w:pPr>
        <w:pStyle w:val="NoSpacing"/>
        <w:rPr>
          <w:rFonts w:eastAsia="Calibri"/>
          <w:szCs w:val="24"/>
        </w:rPr>
      </w:pPr>
    </w:p>
    <w:p w14:paraId="00B1E546" w14:textId="77777777" w:rsidR="00C606C8" w:rsidRPr="005A60B8" w:rsidRDefault="00C606C8" w:rsidP="007F1923">
      <w:pPr>
        <w:pStyle w:val="NoSpacing"/>
        <w:numPr>
          <w:ilvl w:val="0"/>
          <w:numId w:val="8"/>
        </w:numPr>
        <w:rPr>
          <w:rFonts w:cs="Arial"/>
          <w:b/>
          <w:bCs/>
          <w:szCs w:val="24"/>
        </w:rPr>
      </w:pPr>
      <w:r w:rsidRPr="005A60B8">
        <w:rPr>
          <w:rFonts w:cs="Arial"/>
          <w:szCs w:val="24"/>
        </w:rPr>
        <w:t>Future training opportunities can be identified for subsequent weeks whilst a trainee is on professional practice.</w:t>
      </w:r>
    </w:p>
    <w:p w14:paraId="43B56281" w14:textId="77777777" w:rsidR="001B356B" w:rsidRPr="00656412" w:rsidRDefault="001B356B" w:rsidP="001B356B">
      <w:pPr>
        <w:pStyle w:val="NoSpacing"/>
        <w:ind w:left="720"/>
        <w:rPr>
          <w:rFonts w:cs="Arial"/>
          <w:b/>
          <w:bCs/>
          <w:sz w:val="22"/>
        </w:rPr>
      </w:pPr>
    </w:p>
    <w:p w14:paraId="2090D1EC" w14:textId="77777777" w:rsidR="00007AA5" w:rsidRPr="00656412" w:rsidRDefault="001B356B" w:rsidP="2F5F2DA3">
      <w:pPr>
        <w:pStyle w:val="Heading2"/>
        <w:rPr>
          <w:rFonts w:ascii="Georgia" w:eastAsia="Georgia" w:hAnsi="Georgia" w:cs="Georgia"/>
        </w:rPr>
      </w:pPr>
      <w:r w:rsidRPr="2F5F2DA3">
        <w:rPr>
          <w:rFonts w:ascii="Georgia" w:eastAsia="Georgia" w:hAnsi="Georgia" w:cs="Georgia"/>
        </w:rPr>
        <w:t>How can I access CCF documentation and further support materials</w:t>
      </w:r>
      <w:r w:rsidR="000F49CA" w:rsidRPr="2F5F2DA3">
        <w:rPr>
          <w:rFonts w:ascii="Georgia" w:eastAsia="Georgia" w:hAnsi="Georgia" w:cs="Georgia"/>
        </w:rPr>
        <w:t>?</w:t>
      </w:r>
    </w:p>
    <w:p w14:paraId="6ED20E9E" w14:textId="77777777" w:rsidR="001B356B" w:rsidRPr="00656412" w:rsidRDefault="000F49CA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  <w:r w:rsidRPr="00656412">
        <w:rPr>
          <w:rFonts w:cs="Arial"/>
          <w:b/>
          <w:bCs/>
          <w:sz w:val="22"/>
        </w:rPr>
        <w:tab/>
      </w:r>
    </w:p>
    <w:p w14:paraId="0B87B2F8" w14:textId="77777777" w:rsidR="000F49CA" w:rsidRPr="00186D36" w:rsidRDefault="00007AA5" w:rsidP="000F49CA">
      <w:pPr>
        <w:pStyle w:val="NoSpacing"/>
        <w:tabs>
          <w:tab w:val="left" w:pos="7320"/>
        </w:tabs>
        <w:rPr>
          <w:rFonts w:cs="Arial"/>
          <w:b/>
          <w:bCs/>
          <w:szCs w:val="24"/>
        </w:rPr>
      </w:pPr>
      <w:r w:rsidRPr="00186D36">
        <w:rPr>
          <w:rFonts w:cs="Arial"/>
          <w:b/>
          <w:bCs/>
          <w:szCs w:val="24"/>
        </w:rPr>
        <w:t>ITT Core Content Framework</w:t>
      </w:r>
    </w:p>
    <w:p w14:paraId="41346B00" w14:textId="1E116A95" w:rsidR="00196F95" w:rsidRDefault="005A60B8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  <w:hyperlink r:id="rId14" w:history="1">
        <w:r w:rsidR="00196F95" w:rsidRPr="00BF514D">
          <w:rPr>
            <w:rStyle w:val="Hyperlink"/>
            <w:rFonts w:cs="Arial"/>
            <w:b/>
            <w:bCs/>
            <w:sz w:val="22"/>
          </w:rPr>
          <w:t>https://bit.ly/3tFpqVt</w:t>
        </w:r>
      </w:hyperlink>
    </w:p>
    <w:p w14:paraId="1D329F09" w14:textId="77777777" w:rsidR="00A67497" w:rsidRPr="00656412" w:rsidRDefault="00A67497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</w:p>
    <w:p w14:paraId="1DEF81CA" w14:textId="77777777" w:rsidR="00007AA5" w:rsidRPr="00186D36" w:rsidRDefault="00007AA5" w:rsidP="000F49CA">
      <w:pPr>
        <w:pStyle w:val="NoSpacing"/>
        <w:tabs>
          <w:tab w:val="left" w:pos="7320"/>
        </w:tabs>
        <w:rPr>
          <w:rFonts w:cs="Arial"/>
          <w:b/>
          <w:bCs/>
          <w:szCs w:val="24"/>
        </w:rPr>
      </w:pPr>
      <w:r w:rsidRPr="00186D36">
        <w:rPr>
          <w:rFonts w:cs="Arial"/>
          <w:b/>
          <w:bCs/>
          <w:szCs w:val="24"/>
        </w:rPr>
        <w:t>ITT Core Content Framework Exemplification Resource Materials</w:t>
      </w:r>
    </w:p>
    <w:p w14:paraId="4BEE4770" w14:textId="00823B50" w:rsidR="0083798B" w:rsidRPr="00656412" w:rsidRDefault="005A60B8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  <w:hyperlink r:id="rId15" w:history="1">
        <w:r w:rsidR="0083798B" w:rsidRPr="00BF514D">
          <w:rPr>
            <w:rStyle w:val="Hyperlink"/>
            <w:rFonts w:cs="Arial"/>
            <w:b/>
            <w:bCs/>
            <w:sz w:val="22"/>
          </w:rPr>
          <w:t>https://bit.ly/3vYcLOY</w:t>
        </w:r>
      </w:hyperlink>
      <w:r w:rsidR="0083798B">
        <w:rPr>
          <w:rFonts w:cs="Arial"/>
          <w:b/>
          <w:bCs/>
          <w:sz w:val="22"/>
        </w:rPr>
        <w:t xml:space="preserve"> </w:t>
      </w:r>
    </w:p>
    <w:p w14:paraId="0F38DA78" w14:textId="3A0BEBFE" w:rsidR="00007AA5" w:rsidRPr="00656412" w:rsidRDefault="00007AA5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</w:p>
    <w:p w14:paraId="1321F574" w14:textId="77777777" w:rsidR="00007AA5" w:rsidRPr="00186D36" w:rsidRDefault="00007AA5" w:rsidP="000F49CA">
      <w:pPr>
        <w:pStyle w:val="NoSpacing"/>
        <w:tabs>
          <w:tab w:val="left" w:pos="7320"/>
        </w:tabs>
        <w:rPr>
          <w:rFonts w:cs="Arial"/>
          <w:b/>
          <w:bCs/>
          <w:szCs w:val="24"/>
        </w:rPr>
      </w:pPr>
      <w:r w:rsidRPr="00186D36">
        <w:rPr>
          <w:rFonts w:cs="Arial"/>
          <w:b/>
          <w:bCs/>
          <w:szCs w:val="24"/>
        </w:rPr>
        <w:t>ITT Core Content Trainee Teacher Behavioural Toolkit: A Summary</w:t>
      </w:r>
    </w:p>
    <w:p w14:paraId="2697AE12" w14:textId="03219CD4" w:rsidR="004D6CDA" w:rsidRPr="00656412" w:rsidRDefault="005A60B8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  <w:hyperlink r:id="rId16" w:history="1">
        <w:r w:rsidR="004D6CDA" w:rsidRPr="00BF514D">
          <w:rPr>
            <w:rStyle w:val="Hyperlink"/>
            <w:rFonts w:cs="Arial"/>
            <w:b/>
            <w:bCs/>
            <w:sz w:val="22"/>
          </w:rPr>
          <w:t>https://bit.ly/2RcKu8F</w:t>
        </w:r>
      </w:hyperlink>
      <w:r w:rsidR="004D6CDA">
        <w:rPr>
          <w:rFonts w:cs="Arial"/>
          <w:b/>
          <w:bCs/>
          <w:sz w:val="22"/>
        </w:rPr>
        <w:t xml:space="preserve"> </w:t>
      </w:r>
    </w:p>
    <w:p w14:paraId="0897E81C" w14:textId="7669534D" w:rsidR="00007AA5" w:rsidRPr="00656412" w:rsidRDefault="00007AA5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</w:p>
    <w:p w14:paraId="46B020C3" w14:textId="77777777" w:rsidR="00007AA5" w:rsidRPr="00186D36" w:rsidRDefault="00007AA5" w:rsidP="000F49CA">
      <w:pPr>
        <w:pStyle w:val="NoSpacing"/>
        <w:tabs>
          <w:tab w:val="left" w:pos="7320"/>
        </w:tabs>
        <w:rPr>
          <w:rFonts w:cs="Arial"/>
          <w:b/>
          <w:bCs/>
          <w:szCs w:val="24"/>
        </w:rPr>
      </w:pPr>
      <w:r w:rsidRPr="13C39458">
        <w:rPr>
          <w:rFonts w:cs="Arial"/>
          <w:b/>
          <w:bCs/>
        </w:rPr>
        <w:t>Adaptive Teaching</w:t>
      </w:r>
    </w:p>
    <w:p w14:paraId="266195AB" w14:textId="6E7A7FBD" w:rsidR="00C606C8" w:rsidRDefault="005A60B8" w:rsidP="005A60B8">
      <w:pPr>
        <w:pStyle w:val="NoSpacing"/>
        <w:tabs>
          <w:tab w:val="left" w:pos="7320"/>
        </w:tabs>
        <w:rPr>
          <w:rStyle w:val="Hyperlink"/>
          <w:rFonts w:eastAsia="Calibri"/>
          <w:b/>
          <w:bCs/>
          <w:szCs w:val="24"/>
        </w:rPr>
      </w:pPr>
      <w:hyperlink r:id="rId17">
        <w:r w:rsidR="21873BE2" w:rsidRPr="13C39458">
          <w:rPr>
            <w:rStyle w:val="Hyperlink"/>
            <w:rFonts w:eastAsia="Calibri"/>
            <w:b/>
            <w:bCs/>
            <w:szCs w:val="24"/>
          </w:rPr>
          <w:t>https://bit.ly/3zX5bpU</w:t>
        </w:r>
      </w:hyperlink>
    </w:p>
    <w:p w14:paraId="6C83721D" w14:textId="77777777" w:rsidR="005A60B8" w:rsidRPr="00186D36" w:rsidRDefault="005A60B8" w:rsidP="005A60B8">
      <w:pPr>
        <w:pStyle w:val="NoSpacing"/>
        <w:tabs>
          <w:tab w:val="left" w:pos="7320"/>
        </w:tabs>
        <w:rPr>
          <w:rFonts w:cs="Arial"/>
          <w:b/>
          <w:bCs/>
          <w:szCs w:val="24"/>
        </w:rPr>
      </w:pPr>
    </w:p>
    <w:p w14:paraId="0592CE9F" w14:textId="3676468E" w:rsidR="00C606C8" w:rsidRPr="00186D36" w:rsidRDefault="00C606C8" w:rsidP="000F49CA">
      <w:pPr>
        <w:pStyle w:val="NoSpacing"/>
        <w:tabs>
          <w:tab w:val="left" w:pos="7320"/>
        </w:tabs>
        <w:rPr>
          <w:rFonts w:cs="Arial"/>
          <w:b/>
          <w:bCs/>
          <w:szCs w:val="24"/>
        </w:rPr>
      </w:pPr>
      <w:r w:rsidRPr="00186D36">
        <w:rPr>
          <w:rFonts w:cs="Arial"/>
          <w:b/>
          <w:bCs/>
          <w:szCs w:val="24"/>
        </w:rPr>
        <w:t>The Early Career Framework Reforms Overview (ECF)</w:t>
      </w:r>
    </w:p>
    <w:p w14:paraId="6C0D6780" w14:textId="77777777" w:rsidR="00C606C8" w:rsidRDefault="005A60B8" w:rsidP="000F49CA">
      <w:pPr>
        <w:pStyle w:val="NoSpacing"/>
        <w:tabs>
          <w:tab w:val="left" w:pos="7320"/>
        </w:tabs>
        <w:rPr>
          <w:rStyle w:val="Hyperlink"/>
          <w:rFonts w:cs="Arial"/>
          <w:b/>
          <w:bCs/>
          <w:sz w:val="22"/>
        </w:rPr>
      </w:pPr>
      <w:hyperlink r:id="rId18" w:history="1">
        <w:r w:rsidR="00C606C8" w:rsidRPr="00656412">
          <w:rPr>
            <w:rStyle w:val="Hyperlink"/>
            <w:rFonts w:cs="Arial"/>
            <w:b/>
            <w:bCs/>
            <w:sz w:val="22"/>
          </w:rPr>
          <w:t>Early career framework reforms: overview - GOV.UK (www.gov.uk)</w:t>
        </w:r>
      </w:hyperlink>
    </w:p>
    <w:p w14:paraId="65C17395" w14:textId="77777777" w:rsidR="00186D36" w:rsidRPr="00656412" w:rsidRDefault="00186D36" w:rsidP="000F49CA">
      <w:pPr>
        <w:pStyle w:val="NoSpacing"/>
        <w:tabs>
          <w:tab w:val="left" w:pos="7320"/>
        </w:tabs>
        <w:rPr>
          <w:rFonts w:cs="Arial"/>
          <w:b/>
          <w:bCs/>
          <w:sz w:val="22"/>
        </w:rPr>
      </w:pPr>
    </w:p>
    <w:p w14:paraId="59488D1D" w14:textId="77777777" w:rsidR="001B356B" w:rsidRPr="00186D36" w:rsidRDefault="001B356B" w:rsidP="001B356B">
      <w:pPr>
        <w:pStyle w:val="NoSpacing"/>
        <w:ind w:left="720"/>
        <w:rPr>
          <w:rFonts w:cs="Arial"/>
          <w:b/>
          <w:bCs/>
          <w:szCs w:val="24"/>
        </w:rPr>
      </w:pPr>
    </w:p>
    <w:p w14:paraId="5C688171" w14:textId="78FB5094" w:rsidR="00C606C8" w:rsidRPr="00186D36" w:rsidRDefault="00C606C8" w:rsidP="00C606C8">
      <w:pPr>
        <w:pStyle w:val="NoSpacing"/>
        <w:rPr>
          <w:rFonts w:cs="Arial"/>
          <w:b/>
          <w:bCs/>
          <w:szCs w:val="24"/>
        </w:rPr>
      </w:pPr>
      <w:r w:rsidRPr="00186D36">
        <w:rPr>
          <w:rFonts w:cs="Arial"/>
          <w:b/>
          <w:bCs/>
          <w:szCs w:val="24"/>
        </w:rPr>
        <w:t>The Early Career Framework (ECF)</w:t>
      </w:r>
    </w:p>
    <w:p w14:paraId="303AA3F1" w14:textId="77777777" w:rsidR="00BF22A9" w:rsidRPr="00656412" w:rsidRDefault="005A60B8" w:rsidP="00BF22A9">
      <w:pPr>
        <w:pStyle w:val="NoSpacing"/>
        <w:rPr>
          <w:rFonts w:cs="Arial"/>
          <w:sz w:val="22"/>
        </w:rPr>
      </w:pPr>
      <w:hyperlink r:id="rId19" w:history="1">
        <w:r w:rsidR="00C606C8" w:rsidRPr="00656412">
          <w:rPr>
            <w:rStyle w:val="Hyperlink"/>
            <w:rFonts w:cs="Arial"/>
            <w:b/>
            <w:bCs/>
            <w:sz w:val="22"/>
          </w:rPr>
          <w:t>Early Career Framework (publishing.service.gov.uk)</w:t>
        </w:r>
      </w:hyperlink>
    </w:p>
    <w:p w14:paraId="54B030DD" w14:textId="77777777" w:rsidR="00BE79AC" w:rsidRPr="00656412" w:rsidRDefault="00BE79AC" w:rsidP="00BE79AC">
      <w:pPr>
        <w:pStyle w:val="NoSpacing"/>
        <w:rPr>
          <w:rFonts w:cs="Arial"/>
          <w:sz w:val="22"/>
        </w:rPr>
      </w:pPr>
    </w:p>
    <w:sectPr w:rsidR="00BE79AC" w:rsidRPr="00656412" w:rsidSect="002845B8">
      <w:footerReference w:type="default" r:id="rId20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EF77E" w14:textId="77777777" w:rsidR="002D0BE9" w:rsidRDefault="002D0BE9" w:rsidP="00C606C8">
      <w:pPr>
        <w:spacing w:after="0" w:line="240" w:lineRule="auto"/>
      </w:pPr>
      <w:r>
        <w:separator/>
      </w:r>
    </w:p>
  </w:endnote>
  <w:endnote w:type="continuationSeparator" w:id="0">
    <w:p w14:paraId="0DBA2213" w14:textId="77777777" w:rsidR="002D0BE9" w:rsidRDefault="002D0BE9" w:rsidP="00C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85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D606" w14:textId="4107C329" w:rsidR="00186D36" w:rsidRDefault="00186D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352AD9" w14:textId="77777777" w:rsidR="00186D36" w:rsidRDefault="00186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5FBC" w14:textId="77777777" w:rsidR="002D0BE9" w:rsidRDefault="002D0BE9" w:rsidP="00C606C8">
      <w:pPr>
        <w:spacing w:after="0" w:line="240" w:lineRule="auto"/>
      </w:pPr>
      <w:r>
        <w:separator/>
      </w:r>
    </w:p>
  </w:footnote>
  <w:footnote w:type="continuationSeparator" w:id="0">
    <w:p w14:paraId="7B1E9A3E" w14:textId="77777777" w:rsidR="002D0BE9" w:rsidRDefault="002D0BE9" w:rsidP="00C6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2FA"/>
    <w:multiLevelType w:val="hybridMultilevel"/>
    <w:tmpl w:val="724C483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B36328"/>
    <w:multiLevelType w:val="hybridMultilevel"/>
    <w:tmpl w:val="C562D5AA"/>
    <w:lvl w:ilvl="0" w:tplc="B738677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C74F68"/>
    <w:multiLevelType w:val="hybridMultilevel"/>
    <w:tmpl w:val="41666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5816"/>
    <w:multiLevelType w:val="hybridMultilevel"/>
    <w:tmpl w:val="3A9CC4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341AEA"/>
    <w:multiLevelType w:val="hybridMultilevel"/>
    <w:tmpl w:val="5BA42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7246"/>
    <w:multiLevelType w:val="hybridMultilevel"/>
    <w:tmpl w:val="7B54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137E1"/>
    <w:multiLevelType w:val="hybridMultilevel"/>
    <w:tmpl w:val="9D10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1709F"/>
    <w:multiLevelType w:val="hybridMultilevel"/>
    <w:tmpl w:val="9BA0DC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0D"/>
    <w:rsid w:val="00007AA5"/>
    <w:rsid w:val="000F3143"/>
    <w:rsid w:val="000F49CA"/>
    <w:rsid w:val="00186D36"/>
    <w:rsid w:val="00196F95"/>
    <w:rsid w:val="001B16C7"/>
    <w:rsid w:val="001B356B"/>
    <w:rsid w:val="00200AA7"/>
    <w:rsid w:val="002845B8"/>
    <w:rsid w:val="0029460F"/>
    <w:rsid w:val="002D0BE9"/>
    <w:rsid w:val="002E690D"/>
    <w:rsid w:val="00352344"/>
    <w:rsid w:val="003825AB"/>
    <w:rsid w:val="00413ABE"/>
    <w:rsid w:val="00450221"/>
    <w:rsid w:val="00452980"/>
    <w:rsid w:val="004827EA"/>
    <w:rsid w:val="00487520"/>
    <w:rsid w:val="004D6CDA"/>
    <w:rsid w:val="00527B99"/>
    <w:rsid w:val="005A60B8"/>
    <w:rsid w:val="006010B5"/>
    <w:rsid w:val="00656412"/>
    <w:rsid w:val="006A2254"/>
    <w:rsid w:val="00722685"/>
    <w:rsid w:val="00760FB9"/>
    <w:rsid w:val="007F1923"/>
    <w:rsid w:val="007F601E"/>
    <w:rsid w:val="0083798B"/>
    <w:rsid w:val="008C00D0"/>
    <w:rsid w:val="0095246D"/>
    <w:rsid w:val="00971603"/>
    <w:rsid w:val="00971F84"/>
    <w:rsid w:val="009A70EB"/>
    <w:rsid w:val="00A412AD"/>
    <w:rsid w:val="00A67497"/>
    <w:rsid w:val="00B2554B"/>
    <w:rsid w:val="00BC3580"/>
    <w:rsid w:val="00BE79AC"/>
    <w:rsid w:val="00BF22A9"/>
    <w:rsid w:val="00C606C8"/>
    <w:rsid w:val="00CF75EE"/>
    <w:rsid w:val="00D56A5C"/>
    <w:rsid w:val="00D75852"/>
    <w:rsid w:val="00DC5F4A"/>
    <w:rsid w:val="00E04A85"/>
    <w:rsid w:val="00E67379"/>
    <w:rsid w:val="00F514DA"/>
    <w:rsid w:val="0238211B"/>
    <w:rsid w:val="0C8E25D6"/>
    <w:rsid w:val="0CBC7B18"/>
    <w:rsid w:val="11E1C7E3"/>
    <w:rsid w:val="13C39458"/>
    <w:rsid w:val="19538081"/>
    <w:rsid w:val="1981D5C3"/>
    <w:rsid w:val="21873BE2"/>
    <w:rsid w:val="2348F645"/>
    <w:rsid w:val="2629C913"/>
    <w:rsid w:val="28C9DF09"/>
    <w:rsid w:val="2BE2C8C3"/>
    <w:rsid w:val="2C796889"/>
    <w:rsid w:val="2E4D4B20"/>
    <w:rsid w:val="2F5F2DA3"/>
    <w:rsid w:val="34197669"/>
    <w:rsid w:val="34B409DD"/>
    <w:rsid w:val="3574552D"/>
    <w:rsid w:val="447AB5CE"/>
    <w:rsid w:val="49189C9E"/>
    <w:rsid w:val="4950D07D"/>
    <w:rsid w:val="4CAF4981"/>
    <w:rsid w:val="54F2CE9A"/>
    <w:rsid w:val="597B1D7D"/>
    <w:rsid w:val="5B69325B"/>
    <w:rsid w:val="5F930DD9"/>
    <w:rsid w:val="6B059DF9"/>
    <w:rsid w:val="716B5E60"/>
    <w:rsid w:val="72EA2664"/>
    <w:rsid w:val="739A9DBC"/>
    <w:rsid w:val="74A16B8B"/>
    <w:rsid w:val="75366486"/>
    <w:rsid w:val="7974DCAE"/>
    <w:rsid w:val="7D200F79"/>
    <w:rsid w:val="7ED18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946F46"/>
  <w15:chartTrackingRefBased/>
  <w15:docId w15:val="{8284DEAD-8C87-4094-A410-6005310A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497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5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3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5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56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7A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C8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7497"/>
    <w:rPr>
      <w:rFonts w:ascii="Georgia" w:eastAsiaTheme="majorEastAsia" w:hAnsi="Georgia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7497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5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6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978358/Early-Career_Framework_April_2021.pdf" TargetMode="External"/><Relationship Id="rId18" Type="http://schemas.openxmlformats.org/officeDocument/2006/relationships/hyperlink" Target="https://www.gov.uk/government/publications/early-career-framework-reforms-overview/early-career-framework-reforms-overvie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974307/ITT_core_content_framework_.pdf" TargetMode="External"/><Relationship Id="rId17" Type="http://schemas.openxmlformats.org/officeDocument/2006/relationships/hyperlink" Target="https://bit.ly/3zX5bp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RcKu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gehill.ac.uk/education/ite-partnership/about-u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3vYcLOY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assets.publishing.service.gov.uk/government/uploads/system/uploads/attachment_data/file/978358/Early-Career_Framework_April_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tFpqV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3" ma:contentTypeDescription="Create a new document." ma:contentTypeScope="" ma:versionID="039e6b6ce1c45aacbd4a14c39c9cd3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87eba9e94d978857a227007311126c7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25FD0-4BBF-418C-B064-2FB23D28B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7D96D-FF5D-49D2-87E1-02944186E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6C311-1C7B-430A-AD5A-1EB815418C95}">
  <ds:schemaRefs>
    <ds:schemaRef ds:uri="64ec026b-5c54-49e0-8dbf-b8c4a7b04ddd"/>
    <ds:schemaRef ds:uri="28cd915b-2929-4915-849f-199b0245488d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Pinar Robinson</cp:lastModifiedBy>
  <cp:revision>10</cp:revision>
  <cp:lastPrinted>2021-10-08T15:09:00Z</cp:lastPrinted>
  <dcterms:created xsi:type="dcterms:W3CDTF">2021-05-12T16:45:00Z</dcterms:created>
  <dcterms:modified xsi:type="dcterms:W3CDTF">2021-10-25T13:38:00Z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