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A32D7" w14:paraId="0416EF23" w14:textId="77777777" w:rsidTr="00AA32D7">
        <w:tc>
          <w:tcPr>
            <w:tcW w:w="89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F4994" w14:textId="2F8F6CD5" w:rsidR="00AA32D7" w:rsidRDefault="00AA32D7">
            <w:pPr>
              <w:rPr>
                <w:rFonts w:ascii="Georgia" w:hAnsi="Georgia"/>
                <w:sz w:val="96"/>
              </w:rPr>
            </w:pPr>
            <w:bookmarkStart w:id="0" w:name="_Hlk37336939"/>
            <w:r>
              <w:rPr>
                <w:rFonts w:ascii="Georgia" w:hAnsi="Georgia"/>
                <w:sz w:val="96"/>
              </w:rPr>
              <w:t xml:space="preserve">International Student Fee Policy </w:t>
            </w:r>
          </w:p>
          <w:p w14:paraId="17B6B897" w14:textId="77777777" w:rsidR="00AA32D7" w:rsidRDefault="00AA32D7">
            <w:pPr>
              <w:rPr>
                <w:rFonts w:ascii="Georgia" w:hAnsi="Georgia"/>
                <w:sz w:val="96"/>
              </w:rPr>
            </w:pPr>
            <w:r>
              <w:rPr>
                <w:rFonts w:ascii="Georgia" w:hAnsi="Georgia"/>
                <w:sz w:val="96"/>
              </w:rPr>
              <w:t xml:space="preserve">  </w:t>
            </w:r>
          </w:p>
          <w:p w14:paraId="488928FF" w14:textId="77777777" w:rsidR="006C15DF" w:rsidRDefault="006C15DF">
            <w:pPr>
              <w:rPr>
                <w:rFonts w:ascii="Georgia" w:hAnsi="Georgia"/>
                <w:sz w:val="96"/>
              </w:rPr>
            </w:pPr>
          </w:p>
          <w:p w14:paraId="57D43C37" w14:textId="77777777" w:rsidR="00AA32D7" w:rsidRDefault="00AA32D7">
            <w:pPr>
              <w:rPr>
                <w:rFonts w:ascii="Georgia" w:hAnsi="Georgia"/>
              </w:rPr>
            </w:pPr>
          </w:p>
        </w:tc>
      </w:tr>
      <w:tr w:rsidR="00AA32D7" w14:paraId="28CCD3DD" w14:textId="77777777" w:rsidTr="00AA32D7">
        <w:tc>
          <w:tcPr>
            <w:tcW w:w="89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7EE0CD6E" w14:textId="77777777" w:rsidR="00AA32D7" w:rsidRDefault="00AA32D7"/>
          <w:p w14:paraId="1135EC40" w14:textId="6EFB0552" w:rsidR="00AA32D7" w:rsidRDefault="00AA32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EFFECTIVE FROM </w:t>
            </w:r>
            <w:r w:rsidR="00057610">
              <w:rPr>
                <w:b/>
                <w:color w:val="FFFFFF" w:themeColor="background1"/>
              </w:rPr>
              <w:t xml:space="preserve"> </w:t>
            </w:r>
            <w:r w:rsidR="00FD4D6F">
              <w:rPr>
                <w:b/>
                <w:color w:val="FFFFFF" w:themeColor="background1"/>
              </w:rPr>
              <w:t>1</w:t>
            </w:r>
            <w:r w:rsidR="00047082" w:rsidRPr="00047082">
              <w:rPr>
                <w:b/>
                <w:color w:val="FFFFFF" w:themeColor="background1"/>
                <w:vertAlign w:val="superscript"/>
              </w:rPr>
              <w:t>st</w:t>
            </w:r>
            <w:r w:rsidR="00047082">
              <w:rPr>
                <w:b/>
                <w:color w:val="FFFFFF" w:themeColor="background1"/>
              </w:rPr>
              <w:t xml:space="preserve"> APRIL</w:t>
            </w:r>
            <w:r w:rsidR="00057610">
              <w:rPr>
                <w:b/>
                <w:color w:val="FFFFFF" w:themeColor="background1"/>
              </w:rPr>
              <w:t xml:space="preserve"> 2024</w:t>
            </w:r>
          </w:p>
          <w:p w14:paraId="5CB50D51" w14:textId="77777777" w:rsidR="00AA32D7" w:rsidRDefault="00AA32D7"/>
        </w:tc>
      </w:tr>
    </w:tbl>
    <w:p w14:paraId="54E88D4A" w14:textId="77777777" w:rsidR="00AA32D7" w:rsidRDefault="00AA32D7" w:rsidP="00AA32D7">
      <w:pPr>
        <w:spacing w:after="0" w:line="240" w:lineRule="auto"/>
      </w:pPr>
    </w:p>
    <w:p w14:paraId="78813F13" w14:textId="77777777" w:rsidR="00AA32D7" w:rsidRDefault="00AA32D7" w:rsidP="00AA32D7">
      <w:pPr>
        <w:spacing w:after="0" w:line="240" w:lineRule="auto"/>
      </w:pPr>
    </w:p>
    <w:p w14:paraId="115DAB06" w14:textId="77777777" w:rsidR="00AA32D7" w:rsidRDefault="00AA32D7" w:rsidP="00AA32D7">
      <w:pPr>
        <w:spacing w:after="0" w:line="240" w:lineRule="auto"/>
      </w:pPr>
    </w:p>
    <w:p w14:paraId="5176C70A" w14:textId="77777777" w:rsidR="00AA32D7" w:rsidRDefault="00AA32D7" w:rsidP="00AA32D7">
      <w:pPr>
        <w:spacing w:after="0" w:line="240" w:lineRule="auto"/>
      </w:pPr>
    </w:p>
    <w:p w14:paraId="54BEBDDF" w14:textId="77777777" w:rsidR="00AA32D7" w:rsidRDefault="00AA32D7" w:rsidP="00AA32D7">
      <w:pPr>
        <w:spacing w:after="0" w:line="240" w:lineRule="auto"/>
      </w:pPr>
    </w:p>
    <w:p w14:paraId="3486FBCA" w14:textId="77777777" w:rsidR="00AA32D7" w:rsidRDefault="00AA32D7" w:rsidP="00AA32D7">
      <w:pPr>
        <w:spacing w:after="0" w:line="240" w:lineRule="auto"/>
      </w:pPr>
    </w:p>
    <w:p w14:paraId="39763DD0" w14:textId="77777777" w:rsidR="00AA32D7" w:rsidRDefault="00AA32D7" w:rsidP="00AA32D7">
      <w:pPr>
        <w:spacing w:after="0" w:line="240" w:lineRule="auto"/>
      </w:pPr>
    </w:p>
    <w:p w14:paraId="082E2EB4" w14:textId="77777777" w:rsidR="00AA32D7" w:rsidRDefault="00AA32D7" w:rsidP="00AA32D7">
      <w:pPr>
        <w:spacing w:after="0" w:line="240" w:lineRule="auto"/>
      </w:pPr>
    </w:p>
    <w:p w14:paraId="6EC27692" w14:textId="77777777" w:rsidR="00AA32D7" w:rsidRDefault="00AA32D7" w:rsidP="00AA32D7">
      <w:pPr>
        <w:spacing w:after="0" w:line="240" w:lineRule="auto"/>
      </w:pPr>
    </w:p>
    <w:p w14:paraId="354BAE4F" w14:textId="77777777" w:rsidR="00AA32D7" w:rsidRDefault="00AA32D7" w:rsidP="00AA32D7">
      <w:pPr>
        <w:spacing w:after="0" w:line="240" w:lineRule="auto"/>
      </w:pPr>
    </w:p>
    <w:p w14:paraId="336ADC80" w14:textId="77777777" w:rsidR="00AA32D7" w:rsidRDefault="00AA32D7" w:rsidP="00AA32D7">
      <w:pPr>
        <w:spacing w:after="0" w:line="240" w:lineRule="auto"/>
      </w:pPr>
    </w:p>
    <w:p w14:paraId="2599DF23" w14:textId="77777777" w:rsidR="00AA32D7" w:rsidRDefault="00AA32D7" w:rsidP="00AA32D7">
      <w:pPr>
        <w:spacing w:after="0" w:line="240" w:lineRule="auto"/>
      </w:pPr>
    </w:p>
    <w:p w14:paraId="1B1203E1" w14:textId="77777777" w:rsidR="00AA32D7" w:rsidRDefault="00AA32D7" w:rsidP="00AA32D7">
      <w:pPr>
        <w:spacing w:after="0" w:line="240" w:lineRule="auto"/>
      </w:pPr>
    </w:p>
    <w:p w14:paraId="1D2B9121" w14:textId="77777777" w:rsidR="00AA32D7" w:rsidRDefault="00AA32D7" w:rsidP="00AA32D7">
      <w:pPr>
        <w:spacing w:after="0" w:line="240" w:lineRule="auto"/>
      </w:pPr>
    </w:p>
    <w:p w14:paraId="2B6B4FEB" w14:textId="77777777" w:rsidR="00AA32D7" w:rsidRDefault="00AA32D7" w:rsidP="00AA32D7">
      <w:pPr>
        <w:spacing w:after="0" w:line="240" w:lineRule="auto"/>
      </w:pPr>
    </w:p>
    <w:p w14:paraId="4EE5B54C" w14:textId="77777777" w:rsidR="00AA32D7" w:rsidRDefault="00AA32D7" w:rsidP="00AA32D7">
      <w:pPr>
        <w:spacing w:after="0" w:line="240" w:lineRule="auto"/>
      </w:pPr>
    </w:p>
    <w:p w14:paraId="5D691706" w14:textId="77777777" w:rsidR="00AA32D7" w:rsidRDefault="00AA32D7" w:rsidP="00AA32D7">
      <w:pPr>
        <w:spacing w:after="0" w:line="240" w:lineRule="auto"/>
      </w:pPr>
    </w:p>
    <w:p w14:paraId="23A52908" w14:textId="77777777" w:rsidR="00AA32D7" w:rsidRDefault="00AA32D7" w:rsidP="00AA32D7">
      <w:pPr>
        <w:spacing w:after="0" w:line="240" w:lineRule="auto"/>
      </w:pPr>
    </w:p>
    <w:p w14:paraId="1223E84F" w14:textId="77777777" w:rsidR="00AA32D7" w:rsidRDefault="00AA32D7" w:rsidP="00AA32D7">
      <w:pPr>
        <w:spacing w:after="0" w:line="240" w:lineRule="auto"/>
      </w:pPr>
    </w:p>
    <w:p w14:paraId="0693CE5C" w14:textId="77777777" w:rsidR="00AA32D7" w:rsidRDefault="00AA32D7" w:rsidP="00AA32D7">
      <w:pPr>
        <w:spacing w:after="0" w:line="240" w:lineRule="auto"/>
      </w:pPr>
    </w:p>
    <w:p w14:paraId="6F60409D" w14:textId="77777777" w:rsidR="00AA32D7" w:rsidRDefault="00AA32D7" w:rsidP="00AA32D7">
      <w:pPr>
        <w:spacing w:after="0" w:line="240" w:lineRule="auto"/>
      </w:pPr>
    </w:p>
    <w:p w14:paraId="5A9BB2C8" w14:textId="77777777" w:rsidR="00AA32D7" w:rsidRDefault="00AA32D7" w:rsidP="00AA32D7">
      <w:pPr>
        <w:spacing w:after="0" w:line="240" w:lineRule="auto"/>
      </w:pPr>
    </w:p>
    <w:p w14:paraId="2226844A" w14:textId="77777777" w:rsidR="00AA32D7" w:rsidRDefault="00AA32D7" w:rsidP="00AA32D7">
      <w:pPr>
        <w:spacing w:after="0" w:line="240" w:lineRule="auto"/>
      </w:pPr>
    </w:p>
    <w:p w14:paraId="3AADD85C" w14:textId="77777777" w:rsidR="00AA32D7" w:rsidRDefault="00AA32D7" w:rsidP="00AA32D7">
      <w:pPr>
        <w:spacing w:after="0" w:line="240" w:lineRule="auto"/>
      </w:pPr>
    </w:p>
    <w:p w14:paraId="3A521438" w14:textId="77777777" w:rsidR="00AA32D7" w:rsidRDefault="00AA32D7" w:rsidP="00AA32D7">
      <w:pPr>
        <w:spacing w:after="0" w:line="240" w:lineRule="auto"/>
      </w:pPr>
    </w:p>
    <w:p w14:paraId="79DE772A" w14:textId="77777777" w:rsidR="00AA32D7" w:rsidRDefault="00AA32D7" w:rsidP="00AA32D7">
      <w:pPr>
        <w:spacing w:after="0" w:line="240" w:lineRule="auto"/>
      </w:pPr>
    </w:p>
    <w:p w14:paraId="668E89C1" w14:textId="77777777" w:rsidR="00AA32D7" w:rsidRDefault="00AA32D7" w:rsidP="00AA32D7">
      <w:pPr>
        <w:spacing w:after="0" w:line="240" w:lineRule="auto"/>
      </w:pPr>
    </w:p>
    <w:sdt>
      <w:sdtPr>
        <w:rPr>
          <w:rFonts w:ascii="Arial" w:eastAsiaTheme="minorHAnsi" w:hAnsi="Arial" w:cs="Arial"/>
          <w:color w:val="auto"/>
          <w:sz w:val="24"/>
          <w:szCs w:val="22"/>
          <w:lang w:val="en-GB"/>
        </w:rPr>
        <w:id w:val="-1687975112"/>
        <w:docPartObj>
          <w:docPartGallery w:val="Table of Contents"/>
          <w:docPartUnique/>
        </w:docPartObj>
      </w:sdtPr>
      <w:sdtContent>
        <w:p w14:paraId="2D26E601" w14:textId="77777777" w:rsidR="007E6C47" w:rsidRPr="003244EC" w:rsidRDefault="007E6C47" w:rsidP="003244EC">
          <w:pPr>
            <w:pStyle w:val="TOCHeading"/>
            <w:spacing w:line="240" w:lineRule="auto"/>
            <w:jc w:val="both"/>
            <w:rPr>
              <w:rFonts w:ascii="Arial" w:hAnsi="Arial" w:cs="Arial"/>
            </w:rPr>
          </w:pPr>
          <w:r w:rsidRPr="003244EC">
            <w:rPr>
              <w:rFonts w:ascii="Arial" w:hAnsi="Arial" w:cs="Arial"/>
            </w:rPr>
            <w:t>Table of Contents</w:t>
          </w:r>
        </w:p>
        <w:p w14:paraId="7EC6241E" w14:textId="1B565551" w:rsidR="00C710C5" w:rsidRPr="003244EC" w:rsidRDefault="00AA32D7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r w:rsidRPr="003244EC">
            <w:rPr>
              <w:rFonts w:cs="Arial"/>
            </w:rPr>
            <w:fldChar w:fldCharType="begin"/>
          </w:r>
          <w:r w:rsidRPr="003244EC">
            <w:rPr>
              <w:rFonts w:cs="Arial"/>
            </w:rPr>
            <w:instrText xml:space="preserve"> TOC \o "1-3" \h \z \u </w:instrText>
          </w:r>
          <w:r w:rsidRPr="003244EC">
            <w:rPr>
              <w:rFonts w:cs="Arial"/>
            </w:rPr>
            <w:fldChar w:fldCharType="separate"/>
          </w:r>
          <w:hyperlink w:anchor="_Toc158734415" w:history="1">
            <w:r w:rsidR="00C710C5" w:rsidRPr="003244EC">
              <w:rPr>
                <w:rStyle w:val="Hyperlink"/>
                <w:rFonts w:cs="Arial"/>
              </w:rPr>
              <w:t>Summary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_Toc158734415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3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126483AB" w14:textId="1CBA6FFF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16" w:history="1">
            <w:r w:rsidR="00C710C5" w:rsidRPr="003244EC">
              <w:rPr>
                <w:rStyle w:val="Hyperlink"/>
                <w:rFonts w:cs="Arial"/>
              </w:rPr>
              <w:t>Glossary of Terms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_Toc158734416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3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351BF8D6" w14:textId="12E1C232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17" w:history="1">
            <w:r w:rsidR="00C710C5" w:rsidRPr="003244EC">
              <w:rPr>
                <w:rStyle w:val="Hyperlink"/>
                <w:rFonts w:cs="Arial"/>
              </w:rPr>
              <w:t>Purpose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_Toc158734417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3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0D25E8AF" w14:textId="2FD1D204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18" w:history="1">
            <w:r w:rsidR="00C710C5" w:rsidRPr="003244EC">
              <w:rPr>
                <w:rStyle w:val="Hyperlink"/>
                <w:rFonts w:cs="Arial"/>
              </w:rPr>
              <w:t>Policy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_Toc158734418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3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025C4B3C" w14:textId="0EEEC244" w:rsidR="00C710C5" w:rsidRPr="003244EC" w:rsidRDefault="00000000" w:rsidP="003244EC">
          <w:pPr>
            <w:pStyle w:val="TOC2"/>
            <w:jc w:val="both"/>
            <w:rPr>
              <w:rFonts w:eastAsiaTheme="minorEastAsia" w:cs="Arial"/>
              <w:kern w:val="2"/>
              <w:sz w:val="22"/>
              <w14:ligatures w14:val="standardContextual"/>
            </w:rPr>
          </w:pPr>
          <w:hyperlink w:anchor="_Toc158734419" w:history="1">
            <w:r w:rsidR="00C710C5" w:rsidRPr="003244EC">
              <w:rPr>
                <w:rStyle w:val="Hyperlink"/>
                <w:rFonts w:cs="Arial"/>
              </w:rPr>
              <w:t>Tuition fee deposits and up-front payments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_Toc158734419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3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29BEDF1E" w14:textId="184575D9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0" w:history="1">
            <w:r w:rsidR="00C710C5" w:rsidRPr="003244EC">
              <w:rPr>
                <w:rStyle w:val="Hyperlink"/>
                <w:rFonts w:eastAsia="Times New Roman" w:cs="Arial"/>
                <w:noProof/>
                <w:lang w:eastAsia="en-GB"/>
              </w:rPr>
              <w:t>New Students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_Toc158734420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3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A823CB9" w14:textId="519D5EEC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1" w:history="1">
            <w:r w:rsidR="00C710C5" w:rsidRPr="003244EC">
              <w:rPr>
                <w:rStyle w:val="Hyperlink"/>
                <w:rFonts w:eastAsia="Times New Roman" w:cs="Arial"/>
                <w:noProof/>
                <w:lang w:eastAsia="en-GB"/>
              </w:rPr>
              <w:t>Continuing students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_Toc158734421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3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1603FE1" w14:textId="0A5DCFB7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22" w:history="1">
            <w:r w:rsidR="00C710C5" w:rsidRPr="003244EC">
              <w:rPr>
                <w:rStyle w:val="Hyperlink"/>
                <w:rFonts w:cs="Arial"/>
              </w:rPr>
              <w:t>Fee Payment Arrangements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_Toc158734422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4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347F56D5" w14:textId="42526444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3" w:history="1">
            <w:r w:rsidR="00C710C5" w:rsidRPr="003244EC">
              <w:rPr>
                <w:rStyle w:val="Hyperlink"/>
                <w:rFonts w:cs="Arial"/>
                <w:noProof/>
              </w:rPr>
              <w:t>Undergraduate and Postgraduate programmes only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_Toc158734423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4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432F6C8" w14:textId="5E30A6CF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4" w:history="1">
            <w:r w:rsidR="00C710C5" w:rsidRPr="003244EC">
              <w:rPr>
                <w:rStyle w:val="Hyperlink"/>
                <w:rFonts w:cs="Arial"/>
                <w:noProof/>
              </w:rPr>
              <w:t>Short term or semester long programmes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_Toc158734424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4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232227D" w14:textId="3685228C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25" w:history="1">
            <w:r w:rsidR="00C710C5" w:rsidRPr="003244EC">
              <w:rPr>
                <w:rStyle w:val="Hyperlink"/>
                <w:rFonts w:cs="Arial"/>
              </w:rPr>
              <w:t>Withdrawals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_Toc158734425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4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5861C1FE" w14:textId="6FEAB8F5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6" w:history="1">
            <w:r w:rsidR="00C710C5" w:rsidRPr="003244EC">
              <w:rPr>
                <w:rStyle w:val="Hyperlink"/>
                <w:rFonts w:eastAsia="Times New Roman" w:cs="Arial"/>
                <w:noProof/>
                <w:lang w:eastAsia="en-GB"/>
              </w:rPr>
              <w:t>Undergraduate and Postgraduate programmes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_Toc158734426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4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95C0A0A" w14:textId="4F28ADB9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7" w:history="1">
            <w:r w:rsidR="00C710C5" w:rsidRPr="003244EC">
              <w:rPr>
                <w:rStyle w:val="Hyperlink"/>
                <w:rFonts w:cs="Arial"/>
                <w:noProof/>
              </w:rPr>
              <w:t>Short term programmes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_Toc158734427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5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AF9E72B" w14:textId="41F8E681" w:rsidR="00C710C5" w:rsidRPr="003244EC" w:rsidRDefault="00000000" w:rsidP="003244EC">
          <w:pPr>
            <w:pStyle w:val="TOC3"/>
            <w:tabs>
              <w:tab w:val="right" w:leader="dot" w:pos="9016"/>
            </w:tabs>
            <w:jc w:val="both"/>
            <w:rPr>
              <w:rFonts w:eastAsiaTheme="minorEastAsia" w:cs="Arial"/>
              <w:noProof/>
              <w:kern w:val="2"/>
              <w:sz w:val="22"/>
              <w:lang w:eastAsia="en-GB"/>
              <w14:ligatures w14:val="standardContextual"/>
            </w:rPr>
          </w:pPr>
          <w:hyperlink w:anchor="_Toc158734428" w:history="1">
            <w:r w:rsidR="00C710C5" w:rsidRPr="003244EC">
              <w:rPr>
                <w:rStyle w:val="Hyperlink"/>
                <w:rFonts w:cs="Arial"/>
                <w:noProof/>
              </w:rPr>
              <w:t>Semester long programmes</w:t>
            </w:r>
            <w:r w:rsidR="00C710C5" w:rsidRPr="003244EC">
              <w:rPr>
                <w:rFonts w:cs="Arial"/>
                <w:noProof/>
                <w:webHidden/>
              </w:rPr>
              <w:tab/>
            </w:r>
            <w:r w:rsidR="00C710C5" w:rsidRPr="003244EC">
              <w:rPr>
                <w:rFonts w:cs="Arial"/>
                <w:noProof/>
                <w:webHidden/>
              </w:rPr>
              <w:fldChar w:fldCharType="begin"/>
            </w:r>
            <w:r w:rsidR="00C710C5" w:rsidRPr="003244EC">
              <w:rPr>
                <w:rFonts w:cs="Arial"/>
                <w:noProof/>
                <w:webHidden/>
              </w:rPr>
              <w:instrText xml:space="preserve"> PAGEREF _Toc158734428 \h </w:instrText>
            </w:r>
            <w:r w:rsidR="00C710C5" w:rsidRPr="003244EC">
              <w:rPr>
                <w:rFonts w:cs="Arial"/>
                <w:noProof/>
                <w:webHidden/>
              </w:rPr>
            </w:r>
            <w:r w:rsidR="00C710C5" w:rsidRPr="003244EC">
              <w:rPr>
                <w:rFonts w:cs="Arial"/>
                <w:noProof/>
                <w:webHidden/>
              </w:rPr>
              <w:fldChar w:fldCharType="separate"/>
            </w:r>
            <w:r w:rsidR="006C15DF" w:rsidRPr="003244EC">
              <w:rPr>
                <w:rFonts w:cs="Arial"/>
                <w:noProof/>
                <w:webHidden/>
              </w:rPr>
              <w:t>5</w:t>
            </w:r>
            <w:r w:rsidR="00C710C5" w:rsidRPr="003244EC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02625AE" w14:textId="63910673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29" w:history="1">
            <w:r w:rsidR="00C710C5" w:rsidRPr="003244EC">
              <w:rPr>
                <w:rStyle w:val="Hyperlink"/>
                <w:rFonts w:cs="Arial"/>
              </w:rPr>
              <w:t>Refunds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_Toc158734429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5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52803B82" w14:textId="28EB42FD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30" w:history="1">
            <w:r w:rsidR="00C710C5" w:rsidRPr="003244EC">
              <w:rPr>
                <w:rStyle w:val="Hyperlink"/>
                <w:rFonts w:eastAsiaTheme="majorEastAsia" w:cs="Arial"/>
              </w:rPr>
              <w:t>Annexes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_Toc158734430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6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1C77C605" w14:textId="1170BDC8" w:rsidR="00C710C5" w:rsidRPr="003244EC" w:rsidRDefault="00000000" w:rsidP="003244EC">
          <w:pPr>
            <w:pStyle w:val="TOC1"/>
            <w:jc w:val="both"/>
            <w:rPr>
              <w:rFonts w:eastAsiaTheme="minorEastAsia" w:cs="Arial"/>
              <w:kern w:val="2"/>
              <w:sz w:val="22"/>
              <w:lang w:eastAsia="en-GB"/>
              <w14:ligatures w14:val="standardContextual"/>
            </w:rPr>
          </w:pPr>
          <w:hyperlink w:anchor="_Toc158734431" w:history="1">
            <w:r w:rsidR="00C710C5" w:rsidRPr="003244EC">
              <w:rPr>
                <w:rStyle w:val="Hyperlink"/>
                <w:rFonts w:eastAsiaTheme="majorEastAsia" w:cs="Arial"/>
              </w:rPr>
              <w:t>Endmatter</w:t>
            </w:r>
            <w:r w:rsidR="00C710C5" w:rsidRPr="003244EC">
              <w:rPr>
                <w:rFonts w:cs="Arial"/>
                <w:webHidden/>
              </w:rPr>
              <w:tab/>
            </w:r>
            <w:r w:rsidR="00C710C5" w:rsidRPr="003244EC">
              <w:rPr>
                <w:rFonts w:cs="Arial"/>
                <w:webHidden/>
              </w:rPr>
              <w:fldChar w:fldCharType="begin"/>
            </w:r>
            <w:r w:rsidR="00C710C5" w:rsidRPr="003244EC">
              <w:rPr>
                <w:rFonts w:cs="Arial"/>
                <w:webHidden/>
              </w:rPr>
              <w:instrText xml:space="preserve"> PAGEREF _Toc158734431 \h </w:instrText>
            </w:r>
            <w:r w:rsidR="00C710C5" w:rsidRPr="003244EC">
              <w:rPr>
                <w:rFonts w:cs="Arial"/>
                <w:webHidden/>
              </w:rPr>
            </w:r>
            <w:r w:rsidR="00C710C5" w:rsidRPr="003244EC">
              <w:rPr>
                <w:rFonts w:cs="Arial"/>
                <w:webHidden/>
              </w:rPr>
              <w:fldChar w:fldCharType="separate"/>
            </w:r>
            <w:r w:rsidR="006C15DF" w:rsidRPr="003244EC">
              <w:rPr>
                <w:rFonts w:cs="Arial"/>
                <w:webHidden/>
              </w:rPr>
              <w:t>7</w:t>
            </w:r>
            <w:r w:rsidR="00C710C5" w:rsidRPr="003244EC">
              <w:rPr>
                <w:rFonts w:cs="Arial"/>
                <w:webHidden/>
              </w:rPr>
              <w:fldChar w:fldCharType="end"/>
            </w:r>
          </w:hyperlink>
        </w:p>
        <w:p w14:paraId="4E1A6359" w14:textId="39F45CDF" w:rsidR="00AA32D7" w:rsidRPr="003244EC" w:rsidRDefault="00AA32D7" w:rsidP="003244EC">
          <w:pPr>
            <w:jc w:val="both"/>
            <w:rPr>
              <w:rFonts w:cs="Arial"/>
            </w:rPr>
          </w:pPr>
          <w:r w:rsidRPr="003244EC">
            <w:rPr>
              <w:rFonts w:cs="Arial"/>
            </w:rPr>
            <w:fldChar w:fldCharType="end"/>
          </w:r>
        </w:p>
      </w:sdtContent>
    </w:sdt>
    <w:p w14:paraId="65623A47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046293AF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54C8448A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21FA432B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18EF84B7" w14:textId="23673CF3" w:rsidR="00AA32D7" w:rsidRPr="003244EC" w:rsidRDefault="00AA32D7" w:rsidP="003244EC">
      <w:pPr>
        <w:jc w:val="both"/>
        <w:rPr>
          <w:rFonts w:cs="Arial"/>
          <w:b/>
          <w:sz w:val="36"/>
        </w:rPr>
      </w:pPr>
      <w:r w:rsidRPr="003244EC">
        <w:rPr>
          <w:rFonts w:cs="Arial"/>
          <w:b/>
          <w:sz w:val="36"/>
        </w:rPr>
        <w:br w:type="page"/>
      </w:r>
    </w:p>
    <w:p w14:paraId="37C32DE2" w14:textId="77777777" w:rsidR="00AA32D7" w:rsidRPr="003244EC" w:rsidRDefault="00AA32D7" w:rsidP="003244EC">
      <w:pPr>
        <w:pStyle w:val="Heading1"/>
        <w:spacing w:before="0" w:after="100" w:afterAutospacing="1" w:line="240" w:lineRule="auto"/>
        <w:jc w:val="both"/>
        <w:rPr>
          <w:rFonts w:ascii="Arial" w:hAnsi="Arial" w:cs="Arial"/>
        </w:rPr>
      </w:pPr>
      <w:bookmarkStart w:id="1" w:name="_Toc37269459"/>
      <w:bookmarkStart w:id="2" w:name="_Toc158734415"/>
      <w:r w:rsidRPr="003244EC">
        <w:rPr>
          <w:rFonts w:ascii="Arial" w:hAnsi="Arial" w:cs="Arial"/>
        </w:rPr>
        <w:lastRenderedPageBreak/>
        <w:t>Summary</w:t>
      </w:r>
      <w:bookmarkEnd w:id="1"/>
      <w:bookmarkEnd w:id="2"/>
      <w:r w:rsidRPr="003244EC">
        <w:rPr>
          <w:rFonts w:ascii="Arial" w:hAnsi="Arial" w:cs="Arial"/>
        </w:rPr>
        <w:t xml:space="preserve"> </w:t>
      </w:r>
    </w:p>
    <w:p w14:paraId="55C402EE" w14:textId="77777777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</w:rPr>
        <w:t>This document outlines the agreed policy for payment and refunds of international student tuition fees.</w:t>
      </w:r>
    </w:p>
    <w:p w14:paraId="5BB13768" w14:textId="77777777" w:rsidR="00AA32D7" w:rsidRPr="003244EC" w:rsidRDefault="00AA32D7" w:rsidP="003244EC">
      <w:pPr>
        <w:pStyle w:val="Heading1"/>
        <w:spacing w:before="0" w:after="100" w:afterAutospacing="1" w:line="240" w:lineRule="auto"/>
        <w:jc w:val="both"/>
        <w:rPr>
          <w:rFonts w:ascii="Arial" w:hAnsi="Arial" w:cs="Arial"/>
        </w:rPr>
      </w:pPr>
      <w:bookmarkStart w:id="3" w:name="_Toc37269460"/>
      <w:bookmarkStart w:id="4" w:name="_Toc158734416"/>
      <w:r w:rsidRPr="003244EC">
        <w:rPr>
          <w:rFonts w:ascii="Arial" w:hAnsi="Arial" w:cs="Arial"/>
        </w:rPr>
        <w:t>Glossary of Terms</w:t>
      </w:r>
      <w:bookmarkEnd w:id="3"/>
      <w:bookmarkEnd w:id="4"/>
      <w:r w:rsidRPr="003244EC">
        <w:rPr>
          <w:rFonts w:ascii="Arial" w:hAnsi="Arial" w:cs="Arial"/>
        </w:rPr>
        <w:t xml:space="preserve"> </w:t>
      </w:r>
    </w:p>
    <w:p w14:paraId="38A76D8B" w14:textId="77777777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</w:rPr>
        <w:t xml:space="preserve">Not applicable. </w:t>
      </w:r>
    </w:p>
    <w:p w14:paraId="0A224265" w14:textId="77777777" w:rsidR="00AA32D7" w:rsidRPr="003244EC" w:rsidRDefault="00AA32D7" w:rsidP="003244EC">
      <w:pPr>
        <w:pStyle w:val="Heading1"/>
        <w:spacing w:before="0" w:after="100" w:afterAutospacing="1" w:line="240" w:lineRule="auto"/>
        <w:jc w:val="both"/>
        <w:rPr>
          <w:rFonts w:ascii="Arial" w:hAnsi="Arial" w:cs="Arial"/>
        </w:rPr>
      </w:pPr>
      <w:bookmarkStart w:id="5" w:name="_Toc37269461"/>
      <w:bookmarkStart w:id="6" w:name="_Toc158734417"/>
      <w:r w:rsidRPr="003244EC">
        <w:rPr>
          <w:rFonts w:ascii="Arial" w:hAnsi="Arial" w:cs="Arial"/>
        </w:rPr>
        <w:t>Purpose</w:t>
      </w:r>
      <w:bookmarkEnd w:id="5"/>
      <w:bookmarkEnd w:id="6"/>
      <w:r w:rsidRPr="003244EC">
        <w:rPr>
          <w:rFonts w:ascii="Arial" w:hAnsi="Arial" w:cs="Arial"/>
        </w:rPr>
        <w:t xml:space="preserve"> </w:t>
      </w:r>
    </w:p>
    <w:p w14:paraId="5F59C873" w14:textId="254BE1D0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</w:rPr>
        <w:t>This Policy sets out tuition fee structures and charging arrangements for the benefit of international students and University colleagues. It is to be read in conjunction with the University</w:t>
      </w:r>
      <w:r w:rsidR="00BA31DC" w:rsidRPr="003244EC">
        <w:rPr>
          <w:rFonts w:cs="Arial"/>
        </w:rPr>
        <w:t>’s</w:t>
      </w:r>
      <w:r w:rsidRPr="003244EC">
        <w:rPr>
          <w:rFonts w:cs="Arial"/>
        </w:rPr>
        <w:t xml:space="preserve"> Tuition Fee Regulations.</w:t>
      </w:r>
    </w:p>
    <w:p w14:paraId="126BC09E" w14:textId="14DF55AF" w:rsidR="00AA32D7" w:rsidRPr="003244EC" w:rsidRDefault="00AA32D7" w:rsidP="003244EC">
      <w:pPr>
        <w:pStyle w:val="Heading1"/>
        <w:jc w:val="both"/>
        <w:rPr>
          <w:rFonts w:ascii="Arial" w:hAnsi="Arial" w:cs="Arial"/>
        </w:rPr>
      </w:pPr>
      <w:bookmarkStart w:id="7" w:name="_Toc37269462"/>
      <w:bookmarkStart w:id="8" w:name="_Toc158734418"/>
      <w:r w:rsidRPr="003244EC">
        <w:rPr>
          <w:rFonts w:ascii="Arial" w:hAnsi="Arial" w:cs="Arial"/>
        </w:rPr>
        <w:t>Policy</w:t>
      </w:r>
      <w:bookmarkEnd w:id="7"/>
      <w:bookmarkEnd w:id="8"/>
    </w:p>
    <w:p w14:paraId="22C243FB" w14:textId="45DDD1B0" w:rsidR="00D5443E" w:rsidRPr="003244EC" w:rsidRDefault="00D5443E" w:rsidP="003244EC">
      <w:pPr>
        <w:pStyle w:val="Heading2"/>
        <w:jc w:val="both"/>
        <w:rPr>
          <w:rFonts w:ascii="Arial" w:eastAsia="Times New Roman" w:hAnsi="Arial" w:cs="Arial"/>
          <w:lang w:eastAsia="en-GB"/>
        </w:rPr>
      </w:pPr>
      <w:bookmarkStart w:id="9" w:name="_Toc158734419"/>
      <w:bookmarkStart w:id="10" w:name="_Toc37269463"/>
      <w:r w:rsidRPr="003244EC">
        <w:rPr>
          <w:rFonts w:ascii="Arial" w:eastAsia="Times New Roman" w:hAnsi="Arial" w:cs="Arial"/>
          <w:lang w:eastAsia="en-GB"/>
        </w:rPr>
        <w:t xml:space="preserve">Tuition fee deposits </w:t>
      </w:r>
      <w:r w:rsidR="00B56D6F" w:rsidRPr="003244EC">
        <w:rPr>
          <w:rFonts w:ascii="Arial" w:eastAsia="Times New Roman" w:hAnsi="Arial" w:cs="Arial"/>
          <w:lang w:eastAsia="en-GB"/>
        </w:rPr>
        <w:t xml:space="preserve">and </w:t>
      </w:r>
      <w:r w:rsidR="00057610" w:rsidRPr="003244EC">
        <w:rPr>
          <w:rFonts w:ascii="Arial" w:eastAsia="Times New Roman" w:hAnsi="Arial" w:cs="Arial"/>
          <w:lang w:eastAsia="en-GB"/>
        </w:rPr>
        <w:t xml:space="preserve">up-front </w:t>
      </w:r>
      <w:r w:rsidR="00B56D6F" w:rsidRPr="003244EC">
        <w:rPr>
          <w:rFonts w:ascii="Arial" w:eastAsia="Times New Roman" w:hAnsi="Arial" w:cs="Arial"/>
          <w:lang w:eastAsia="en-GB"/>
        </w:rPr>
        <w:t>payments</w:t>
      </w:r>
      <w:bookmarkEnd w:id="9"/>
    </w:p>
    <w:p w14:paraId="41FD7FE5" w14:textId="56AF6BAA" w:rsidR="0022199D" w:rsidRPr="003244EC" w:rsidRDefault="000577D7" w:rsidP="003244EC">
      <w:pPr>
        <w:pStyle w:val="Heading3"/>
        <w:jc w:val="both"/>
        <w:rPr>
          <w:rFonts w:ascii="Arial" w:hAnsi="Arial" w:cs="Arial"/>
          <w:lang w:eastAsia="en-GB"/>
        </w:rPr>
      </w:pPr>
      <w:bookmarkStart w:id="11" w:name="_Toc158734420"/>
      <w:r w:rsidRPr="003244EC">
        <w:rPr>
          <w:rFonts w:ascii="Arial" w:eastAsia="Times New Roman" w:hAnsi="Arial" w:cs="Arial"/>
          <w:lang w:eastAsia="en-GB"/>
        </w:rPr>
        <w:t>New Students</w:t>
      </w:r>
      <w:bookmarkEnd w:id="11"/>
    </w:p>
    <w:p w14:paraId="6A88E6D0" w14:textId="0E6EA37D" w:rsidR="000577D7" w:rsidRPr="003244EC" w:rsidRDefault="00F9020A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Students are required to pay a</w:t>
      </w:r>
      <w:r w:rsidR="003209FB">
        <w:rPr>
          <w:rFonts w:cs="Arial"/>
          <w:szCs w:val="24"/>
        </w:rPr>
        <w:t xml:space="preserve"> non-refundable</w:t>
      </w:r>
      <w:r w:rsidRPr="003244EC">
        <w:rPr>
          <w:rFonts w:cs="Arial"/>
          <w:szCs w:val="24"/>
        </w:rPr>
        <w:t xml:space="preserve"> deposit of </w:t>
      </w:r>
      <w:r w:rsidR="000577D7" w:rsidRPr="003244EC">
        <w:rPr>
          <w:rFonts w:cs="Arial"/>
          <w:szCs w:val="24"/>
        </w:rPr>
        <w:t>£4000</w:t>
      </w:r>
      <w:r w:rsidR="00D5443E" w:rsidRPr="003244EC">
        <w:rPr>
          <w:rFonts w:cs="Arial"/>
          <w:szCs w:val="24"/>
        </w:rPr>
        <w:t xml:space="preserve"> </w:t>
      </w:r>
      <w:r w:rsidR="00057610" w:rsidRPr="003244EC">
        <w:rPr>
          <w:rFonts w:cs="Arial"/>
          <w:szCs w:val="24"/>
        </w:rPr>
        <w:t xml:space="preserve">of </w:t>
      </w:r>
      <w:r w:rsidRPr="003244EC">
        <w:rPr>
          <w:rFonts w:cs="Arial"/>
          <w:szCs w:val="24"/>
        </w:rPr>
        <w:t>their tuition fee</w:t>
      </w:r>
      <w:r w:rsidR="000577D7" w:rsidRPr="003244EC">
        <w:rPr>
          <w:rFonts w:cs="Arial"/>
          <w:szCs w:val="24"/>
        </w:rPr>
        <w:t xml:space="preserve"> for the first year of </w:t>
      </w:r>
      <w:r w:rsidR="00401A2C" w:rsidRPr="003244EC">
        <w:rPr>
          <w:rFonts w:cs="Arial"/>
          <w:szCs w:val="24"/>
        </w:rPr>
        <w:t xml:space="preserve">foundation, undergraduate or postgraduate </w:t>
      </w:r>
      <w:r w:rsidR="000577D7" w:rsidRPr="003244EC">
        <w:rPr>
          <w:rFonts w:cs="Arial"/>
          <w:szCs w:val="24"/>
        </w:rPr>
        <w:t>study</w:t>
      </w:r>
      <w:r w:rsidR="00401A2C" w:rsidRPr="003244EC">
        <w:rPr>
          <w:rFonts w:cs="Arial"/>
          <w:szCs w:val="24"/>
        </w:rPr>
        <w:t>.</w:t>
      </w:r>
      <w:r w:rsidRPr="003244EC">
        <w:rPr>
          <w:rFonts w:cs="Arial"/>
          <w:szCs w:val="24"/>
        </w:rPr>
        <w:t xml:space="preserve"> </w:t>
      </w:r>
    </w:p>
    <w:p w14:paraId="7BAD1EE1" w14:textId="205EA912" w:rsidR="00F9020A" w:rsidRPr="003244EC" w:rsidRDefault="00F9020A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This must be paid after acceptance of offer and prior to either issuance of Confirmation of Acceptance to Study (CAS), or before enrolment, if a CAS is not required.</w:t>
      </w:r>
    </w:p>
    <w:p w14:paraId="4ECA710D" w14:textId="72721ADE" w:rsidR="000577D7" w:rsidRPr="003244EC" w:rsidRDefault="00F9020A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An acceptance of an offer and the receipt of this deposit are necessary before a CAS letter can be issued by the University</w:t>
      </w:r>
      <w:r w:rsidR="003244EC">
        <w:rPr>
          <w:rFonts w:cs="Arial"/>
          <w:szCs w:val="24"/>
        </w:rPr>
        <w:t>.</w:t>
      </w:r>
    </w:p>
    <w:p w14:paraId="05E254EA" w14:textId="77777777" w:rsidR="000577D7" w:rsidRPr="003244EC" w:rsidRDefault="000577D7" w:rsidP="003244EC">
      <w:pPr>
        <w:spacing w:after="0" w:line="240" w:lineRule="auto"/>
        <w:jc w:val="both"/>
        <w:rPr>
          <w:rFonts w:cs="Arial"/>
          <w:szCs w:val="24"/>
        </w:rPr>
      </w:pPr>
    </w:p>
    <w:p w14:paraId="09908293" w14:textId="33A4F7E9" w:rsidR="000577D7" w:rsidRPr="003244EC" w:rsidRDefault="00AB2C7E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Students studying short term or semester long programmes will be required to pay the full tuition fee for the programme</w:t>
      </w:r>
      <w:r w:rsidR="006F3A57" w:rsidRPr="003244EC">
        <w:rPr>
          <w:rFonts w:cs="Arial"/>
          <w:szCs w:val="24"/>
        </w:rPr>
        <w:t>.</w:t>
      </w:r>
      <w:r w:rsidRPr="003244EC">
        <w:rPr>
          <w:rFonts w:cs="Arial"/>
          <w:szCs w:val="24"/>
        </w:rPr>
        <w:t xml:space="preserve">  This must be paid after acceptance and prior to </w:t>
      </w:r>
      <w:r w:rsidR="003244EC">
        <w:rPr>
          <w:rFonts w:cs="Arial"/>
          <w:szCs w:val="24"/>
        </w:rPr>
        <w:t>enrolment</w:t>
      </w:r>
      <w:r w:rsidR="003209FB">
        <w:rPr>
          <w:rFonts w:cs="Arial"/>
          <w:szCs w:val="24"/>
        </w:rPr>
        <w:t xml:space="preserve"> and is non-refundable.</w:t>
      </w:r>
    </w:p>
    <w:p w14:paraId="1F68C928" w14:textId="77777777" w:rsidR="002301B7" w:rsidRPr="003244EC" w:rsidRDefault="002301B7" w:rsidP="003244EC">
      <w:pPr>
        <w:spacing w:after="0" w:line="240" w:lineRule="auto"/>
        <w:jc w:val="both"/>
        <w:rPr>
          <w:rFonts w:cs="Arial"/>
          <w:i/>
          <w:iCs/>
          <w:szCs w:val="24"/>
        </w:rPr>
      </w:pPr>
    </w:p>
    <w:p w14:paraId="7C690DE0" w14:textId="77777777" w:rsidR="006F3A57" w:rsidRPr="003244EC" w:rsidRDefault="006F3A57" w:rsidP="003244EC">
      <w:pPr>
        <w:spacing w:after="0" w:line="240" w:lineRule="auto"/>
        <w:jc w:val="both"/>
        <w:rPr>
          <w:rFonts w:cs="Arial"/>
          <w:szCs w:val="24"/>
        </w:rPr>
      </w:pPr>
    </w:p>
    <w:p w14:paraId="7D1F6813" w14:textId="58BE7CFF" w:rsidR="006F3A57" w:rsidRPr="003244EC" w:rsidRDefault="00B04B29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Deposit</w:t>
      </w:r>
      <w:r w:rsidR="00057610" w:rsidRPr="003244EC">
        <w:rPr>
          <w:rFonts w:cs="Arial"/>
          <w:szCs w:val="24"/>
        </w:rPr>
        <w:t>s and up-front payments</w:t>
      </w:r>
      <w:r w:rsidRPr="003244EC">
        <w:rPr>
          <w:rFonts w:cs="Arial"/>
          <w:szCs w:val="24"/>
        </w:rPr>
        <w:t xml:space="preserve"> are not required in the following circumstances:</w:t>
      </w:r>
    </w:p>
    <w:p w14:paraId="78B21C67" w14:textId="1D9D8A87" w:rsidR="00B04B29" w:rsidRPr="003244EC" w:rsidRDefault="00B04B29" w:rsidP="00324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If you are a government sponsored student</w:t>
      </w:r>
    </w:p>
    <w:p w14:paraId="3E343FCE" w14:textId="3DB65273" w:rsidR="00B04B29" w:rsidRPr="003244EC" w:rsidRDefault="00B04B29" w:rsidP="00324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If Edge Hill University has a fee payment agreement in place with your home university</w:t>
      </w:r>
    </w:p>
    <w:p w14:paraId="318AAC86" w14:textId="0ABEB715" w:rsidR="00461073" w:rsidRPr="003244EC" w:rsidRDefault="00461073" w:rsidP="00324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If Edge Hill University has awarded funding from the William D Ford US Federal Loan Program of an amount which covers the tuition fee for the first year of study</w:t>
      </w:r>
    </w:p>
    <w:p w14:paraId="69C40239" w14:textId="77777777" w:rsidR="00AB2C7E" w:rsidRPr="003244EC" w:rsidRDefault="00AB2C7E" w:rsidP="003244EC">
      <w:pPr>
        <w:spacing w:after="0" w:line="240" w:lineRule="auto"/>
        <w:jc w:val="both"/>
        <w:rPr>
          <w:rFonts w:cs="Arial"/>
          <w:szCs w:val="24"/>
        </w:rPr>
      </w:pPr>
    </w:p>
    <w:p w14:paraId="4024A60A" w14:textId="77777777" w:rsidR="00461073" w:rsidRPr="003244EC" w:rsidRDefault="000577D7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 xml:space="preserve"> </w:t>
      </w:r>
    </w:p>
    <w:p w14:paraId="32D9A12A" w14:textId="4049ACF0" w:rsidR="00F9020A" w:rsidRPr="003244EC" w:rsidRDefault="00057610" w:rsidP="003244EC">
      <w:pPr>
        <w:spacing w:after="0" w:line="240" w:lineRule="auto"/>
        <w:jc w:val="both"/>
        <w:rPr>
          <w:rFonts w:cs="Arial"/>
          <w:i/>
          <w:iCs/>
          <w:szCs w:val="24"/>
        </w:rPr>
      </w:pPr>
      <w:r w:rsidRPr="003244EC">
        <w:rPr>
          <w:rFonts w:cs="Arial"/>
          <w:i/>
          <w:iCs/>
          <w:szCs w:val="24"/>
        </w:rPr>
        <w:t xml:space="preserve">Refunds are only payable in certain circumstances, please see section </w:t>
      </w:r>
      <w:r w:rsidR="005D2FE5" w:rsidRPr="003244EC">
        <w:rPr>
          <w:rFonts w:cs="Arial"/>
          <w:i/>
          <w:iCs/>
          <w:szCs w:val="24"/>
        </w:rPr>
        <w:t>‘</w:t>
      </w:r>
      <w:r w:rsidRPr="003244EC">
        <w:rPr>
          <w:rFonts w:cs="Arial"/>
          <w:i/>
          <w:iCs/>
          <w:szCs w:val="24"/>
        </w:rPr>
        <w:t>R</w:t>
      </w:r>
      <w:r w:rsidR="005D2FE5" w:rsidRPr="003244EC">
        <w:rPr>
          <w:rFonts w:cs="Arial"/>
          <w:i/>
          <w:iCs/>
          <w:szCs w:val="24"/>
        </w:rPr>
        <w:t>EFUNDS</w:t>
      </w:r>
      <w:r w:rsidRPr="003244EC">
        <w:rPr>
          <w:rFonts w:cs="Arial"/>
          <w:i/>
          <w:iCs/>
          <w:szCs w:val="24"/>
        </w:rPr>
        <w:t>’ below</w:t>
      </w:r>
      <w:r w:rsidR="005D2FE5" w:rsidRPr="003244EC">
        <w:rPr>
          <w:rFonts w:cs="Arial"/>
          <w:i/>
          <w:iCs/>
          <w:szCs w:val="24"/>
        </w:rPr>
        <w:t xml:space="preserve"> for details.</w:t>
      </w:r>
    </w:p>
    <w:p w14:paraId="616F1562" w14:textId="77777777" w:rsidR="00057610" w:rsidRPr="003244EC" w:rsidRDefault="00057610" w:rsidP="003244EC">
      <w:pPr>
        <w:spacing w:after="0" w:line="240" w:lineRule="auto"/>
        <w:jc w:val="both"/>
        <w:rPr>
          <w:rFonts w:cs="Arial"/>
          <w:szCs w:val="24"/>
        </w:rPr>
      </w:pPr>
    </w:p>
    <w:p w14:paraId="431CD976" w14:textId="04DFCAD3" w:rsidR="00F9020A" w:rsidRPr="003244EC" w:rsidRDefault="006F3A57" w:rsidP="003244EC">
      <w:pPr>
        <w:pStyle w:val="Heading3"/>
        <w:jc w:val="both"/>
        <w:rPr>
          <w:rFonts w:ascii="Arial" w:eastAsia="Times New Roman" w:hAnsi="Arial" w:cs="Arial"/>
          <w:lang w:eastAsia="en-GB"/>
        </w:rPr>
      </w:pPr>
      <w:bookmarkStart w:id="12" w:name="_Toc158734421"/>
      <w:r w:rsidRPr="003244EC">
        <w:rPr>
          <w:rFonts w:ascii="Arial" w:eastAsia="Times New Roman" w:hAnsi="Arial" w:cs="Arial"/>
          <w:lang w:eastAsia="en-GB"/>
        </w:rPr>
        <w:t>Continuing students</w:t>
      </w:r>
      <w:bookmarkEnd w:id="12"/>
    </w:p>
    <w:p w14:paraId="021E6789" w14:textId="19626DDD" w:rsidR="006F3A57" w:rsidRPr="003244EC" w:rsidRDefault="006F3A57" w:rsidP="003244EC">
      <w:pPr>
        <w:spacing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iCs/>
          <w:szCs w:val="24"/>
          <w:lang w:eastAsia="en-GB"/>
        </w:rPr>
        <w:t>Continuing students must pay £4000 of the next year’s tuition fee before enrolment.</w:t>
      </w:r>
    </w:p>
    <w:p w14:paraId="52522231" w14:textId="77777777" w:rsidR="005D2FE5" w:rsidRPr="003244EC" w:rsidRDefault="005D2FE5" w:rsidP="003244EC">
      <w:pPr>
        <w:pStyle w:val="Heading1"/>
        <w:jc w:val="both"/>
        <w:rPr>
          <w:rFonts w:ascii="Arial" w:hAnsi="Arial" w:cs="Arial"/>
        </w:rPr>
      </w:pPr>
    </w:p>
    <w:p w14:paraId="214C9F8F" w14:textId="0FEB5615" w:rsidR="00AA32D7" w:rsidRPr="003244EC" w:rsidRDefault="00AA32D7" w:rsidP="003244EC">
      <w:pPr>
        <w:pStyle w:val="Heading1"/>
        <w:jc w:val="both"/>
        <w:rPr>
          <w:rFonts w:ascii="Arial" w:hAnsi="Arial" w:cs="Arial"/>
        </w:rPr>
      </w:pPr>
      <w:bookmarkStart w:id="13" w:name="_Toc158734422"/>
      <w:r w:rsidRPr="003244EC">
        <w:rPr>
          <w:rFonts w:ascii="Arial" w:hAnsi="Arial" w:cs="Arial"/>
        </w:rPr>
        <w:t>Fee Payment Arrangements</w:t>
      </w:r>
      <w:bookmarkEnd w:id="10"/>
      <w:bookmarkEnd w:id="13"/>
    </w:p>
    <w:p w14:paraId="1391E7CD" w14:textId="71843D41" w:rsidR="00AA32D7" w:rsidRPr="003244EC" w:rsidRDefault="00AA32D7" w:rsidP="003244EC">
      <w:pPr>
        <w:pStyle w:val="Heading3"/>
        <w:jc w:val="both"/>
        <w:rPr>
          <w:rFonts w:ascii="Arial" w:hAnsi="Arial" w:cs="Arial"/>
        </w:rPr>
      </w:pPr>
      <w:bookmarkStart w:id="14" w:name="_Toc158734423"/>
      <w:r w:rsidRPr="003244EC">
        <w:rPr>
          <w:rFonts w:ascii="Arial" w:hAnsi="Arial" w:cs="Arial"/>
        </w:rPr>
        <w:t>Undergraduate and Postgraduate</w:t>
      </w:r>
      <w:r w:rsidR="00FF5513" w:rsidRPr="003244EC">
        <w:rPr>
          <w:rFonts w:ascii="Arial" w:hAnsi="Arial" w:cs="Arial"/>
        </w:rPr>
        <w:t xml:space="preserve"> programmes</w:t>
      </w:r>
      <w:r w:rsidR="005D2FE5" w:rsidRPr="003244EC">
        <w:rPr>
          <w:rFonts w:ascii="Arial" w:hAnsi="Arial" w:cs="Arial"/>
        </w:rPr>
        <w:t xml:space="preserve"> only</w:t>
      </w:r>
      <w:bookmarkEnd w:id="14"/>
    </w:p>
    <w:p w14:paraId="49F1ADEA" w14:textId="1A6B97C2" w:rsidR="00AA32D7" w:rsidRPr="003244EC" w:rsidRDefault="00AA32D7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 xml:space="preserve">Remaining tuition fees are to be paid in </w:t>
      </w:r>
      <w:r w:rsidR="005C47F7" w:rsidRPr="003244EC">
        <w:rPr>
          <w:rFonts w:cs="Arial"/>
          <w:szCs w:val="24"/>
        </w:rPr>
        <w:t>t</w:t>
      </w:r>
      <w:r w:rsidR="006F3A57" w:rsidRPr="003244EC">
        <w:rPr>
          <w:rFonts w:cs="Arial"/>
          <w:szCs w:val="24"/>
        </w:rPr>
        <w:t>hree</w:t>
      </w:r>
      <w:r w:rsidR="00F83167" w:rsidRPr="003244EC">
        <w:rPr>
          <w:rFonts w:cs="Arial"/>
          <w:szCs w:val="24"/>
        </w:rPr>
        <w:t xml:space="preserve"> </w:t>
      </w:r>
      <w:r w:rsidRPr="003244EC">
        <w:rPr>
          <w:rFonts w:cs="Arial"/>
          <w:szCs w:val="24"/>
        </w:rPr>
        <w:t>equal instalments on the dates below:</w:t>
      </w:r>
    </w:p>
    <w:p w14:paraId="57A9D2C2" w14:textId="77777777" w:rsidR="00AA32D7" w:rsidRPr="003244EC" w:rsidRDefault="00AA32D7" w:rsidP="003244EC">
      <w:pPr>
        <w:spacing w:after="0" w:line="240" w:lineRule="auto"/>
        <w:jc w:val="both"/>
        <w:rPr>
          <w:rFonts w:cs="Arial"/>
          <w:szCs w:val="24"/>
        </w:rPr>
      </w:pP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3585"/>
        <w:gridCol w:w="5549"/>
      </w:tblGrid>
      <w:tr w:rsidR="00AA32D7" w:rsidRPr="003244EC" w14:paraId="0365D72E" w14:textId="77777777" w:rsidTr="00D03622">
        <w:trPr>
          <w:trHeight w:val="62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3C5" w14:textId="3393C81D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>August - September start</w:t>
            </w:r>
          </w:p>
          <w:p w14:paraId="1459D77F" w14:textId="77777777" w:rsidR="00AA32D7" w:rsidRPr="003244EC" w:rsidRDefault="00AA32D7" w:rsidP="003244EC">
            <w:pPr>
              <w:jc w:val="both"/>
              <w:rPr>
                <w:rFonts w:cs="Arial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EF30" w14:textId="1D1122E5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October </w:t>
            </w:r>
          </w:p>
          <w:p w14:paraId="6660EC49" w14:textId="48C43C0C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January  </w:t>
            </w:r>
          </w:p>
          <w:p w14:paraId="698A32E0" w14:textId="1B8DA7B4" w:rsidR="006F3A57" w:rsidRPr="003244EC" w:rsidRDefault="006F3A5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April </w:t>
            </w:r>
          </w:p>
          <w:p w14:paraId="2F55A348" w14:textId="4F4E333F" w:rsidR="00AA32D7" w:rsidRPr="003244EC" w:rsidRDefault="00AA32D7" w:rsidP="003244EC">
            <w:pPr>
              <w:jc w:val="both"/>
              <w:rPr>
                <w:rFonts w:cs="Arial"/>
              </w:rPr>
            </w:pPr>
          </w:p>
        </w:tc>
      </w:tr>
      <w:tr w:rsidR="00AA32D7" w:rsidRPr="003244EC" w14:paraId="7F8210FB" w14:textId="77777777" w:rsidTr="00D03622">
        <w:trPr>
          <w:trHeight w:val="70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0E7" w14:textId="44EBF49C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>January start</w:t>
            </w:r>
          </w:p>
          <w:p w14:paraId="1AB5A9AB" w14:textId="77777777" w:rsidR="00AA32D7" w:rsidRPr="003244EC" w:rsidRDefault="00AA32D7" w:rsidP="003244EC">
            <w:pPr>
              <w:jc w:val="both"/>
              <w:rPr>
                <w:rFonts w:cs="Arial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064" w14:textId="211CC2D1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February </w:t>
            </w:r>
          </w:p>
          <w:p w14:paraId="56F389CE" w14:textId="1A146BC4" w:rsidR="00AA32D7" w:rsidRPr="003244EC" w:rsidRDefault="00AA32D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May </w:t>
            </w:r>
          </w:p>
          <w:p w14:paraId="3EA5F3AD" w14:textId="05DB90A1" w:rsidR="00AA32D7" w:rsidRPr="003244EC" w:rsidRDefault="006F3A57" w:rsidP="003244EC">
            <w:pPr>
              <w:jc w:val="both"/>
              <w:rPr>
                <w:rFonts w:cs="Arial"/>
              </w:rPr>
            </w:pPr>
            <w:r w:rsidRPr="003244EC">
              <w:rPr>
                <w:rFonts w:cs="Arial"/>
              </w:rPr>
              <w:t xml:space="preserve">15 August </w:t>
            </w:r>
          </w:p>
        </w:tc>
      </w:tr>
    </w:tbl>
    <w:p w14:paraId="3BD264EB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11766F67" w14:textId="2F07FAE6" w:rsidR="00AA32D7" w:rsidRPr="003244EC" w:rsidRDefault="00AA32D7" w:rsidP="003244EC">
      <w:pPr>
        <w:spacing w:line="240" w:lineRule="auto"/>
        <w:contextualSpacing/>
        <w:jc w:val="both"/>
        <w:rPr>
          <w:rFonts w:eastAsia="Calibri" w:cs="Arial"/>
          <w:szCs w:val="24"/>
        </w:rPr>
      </w:pPr>
      <w:r w:rsidRPr="003244EC">
        <w:rPr>
          <w:rFonts w:eastAsia="Calibri" w:cs="Arial"/>
          <w:szCs w:val="24"/>
        </w:rPr>
        <w:t xml:space="preserve">For students in receipt of funding </w:t>
      </w:r>
      <w:r w:rsidR="005D2FE5" w:rsidRPr="003244EC">
        <w:rPr>
          <w:rFonts w:eastAsia="Calibri" w:cs="Arial"/>
          <w:szCs w:val="24"/>
        </w:rPr>
        <w:t xml:space="preserve">awarded by the University </w:t>
      </w:r>
      <w:r w:rsidRPr="003244EC">
        <w:rPr>
          <w:rFonts w:eastAsia="Calibri" w:cs="Arial"/>
          <w:szCs w:val="24"/>
        </w:rPr>
        <w:t>from the William D For</w:t>
      </w:r>
      <w:r w:rsidR="00AE618B" w:rsidRPr="003244EC">
        <w:rPr>
          <w:rFonts w:eastAsia="Calibri" w:cs="Arial"/>
          <w:szCs w:val="24"/>
        </w:rPr>
        <w:t>d</w:t>
      </w:r>
      <w:r w:rsidRPr="003244EC">
        <w:rPr>
          <w:rFonts w:eastAsia="Calibri" w:cs="Arial"/>
          <w:szCs w:val="24"/>
        </w:rPr>
        <w:t xml:space="preserve"> US Federal Loan Program, payment will be made in line with the confirmed payment schedule.</w:t>
      </w:r>
    </w:p>
    <w:p w14:paraId="079C88B4" w14:textId="77777777" w:rsidR="00AA32D7" w:rsidRPr="003244EC" w:rsidRDefault="00AA32D7" w:rsidP="003244EC">
      <w:pPr>
        <w:spacing w:line="240" w:lineRule="auto"/>
        <w:contextualSpacing/>
        <w:jc w:val="both"/>
        <w:rPr>
          <w:rFonts w:eastAsia="Calibri" w:cs="Arial"/>
          <w:szCs w:val="24"/>
        </w:rPr>
      </w:pPr>
    </w:p>
    <w:p w14:paraId="3C6414A8" w14:textId="296AD58B" w:rsidR="00F9020A" w:rsidRPr="003244EC" w:rsidRDefault="00AA32D7" w:rsidP="003244EC">
      <w:pPr>
        <w:spacing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iCs/>
          <w:szCs w:val="24"/>
          <w:lang w:eastAsia="en-GB"/>
        </w:rPr>
        <w:t>For government sponsored students</w:t>
      </w:r>
      <w:r w:rsidRPr="003244EC">
        <w:rPr>
          <w:rFonts w:eastAsia="Times New Roman" w:cs="Arial"/>
          <w:i/>
          <w:szCs w:val="24"/>
          <w:lang w:eastAsia="en-GB"/>
        </w:rPr>
        <w:t>,</w:t>
      </w:r>
      <w:r w:rsidRPr="003244EC">
        <w:rPr>
          <w:rFonts w:eastAsia="Times New Roman" w:cs="Arial"/>
          <w:szCs w:val="24"/>
          <w:lang w:eastAsia="en-GB"/>
        </w:rPr>
        <w:t xml:space="preserve"> separate arrangements will apply</w:t>
      </w:r>
      <w:r w:rsidR="00D05C8D" w:rsidRPr="003244EC">
        <w:rPr>
          <w:rFonts w:eastAsia="Times New Roman" w:cs="Arial"/>
          <w:szCs w:val="24"/>
          <w:lang w:eastAsia="en-GB"/>
        </w:rPr>
        <w:t>,</w:t>
      </w:r>
      <w:r w:rsidRPr="003244EC">
        <w:rPr>
          <w:rFonts w:eastAsia="Times New Roman" w:cs="Arial"/>
          <w:szCs w:val="24"/>
          <w:lang w:eastAsia="en-GB"/>
        </w:rPr>
        <w:t xml:space="preserve"> as agreed with individual government agencies.</w:t>
      </w:r>
    </w:p>
    <w:p w14:paraId="37FA2287" w14:textId="12BA8746" w:rsidR="00CD16B1" w:rsidRPr="003244EC" w:rsidRDefault="00CD16B1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Failure to adhere to these payment regulations may result in a University-led withdrawal and, where applicable</w:t>
      </w:r>
      <w:r w:rsidR="00BA3691" w:rsidRPr="003244EC">
        <w:rPr>
          <w:rFonts w:cs="Arial"/>
          <w:szCs w:val="24"/>
        </w:rPr>
        <w:t>,</w:t>
      </w:r>
      <w:r w:rsidRPr="003244EC">
        <w:rPr>
          <w:rFonts w:cs="Arial"/>
          <w:szCs w:val="24"/>
        </w:rPr>
        <w:t xml:space="preserve"> external debt collection referral.</w:t>
      </w:r>
    </w:p>
    <w:p w14:paraId="22D2A0D3" w14:textId="77777777" w:rsidR="00F9020A" w:rsidRPr="003244EC" w:rsidRDefault="00F9020A" w:rsidP="003244EC">
      <w:pPr>
        <w:spacing w:after="0" w:line="240" w:lineRule="auto"/>
        <w:jc w:val="both"/>
        <w:rPr>
          <w:rFonts w:cs="Arial"/>
          <w:b/>
          <w:szCs w:val="24"/>
        </w:rPr>
      </w:pPr>
    </w:p>
    <w:p w14:paraId="4A1CE511" w14:textId="26B91F07" w:rsidR="00FF5513" w:rsidRPr="003244EC" w:rsidRDefault="00FF5513" w:rsidP="003244EC">
      <w:pPr>
        <w:pStyle w:val="Heading3"/>
        <w:jc w:val="both"/>
        <w:rPr>
          <w:rFonts w:ascii="Arial" w:hAnsi="Arial" w:cs="Arial"/>
        </w:rPr>
      </w:pPr>
      <w:bookmarkStart w:id="15" w:name="_Toc158734424"/>
      <w:r w:rsidRPr="003244EC">
        <w:rPr>
          <w:rFonts w:ascii="Arial" w:hAnsi="Arial" w:cs="Arial"/>
        </w:rPr>
        <w:t>Short term or semester long programmes</w:t>
      </w:r>
      <w:bookmarkEnd w:id="15"/>
    </w:p>
    <w:p w14:paraId="2F1059BF" w14:textId="267E5B0A" w:rsidR="00FF5513" w:rsidRPr="003244EC" w:rsidRDefault="003244EC" w:rsidP="003244EC">
      <w:pPr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All</w:t>
      </w:r>
      <w:r w:rsidR="00FF5513" w:rsidRPr="003244EC">
        <w:rPr>
          <w:rFonts w:cs="Arial"/>
          <w:bCs/>
          <w:szCs w:val="24"/>
        </w:rPr>
        <w:t xml:space="preserve"> fees must be paid before enrolment.</w:t>
      </w:r>
    </w:p>
    <w:p w14:paraId="49FEA2B1" w14:textId="62C44465" w:rsidR="00AA32D7" w:rsidRPr="003244EC" w:rsidRDefault="00AA32D7" w:rsidP="003244EC">
      <w:pPr>
        <w:pStyle w:val="Heading1"/>
        <w:jc w:val="both"/>
        <w:rPr>
          <w:rFonts w:ascii="Arial" w:hAnsi="Arial" w:cs="Arial"/>
        </w:rPr>
      </w:pPr>
      <w:bookmarkStart w:id="16" w:name="_Toc37269464"/>
      <w:bookmarkStart w:id="17" w:name="_Toc158734425"/>
      <w:r w:rsidRPr="003244EC">
        <w:rPr>
          <w:rFonts w:ascii="Arial" w:hAnsi="Arial" w:cs="Arial"/>
        </w:rPr>
        <w:t>Withdrawals</w:t>
      </w:r>
      <w:bookmarkEnd w:id="16"/>
      <w:bookmarkEnd w:id="17"/>
    </w:p>
    <w:p w14:paraId="48B42CF4" w14:textId="27DFE70C" w:rsidR="00AA32D7" w:rsidRPr="003244EC" w:rsidRDefault="00757E15" w:rsidP="003244EC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The following applies to students who withdraw and those withdrawn by the university.</w:t>
      </w:r>
    </w:p>
    <w:p w14:paraId="0EF53F23" w14:textId="77777777" w:rsidR="00757E15" w:rsidRPr="003244EC" w:rsidRDefault="00757E15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</w:p>
    <w:p w14:paraId="26C83126" w14:textId="7F914967" w:rsidR="00AA32D7" w:rsidRPr="003244EC" w:rsidRDefault="00757E15" w:rsidP="003244EC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Date of withdrawal is</w:t>
      </w:r>
      <w:r w:rsidR="00AA32D7" w:rsidRPr="003244EC">
        <w:rPr>
          <w:rFonts w:eastAsia="Times New Roman" w:cs="Arial"/>
          <w:szCs w:val="24"/>
          <w:lang w:eastAsia="en-GB"/>
        </w:rPr>
        <w:t xml:space="preserve"> determined by the last date of</w:t>
      </w:r>
      <w:r w:rsidRPr="003244EC">
        <w:rPr>
          <w:rFonts w:eastAsia="Times New Roman" w:cs="Arial"/>
          <w:szCs w:val="24"/>
          <w:lang w:eastAsia="en-GB"/>
        </w:rPr>
        <w:t xml:space="preserve"> </w:t>
      </w:r>
      <w:r w:rsidR="00AA32D7" w:rsidRPr="003244EC">
        <w:rPr>
          <w:rFonts w:eastAsia="Times New Roman" w:cs="Arial"/>
          <w:szCs w:val="24"/>
          <w:lang w:eastAsia="en-GB"/>
        </w:rPr>
        <w:t>attendance/engagement as</w:t>
      </w:r>
      <w:r w:rsidRPr="003244EC">
        <w:rPr>
          <w:rFonts w:eastAsia="Times New Roman" w:cs="Arial"/>
          <w:szCs w:val="24"/>
          <w:lang w:eastAsia="en-GB"/>
        </w:rPr>
        <w:t xml:space="preserve"> </w:t>
      </w:r>
      <w:r w:rsidR="00AA32D7" w:rsidRPr="003244EC">
        <w:rPr>
          <w:rFonts w:eastAsia="Times New Roman" w:cs="Arial"/>
          <w:szCs w:val="24"/>
          <w:lang w:eastAsia="en-GB"/>
        </w:rPr>
        <w:t xml:space="preserve">outlined in the University Withdrawal Procedures </w:t>
      </w:r>
      <w:hyperlink r:id="rId7" w:history="1">
        <w:r w:rsidR="00EC095B" w:rsidRPr="003244EC">
          <w:rPr>
            <w:rStyle w:val="Hyperlink"/>
            <w:rFonts w:eastAsia="Times New Roman" w:cs="Arial"/>
            <w:szCs w:val="24"/>
            <w:lang w:eastAsia="en-GB"/>
          </w:rPr>
          <w:t>www.edgehill.ac.uk/departments/support/registry/academic-records/withdrawing/</w:t>
        </w:r>
      </w:hyperlink>
    </w:p>
    <w:p w14:paraId="691238CC" w14:textId="77777777" w:rsidR="00AA32D7" w:rsidRPr="003244EC" w:rsidRDefault="00AA32D7" w:rsidP="003244EC">
      <w:p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7B19DA93" w14:textId="77777777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 xml:space="preserve">Tuition fee liability will be calculated at the approved fee rate for the </w:t>
      </w:r>
      <w:proofErr w:type="gramStart"/>
      <w:r w:rsidRPr="003244EC">
        <w:rPr>
          <w:rFonts w:eastAsia="Times New Roman" w:cs="Arial"/>
          <w:szCs w:val="24"/>
          <w:lang w:eastAsia="en-GB"/>
        </w:rPr>
        <w:t>registered</w:t>
      </w:r>
      <w:proofErr w:type="gramEnd"/>
    </w:p>
    <w:p w14:paraId="29E32BE5" w14:textId="77777777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mode of study at the time of cessation of study.</w:t>
      </w:r>
    </w:p>
    <w:p w14:paraId="0B17B8A7" w14:textId="77777777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</w:p>
    <w:p w14:paraId="28138495" w14:textId="69671FBF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In the event of withdrawal or interruption of studies, a</w:t>
      </w:r>
      <w:r w:rsidR="0052192F" w:rsidRPr="003244EC">
        <w:rPr>
          <w:rFonts w:eastAsia="Times New Roman" w:cs="Arial"/>
          <w:szCs w:val="24"/>
          <w:lang w:eastAsia="en-GB"/>
        </w:rPr>
        <w:t>ny</w:t>
      </w:r>
      <w:r w:rsidRPr="003244EC">
        <w:rPr>
          <w:rFonts w:eastAsia="Times New Roman" w:cs="Arial"/>
          <w:szCs w:val="24"/>
          <w:lang w:eastAsia="en-GB"/>
        </w:rPr>
        <w:t xml:space="preserve"> scheduled bursary</w:t>
      </w:r>
    </w:p>
    <w:p w14:paraId="0FD21E86" w14:textId="2A939C63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payments will cease with immediate effect.</w:t>
      </w:r>
    </w:p>
    <w:p w14:paraId="1866D6BC" w14:textId="77777777" w:rsidR="00AC1484" w:rsidRPr="003244EC" w:rsidRDefault="00AC1484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</w:p>
    <w:p w14:paraId="26F52F45" w14:textId="77777777" w:rsidR="0052192F" w:rsidRPr="003244EC" w:rsidRDefault="0052192F" w:rsidP="003244EC">
      <w:pPr>
        <w:pStyle w:val="Heading3"/>
        <w:jc w:val="both"/>
        <w:rPr>
          <w:rFonts w:ascii="Arial" w:eastAsia="Times New Roman" w:hAnsi="Arial" w:cs="Arial"/>
          <w:lang w:eastAsia="en-GB"/>
        </w:rPr>
      </w:pPr>
      <w:bookmarkStart w:id="18" w:name="_Toc142403125"/>
      <w:bookmarkStart w:id="19" w:name="_Toc158734426"/>
      <w:r w:rsidRPr="003244EC">
        <w:rPr>
          <w:rFonts w:ascii="Arial" w:eastAsia="Times New Roman" w:hAnsi="Arial" w:cs="Arial"/>
          <w:lang w:eastAsia="en-GB"/>
        </w:rPr>
        <w:t xml:space="preserve">Undergraduate and Postgraduate </w:t>
      </w:r>
      <w:bookmarkEnd w:id="18"/>
      <w:r w:rsidRPr="003244EC">
        <w:rPr>
          <w:rFonts w:ascii="Arial" w:eastAsia="Times New Roman" w:hAnsi="Arial" w:cs="Arial"/>
          <w:lang w:eastAsia="en-GB"/>
        </w:rPr>
        <w:t>programmes</w:t>
      </w:r>
      <w:bookmarkEnd w:id="19"/>
    </w:p>
    <w:p w14:paraId="7596F3ED" w14:textId="4DEB389C" w:rsidR="003139BB" w:rsidRPr="003244EC" w:rsidRDefault="00BE01D7" w:rsidP="00324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i</w:t>
      </w:r>
      <w:r w:rsidR="003139BB" w:rsidRPr="003244EC">
        <w:rPr>
          <w:rFonts w:eastAsia="Times New Roman" w:cs="Arial"/>
          <w:szCs w:val="24"/>
          <w:lang w:eastAsia="en-GB"/>
        </w:rPr>
        <w:t>f</w:t>
      </w:r>
      <w:r w:rsidR="005C47F7" w:rsidRPr="003244EC">
        <w:rPr>
          <w:rFonts w:eastAsia="Times New Roman" w:cs="Arial"/>
          <w:szCs w:val="24"/>
          <w:lang w:eastAsia="en-GB"/>
        </w:rPr>
        <w:t xml:space="preserve"> the withdrawal is </w:t>
      </w:r>
      <w:r w:rsidR="003139BB" w:rsidRPr="003244EC">
        <w:rPr>
          <w:rFonts w:eastAsia="Times New Roman" w:cs="Arial"/>
          <w:szCs w:val="24"/>
          <w:lang w:eastAsia="en-GB"/>
        </w:rPr>
        <w:t>within the first 1</w:t>
      </w:r>
      <w:r w:rsidR="00AC1484" w:rsidRPr="003244EC">
        <w:rPr>
          <w:rFonts w:eastAsia="Times New Roman" w:cs="Arial"/>
          <w:szCs w:val="24"/>
          <w:lang w:eastAsia="en-GB"/>
        </w:rPr>
        <w:t>1</w:t>
      </w:r>
      <w:r w:rsidR="003139BB" w:rsidRPr="003244EC">
        <w:rPr>
          <w:rFonts w:eastAsia="Times New Roman" w:cs="Arial"/>
          <w:szCs w:val="24"/>
          <w:lang w:eastAsia="en-GB"/>
        </w:rPr>
        <w:t xml:space="preserve"> weeks of the start date of the course </w:t>
      </w:r>
      <w:r w:rsidR="00AE618B" w:rsidRPr="003244EC">
        <w:rPr>
          <w:rFonts w:eastAsia="Times New Roman" w:cs="Arial"/>
          <w:szCs w:val="24"/>
          <w:lang w:eastAsia="en-GB"/>
        </w:rPr>
        <w:t xml:space="preserve">the student </w:t>
      </w:r>
      <w:r w:rsidR="003139BB" w:rsidRPr="003244EC">
        <w:rPr>
          <w:rFonts w:eastAsia="Times New Roman" w:cs="Arial"/>
          <w:szCs w:val="24"/>
          <w:lang w:eastAsia="en-GB"/>
        </w:rPr>
        <w:t>will be liable for 50% of the annual tuition fee</w:t>
      </w:r>
    </w:p>
    <w:p w14:paraId="2367CF65" w14:textId="6D606039" w:rsidR="003139BB" w:rsidRPr="003244EC" w:rsidRDefault="00BE01D7" w:rsidP="00324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i</w:t>
      </w:r>
      <w:r w:rsidR="003139BB" w:rsidRPr="003244EC">
        <w:rPr>
          <w:rFonts w:eastAsia="Times New Roman" w:cs="Arial"/>
          <w:szCs w:val="24"/>
          <w:lang w:eastAsia="en-GB"/>
        </w:rPr>
        <w:t xml:space="preserve">f </w:t>
      </w:r>
      <w:r w:rsidR="005C47F7" w:rsidRPr="003244EC">
        <w:rPr>
          <w:rFonts w:eastAsia="Times New Roman" w:cs="Arial"/>
          <w:szCs w:val="24"/>
          <w:lang w:eastAsia="en-GB"/>
        </w:rPr>
        <w:t xml:space="preserve">the withdrawal is </w:t>
      </w:r>
      <w:r w:rsidR="003139BB" w:rsidRPr="003244EC">
        <w:rPr>
          <w:rFonts w:eastAsia="Times New Roman" w:cs="Arial"/>
          <w:szCs w:val="24"/>
          <w:lang w:eastAsia="en-GB"/>
        </w:rPr>
        <w:t>from week 1</w:t>
      </w:r>
      <w:r w:rsidR="00AE618B" w:rsidRPr="003244EC">
        <w:rPr>
          <w:rFonts w:eastAsia="Times New Roman" w:cs="Arial"/>
          <w:szCs w:val="24"/>
          <w:lang w:eastAsia="en-GB"/>
        </w:rPr>
        <w:t>2</w:t>
      </w:r>
      <w:r w:rsidR="003139BB" w:rsidRPr="003244EC">
        <w:rPr>
          <w:rFonts w:eastAsia="Times New Roman" w:cs="Arial"/>
          <w:szCs w:val="24"/>
          <w:lang w:eastAsia="en-GB"/>
        </w:rPr>
        <w:t xml:space="preserve"> onwards </w:t>
      </w:r>
      <w:r w:rsidR="00AE618B" w:rsidRPr="003244EC">
        <w:rPr>
          <w:rFonts w:eastAsia="Times New Roman" w:cs="Arial"/>
          <w:szCs w:val="24"/>
          <w:lang w:eastAsia="en-GB"/>
        </w:rPr>
        <w:t>the student</w:t>
      </w:r>
      <w:r w:rsidR="003139BB" w:rsidRPr="003244EC">
        <w:rPr>
          <w:rFonts w:eastAsia="Times New Roman" w:cs="Arial"/>
          <w:szCs w:val="24"/>
          <w:lang w:eastAsia="en-GB"/>
        </w:rPr>
        <w:t xml:space="preserve"> will be liable for 100% of the annual tuition fee</w:t>
      </w:r>
    </w:p>
    <w:p w14:paraId="0AE9BEB8" w14:textId="77777777" w:rsidR="00AA32D7" w:rsidRPr="003244EC" w:rsidRDefault="00AA32D7" w:rsidP="003244EC">
      <w:pPr>
        <w:spacing w:after="0" w:line="240" w:lineRule="auto"/>
        <w:ind w:left="720" w:hanging="720"/>
        <w:jc w:val="both"/>
        <w:rPr>
          <w:rFonts w:eastAsia="Times New Roman" w:cs="Arial"/>
          <w:szCs w:val="24"/>
          <w:lang w:eastAsia="en-GB"/>
        </w:rPr>
      </w:pPr>
    </w:p>
    <w:p w14:paraId="5990C214" w14:textId="77777777" w:rsidR="00AA32D7" w:rsidRPr="003244EC" w:rsidRDefault="00AA32D7" w:rsidP="003244EC">
      <w:pPr>
        <w:spacing w:after="0" w:line="240" w:lineRule="auto"/>
        <w:jc w:val="both"/>
        <w:rPr>
          <w:rFonts w:cs="Arial"/>
          <w:sz w:val="8"/>
          <w:szCs w:val="24"/>
        </w:rPr>
      </w:pPr>
    </w:p>
    <w:p w14:paraId="404508D1" w14:textId="6B56FD37" w:rsidR="00AA32D7" w:rsidRPr="003244EC" w:rsidRDefault="0052192F" w:rsidP="003244EC">
      <w:pPr>
        <w:pStyle w:val="Heading3"/>
        <w:jc w:val="both"/>
        <w:rPr>
          <w:rFonts w:ascii="Arial" w:hAnsi="Arial" w:cs="Arial"/>
        </w:rPr>
      </w:pPr>
      <w:bookmarkStart w:id="20" w:name="_Toc158734427"/>
      <w:r w:rsidRPr="003244EC">
        <w:rPr>
          <w:rFonts w:ascii="Arial" w:hAnsi="Arial" w:cs="Arial"/>
        </w:rPr>
        <w:lastRenderedPageBreak/>
        <w:t>Short term programmes</w:t>
      </w:r>
      <w:bookmarkEnd w:id="20"/>
    </w:p>
    <w:p w14:paraId="59E53CB1" w14:textId="40EFD69B" w:rsidR="0052192F" w:rsidRPr="003244EC" w:rsidRDefault="00AE618B" w:rsidP="003244EC">
      <w:pPr>
        <w:spacing w:after="0" w:line="240" w:lineRule="auto"/>
        <w:jc w:val="both"/>
        <w:rPr>
          <w:rFonts w:cs="Arial"/>
          <w:bCs/>
          <w:szCs w:val="24"/>
        </w:rPr>
      </w:pPr>
      <w:r w:rsidRPr="003244EC">
        <w:rPr>
          <w:rFonts w:cs="Arial"/>
          <w:bCs/>
          <w:szCs w:val="24"/>
        </w:rPr>
        <w:t>The student will be liable for the full programme fee, inclusive of any accommodation fees, if withdrawal occurs any time after enrolment.</w:t>
      </w:r>
    </w:p>
    <w:p w14:paraId="28D81BF4" w14:textId="77777777" w:rsidR="00AE618B" w:rsidRPr="003244EC" w:rsidRDefault="00AE618B" w:rsidP="003244EC">
      <w:pPr>
        <w:spacing w:after="0" w:line="240" w:lineRule="auto"/>
        <w:jc w:val="both"/>
        <w:rPr>
          <w:rFonts w:cs="Arial"/>
          <w:bCs/>
          <w:szCs w:val="24"/>
        </w:rPr>
      </w:pPr>
    </w:p>
    <w:p w14:paraId="0F85ADBF" w14:textId="300C5E9B" w:rsidR="00AE618B" w:rsidRPr="003244EC" w:rsidRDefault="00AE618B" w:rsidP="003244EC">
      <w:pPr>
        <w:pStyle w:val="Heading3"/>
        <w:jc w:val="both"/>
        <w:rPr>
          <w:rFonts w:ascii="Arial" w:hAnsi="Arial" w:cs="Arial"/>
        </w:rPr>
      </w:pPr>
      <w:bookmarkStart w:id="21" w:name="_Toc158734428"/>
      <w:r w:rsidRPr="003244EC">
        <w:rPr>
          <w:rFonts w:ascii="Arial" w:hAnsi="Arial" w:cs="Arial"/>
        </w:rPr>
        <w:t>Semester long programmes</w:t>
      </w:r>
      <w:bookmarkEnd w:id="21"/>
    </w:p>
    <w:p w14:paraId="23C26D81" w14:textId="429C4B98" w:rsidR="00AE618B" w:rsidRPr="003244EC" w:rsidRDefault="00AE618B" w:rsidP="00324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if the withdrawal is within the first 4 weeks of the start date of the course the student will be liable for 50% of the tuition fee</w:t>
      </w:r>
    </w:p>
    <w:p w14:paraId="74EFAE73" w14:textId="5E230B83" w:rsidR="00AE618B" w:rsidRPr="003244EC" w:rsidRDefault="00AE618B" w:rsidP="00324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>if the withdrawal is from week 5 onwards the student will be liable for 100% of the tuition fee</w:t>
      </w:r>
    </w:p>
    <w:p w14:paraId="3BE28034" w14:textId="1BDEDEA7" w:rsidR="00AE618B" w:rsidRPr="003244EC" w:rsidRDefault="00AE618B" w:rsidP="00324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3244EC">
        <w:rPr>
          <w:rFonts w:eastAsia="Times New Roman" w:cs="Arial"/>
          <w:szCs w:val="24"/>
          <w:lang w:eastAsia="en-GB"/>
        </w:rPr>
        <w:t xml:space="preserve">if withdrawal occurs any time after enrolment, the student will be liable for all accommodation </w:t>
      </w:r>
      <w:proofErr w:type="gramStart"/>
      <w:r w:rsidRPr="003244EC">
        <w:rPr>
          <w:rFonts w:eastAsia="Times New Roman" w:cs="Arial"/>
          <w:szCs w:val="24"/>
          <w:lang w:eastAsia="en-GB"/>
        </w:rPr>
        <w:t>fees</w:t>
      </w:r>
      <w:proofErr w:type="gramEnd"/>
      <w:r w:rsidRPr="003244EC">
        <w:rPr>
          <w:rFonts w:eastAsia="Times New Roman" w:cs="Arial"/>
          <w:szCs w:val="24"/>
          <w:lang w:eastAsia="en-GB"/>
        </w:rPr>
        <w:t xml:space="preserve"> </w:t>
      </w:r>
    </w:p>
    <w:p w14:paraId="4DCEC629" w14:textId="62A8A4B2" w:rsidR="00AE618B" w:rsidRPr="003244EC" w:rsidRDefault="00AE618B" w:rsidP="003244EC">
      <w:pPr>
        <w:spacing w:after="0" w:line="240" w:lineRule="auto"/>
        <w:jc w:val="both"/>
        <w:rPr>
          <w:rFonts w:cs="Arial"/>
          <w:b/>
          <w:szCs w:val="24"/>
        </w:rPr>
      </w:pPr>
    </w:p>
    <w:p w14:paraId="361F960F" w14:textId="07ECCBCB" w:rsidR="00AA32D7" w:rsidRPr="003244EC" w:rsidRDefault="00AA32D7" w:rsidP="003244EC">
      <w:pPr>
        <w:pStyle w:val="Heading1"/>
        <w:jc w:val="both"/>
        <w:rPr>
          <w:rFonts w:ascii="Arial" w:hAnsi="Arial" w:cs="Arial"/>
        </w:rPr>
      </w:pPr>
      <w:bookmarkStart w:id="22" w:name="_Toc158734429"/>
      <w:r w:rsidRPr="003244EC">
        <w:rPr>
          <w:rFonts w:ascii="Arial" w:hAnsi="Arial" w:cs="Arial"/>
        </w:rPr>
        <w:t>Refunds</w:t>
      </w:r>
      <w:bookmarkEnd w:id="22"/>
      <w:r w:rsidRPr="003244EC">
        <w:rPr>
          <w:rFonts w:ascii="Arial" w:hAnsi="Arial" w:cs="Arial"/>
        </w:rPr>
        <w:t xml:space="preserve"> </w:t>
      </w:r>
    </w:p>
    <w:p w14:paraId="15497D5C" w14:textId="77777777" w:rsidR="00057610" w:rsidRPr="003244EC" w:rsidRDefault="00057610" w:rsidP="003244EC">
      <w:pPr>
        <w:spacing w:after="0" w:line="240" w:lineRule="auto"/>
        <w:jc w:val="both"/>
        <w:rPr>
          <w:rFonts w:cs="Arial"/>
          <w:szCs w:val="24"/>
        </w:rPr>
      </w:pPr>
    </w:p>
    <w:p w14:paraId="13ABADF6" w14:textId="245ECB86" w:rsidR="00057610" w:rsidRPr="003244EC" w:rsidRDefault="00057610" w:rsidP="003244EC">
      <w:p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Refunds will only be made in the</w:t>
      </w:r>
      <w:r w:rsidR="00AE618B" w:rsidRPr="003244EC">
        <w:rPr>
          <w:rFonts w:cs="Arial"/>
          <w:szCs w:val="24"/>
        </w:rPr>
        <w:t xml:space="preserve"> </w:t>
      </w:r>
      <w:r w:rsidRPr="003244EC">
        <w:rPr>
          <w:rFonts w:cs="Arial"/>
          <w:szCs w:val="24"/>
        </w:rPr>
        <w:t>specific circumstances, please see section below:</w:t>
      </w:r>
    </w:p>
    <w:p w14:paraId="3C3D6BA4" w14:textId="77777777" w:rsidR="00057610" w:rsidRPr="003244EC" w:rsidRDefault="00057610" w:rsidP="003244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if the University withdraws the programme of study for the intake applied for and offered</w:t>
      </w:r>
    </w:p>
    <w:p w14:paraId="1B57520A" w14:textId="77777777" w:rsidR="00057610" w:rsidRPr="003244EC" w:rsidRDefault="00057610" w:rsidP="003244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if the student is issued with a visa refusal by the UKVI unless the refusal by UKVI is for reasons of fraud or misrepresentation. A Visa Refusal letter issued by UKVI must be submitted with any refund request for the University to determine if a refund is applicable.</w:t>
      </w:r>
    </w:p>
    <w:p w14:paraId="7FF30CD7" w14:textId="77777777" w:rsidR="00057610" w:rsidRPr="003244EC" w:rsidRDefault="00057610" w:rsidP="003244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 xml:space="preserve">If you request a refund within 14 days of receipt of payment of the deposit by the University </w:t>
      </w:r>
    </w:p>
    <w:p w14:paraId="74CC7C9C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0E73B70D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0AFD778F" w14:textId="77777777" w:rsidR="00C710C5" w:rsidRPr="003244EC" w:rsidRDefault="00C710C5" w:rsidP="003244EC">
      <w:pPr>
        <w:spacing w:after="0"/>
        <w:ind w:left="357"/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Additional refund conditions:</w:t>
      </w:r>
    </w:p>
    <w:p w14:paraId="7E41FB73" w14:textId="0D71E35A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eastAsia="Times New Roman" w:cs="Arial"/>
          <w:szCs w:val="24"/>
          <w:lang w:eastAsia="en-GB"/>
        </w:rPr>
        <w:t>Refunds will be paid less any scholarship or bursary overpayment and to the originating source</w:t>
      </w:r>
      <w:r w:rsidRPr="003244EC">
        <w:rPr>
          <w:rFonts w:cs="Arial"/>
        </w:rPr>
        <w:t xml:space="preserve"> or to the William D Ford SU Federal Loan Program, as applicable</w:t>
      </w:r>
      <w:r w:rsidRPr="003244EC">
        <w:rPr>
          <w:rFonts w:cs="Arial"/>
          <w:szCs w:val="24"/>
        </w:rPr>
        <w:t>.</w:t>
      </w:r>
    </w:p>
    <w:p w14:paraId="38E06139" w14:textId="1648B484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Refunds will not be issued where fraud or misrepresentation has occurred during any part of the application process, tuition fee payment or visa application.</w:t>
      </w:r>
    </w:p>
    <w:p w14:paraId="12FE8AFF" w14:textId="42199894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color w:val="333333"/>
          <w:szCs w:val="24"/>
        </w:rPr>
        <w:t xml:space="preserve">If the student has not yet arrived and notifies the University that they wish to defer to a later session, the deposit may be carried forward to the next intake. Should the student choose to defer for a second </w:t>
      </w:r>
      <w:r w:rsidR="00FD4D6F">
        <w:rPr>
          <w:rFonts w:cs="Arial"/>
          <w:color w:val="333333"/>
          <w:szCs w:val="24"/>
        </w:rPr>
        <w:t>year</w:t>
      </w:r>
      <w:r w:rsidRPr="003244EC">
        <w:rPr>
          <w:rFonts w:cs="Arial"/>
          <w:color w:val="333333"/>
          <w:szCs w:val="24"/>
        </w:rPr>
        <w:t xml:space="preserve"> the deposit will be forfeited</w:t>
      </w:r>
      <w:r w:rsidRPr="003244EC">
        <w:rPr>
          <w:rFonts w:cs="Arial"/>
          <w:szCs w:val="24"/>
        </w:rPr>
        <w:t>. </w:t>
      </w:r>
    </w:p>
    <w:p w14:paraId="4A271075" w14:textId="77777777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All refunds are subject to a £250 administration charge which will be deducted from the refund payment.</w:t>
      </w:r>
    </w:p>
    <w:p w14:paraId="57AF3EB4" w14:textId="77777777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The University shall not be liable for any charges imposed by the University’s or recipients bank, building society, credit union or any other financial processing organisation.</w:t>
      </w:r>
    </w:p>
    <w:p w14:paraId="7905764C" w14:textId="77777777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t>The University shall not be liable for any currency exchange fluctuations occurring between payment and any subsequent refund.</w:t>
      </w:r>
    </w:p>
    <w:p w14:paraId="61984BED" w14:textId="77777777" w:rsidR="00C710C5" w:rsidRPr="003244EC" w:rsidRDefault="00C710C5" w:rsidP="003244EC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 w:rsidRPr="003244EC">
        <w:rPr>
          <w:rFonts w:cs="Arial"/>
          <w:szCs w:val="24"/>
        </w:rPr>
        <w:lastRenderedPageBreak/>
        <w:t>The University shall not be liable for any costs incurred by the applicant during the admission and CAS application process.</w:t>
      </w:r>
    </w:p>
    <w:p w14:paraId="7B4F6C36" w14:textId="71CE2B93" w:rsidR="00AA32D7" w:rsidRPr="003244EC" w:rsidRDefault="00AA32D7" w:rsidP="003244EC">
      <w:pPr>
        <w:jc w:val="both"/>
        <w:rPr>
          <w:rFonts w:eastAsiaTheme="majorEastAsia" w:cs="Arial"/>
          <w:color w:val="365F91" w:themeColor="accent1" w:themeShade="BF"/>
          <w:sz w:val="32"/>
          <w:szCs w:val="32"/>
        </w:rPr>
      </w:pPr>
      <w:bookmarkStart w:id="23" w:name="_Toc37269470"/>
      <w:r w:rsidRPr="003244EC">
        <w:rPr>
          <w:rFonts w:eastAsiaTheme="majorEastAsia" w:cs="Arial"/>
          <w:color w:val="365F91" w:themeColor="accent1" w:themeShade="BF"/>
          <w:sz w:val="32"/>
          <w:szCs w:val="32"/>
        </w:rPr>
        <w:t>Key to Relevant Documents</w:t>
      </w:r>
      <w:bookmarkEnd w:id="23"/>
      <w:r w:rsidRPr="003244EC">
        <w:rPr>
          <w:rFonts w:eastAsiaTheme="majorEastAsia" w:cs="Arial"/>
          <w:color w:val="365F91" w:themeColor="accent1" w:themeShade="BF"/>
          <w:sz w:val="32"/>
          <w:szCs w:val="32"/>
        </w:rPr>
        <w:t xml:space="preserve"> </w:t>
      </w:r>
    </w:p>
    <w:p w14:paraId="30F74DFA" w14:textId="77777777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</w:rPr>
        <w:t>This policy refers to the following relevant documents:</w:t>
      </w:r>
    </w:p>
    <w:p w14:paraId="1A773B20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  <w:r w:rsidRPr="003244EC">
        <w:rPr>
          <w:rFonts w:cs="Arial"/>
        </w:rPr>
        <w:t xml:space="preserve">Tuition Fee Regulations </w:t>
      </w:r>
    </w:p>
    <w:p w14:paraId="6B240327" w14:textId="77777777" w:rsidR="00AA32D7" w:rsidRPr="003244EC" w:rsidRDefault="00000000" w:rsidP="003244EC">
      <w:pPr>
        <w:spacing w:after="0" w:line="240" w:lineRule="auto"/>
        <w:jc w:val="both"/>
        <w:rPr>
          <w:rFonts w:cs="Arial"/>
          <w:color w:val="7030A0"/>
          <w:u w:val="single"/>
        </w:rPr>
      </w:pPr>
      <w:hyperlink r:id="rId8" w:history="1">
        <w:r w:rsidR="00AA32D7" w:rsidRPr="003244EC">
          <w:rPr>
            <w:rStyle w:val="Hyperlink"/>
            <w:rFonts w:cs="Arial"/>
            <w:color w:val="7030A0"/>
          </w:rPr>
          <w:t>www.edgehill.ac.uk/documents/tuition-fee-regulations/</w:t>
        </w:r>
      </w:hyperlink>
      <w:r w:rsidR="00AA32D7" w:rsidRPr="003244EC">
        <w:rPr>
          <w:rFonts w:cs="Arial"/>
          <w:color w:val="7030A0"/>
          <w:u w:val="single"/>
        </w:rPr>
        <w:t xml:space="preserve"> </w:t>
      </w:r>
    </w:p>
    <w:p w14:paraId="5F99E8C6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</w:p>
    <w:p w14:paraId="2E83ECA4" w14:textId="77777777" w:rsidR="00AA32D7" w:rsidRPr="003244EC" w:rsidRDefault="00AA32D7" w:rsidP="003244EC">
      <w:pPr>
        <w:spacing w:after="0" w:line="240" w:lineRule="auto"/>
        <w:jc w:val="both"/>
        <w:rPr>
          <w:rFonts w:cs="Arial"/>
        </w:rPr>
      </w:pPr>
      <w:r w:rsidRPr="003244EC">
        <w:rPr>
          <w:rFonts w:cs="Arial"/>
        </w:rPr>
        <w:t xml:space="preserve">Return of Title IV Funds (R2T4) Policy for US Direct Loans Programmes </w:t>
      </w:r>
    </w:p>
    <w:p w14:paraId="161A1AF5" w14:textId="77777777" w:rsidR="00AA32D7" w:rsidRPr="003244EC" w:rsidRDefault="00AA32D7" w:rsidP="003244EC">
      <w:pPr>
        <w:spacing w:after="0" w:line="240" w:lineRule="auto"/>
        <w:jc w:val="both"/>
        <w:rPr>
          <w:rFonts w:cs="Arial"/>
          <w:color w:val="7030A0"/>
          <w:u w:val="single"/>
        </w:rPr>
      </w:pPr>
      <w:r w:rsidRPr="003244EC">
        <w:rPr>
          <w:rFonts w:cs="Arial"/>
          <w:color w:val="7030A0"/>
          <w:u w:val="single"/>
        </w:rPr>
        <w:t>www.</w:t>
      </w:r>
      <w:hyperlink r:id="rId9" w:history="1">
        <w:r w:rsidRPr="003244EC">
          <w:rPr>
            <w:rStyle w:val="Hyperlink"/>
            <w:rFonts w:cs="Arial"/>
            <w:color w:val="7030A0"/>
          </w:rPr>
          <w:t>edgehill.ac.uk/documents/return-of-title-iv-funds-r2t4-policy-for-us-direct-loans-programmes-policy/</w:t>
        </w:r>
      </w:hyperlink>
    </w:p>
    <w:p w14:paraId="0288F882" w14:textId="77777777" w:rsidR="00AA32D7" w:rsidRPr="003244EC" w:rsidRDefault="00AA32D7" w:rsidP="003244EC">
      <w:pPr>
        <w:keepNext/>
        <w:keepLines/>
        <w:spacing w:before="240" w:after="0"/>
        <w:jc w:val="both"/>
        <w:outlineLvl w:val="0"/>
        <w:rPr>
          <w:rFonts w:eastAsiaTheme="majorEastAsia" w:cs="Arial"/>
          <w:color w:val="365F91" w:themeColor="accent1" w:themeShade="BF"/>
          <w:sz w:val="32"/>
          <w:szCs w:val="32"/>
        </w:rPr>
      </w:pPr>
      <w:bookmarkStart w:id="24" w:name="_Toc37269471"/>
      <w:bookmarkStart w:id="25" w:name="_Toc158734430"/>
      <w:r w:rsidRPr="003244EC">
        <w:rPr>
          <w:rFonts w:eastAsiaTheme="majorEastAsia" w:cs="Arial"/>
          <w:color w:val="365F91" w:themeColor="accent1" w:themeShade="BF"/>
          <w:sz w:val="32"/>
          <w:szCs w:val="32"/>
        </w:rPr>
        <w:t>Annexes</w:t>
      </w:r>
      <w:bookmarkEnd w:id="24"/>
      <w:bookmarkEnd w:id="25"/>
      <w:r w:rsidRPr="003244EC">
        <w:rPr>
          <w:rFonts w:eastAsiaTheme="majorEastAsia" w:cs="Arial"/>
          <w:color w:val="365F91" w:themeColor="accent1" w:themeShade="BF"/>
          <w:sz w:val="32"/>
          <w:szCs w:val="32"/>
        </w:rPr>
        <w:t xml:space="preserve"> </w:t>
      </w:r>
    </w:p>
    <w:p w14:paraId="5BB23BFC" w14:textId="77777777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</w:rPr>
        <w:t>This policy does not contain any additional information.</w:t>
      </w:r>
      <w:bookmarkEnd w:id="0"/>
    </w:p>
    <w:p w14:paraId="5FB42B8F" w14:textId="77777777" w:rsidR="00AA32D7" w:rsidRPr="003244EC" w:rsidRDefault="00AA32D7" w:rsidP="003244EC">
      <w:pPr>
        <w:jc w:val="both"/>
        <w:rPr>
          <w:rFonts w:cs="Arial"/>
        </w:rPr>
      </w:pPr>
      <w:r w:rsidRPr="003244EC">
        <w:rPr>
          <w:rFonts w:cs="Arial"/>
          <w:szCs w:val="24"/>
          <w:lang w:eastAsia="en-GB"/>
        </w:rPr>
        <w:br w:type="page"/>
      </w:r>
    </w:p>
    <w:p w14:paraId="1DF7E4D8" w14:textId="77777777" w:rsidR="00AA32D7" w:rsidRDefault="00AA32D7" w:rsidP="00AA32D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26" w:name="_Toc158734431"/>
      <w:proofErr w:type="spellStart"/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Endmatter</w:t>
      </w:r>
      <w:bookmarkEnd w:id="26"/>
      <w:proofErr w:type="spellEnd"/>
    </w:p>
    <w:p w14:paraId="4A12E86B" w14:textId="77777777" w:rsidR="00AA32D7" w:rsidRDefault="00AA32D7" w:rsidP="00AA32D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3"/>
        <w:gridCol w:w="6263"/>
      </w:tblGrid>
      <w:tr w:rsidR="00AA32D7" w14:paraId="577D2004" w14:textId="77777777" w:rsidTr="000A0F0D">
        <w:trPr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2251" w14:textId="77777777" w:rsidR="00AA32D7" w:rsidRDefault="00AA32D7">
            <w:r>
              <w:t>Title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845" w14:textId="6A5097B7" w:rsidR="00AA32D7" w:rsidRDefault="00AA32D7">
            <w:r>
              <w:t>202</w:t>
            </w:r>
            <w:r w:rsidR="00B63FAE">
              <w:t>4</w:t>
            </w:r>
            <w:r>
              <w:t>/2</w:t>
            </w:r>
            <w:r w:rsidR="00B63FAE">
              <w:t>5</w:t>
            </w:r>
            <w:r>
              <w:t xml:space="preserve"> International Student Fee Policy </w:t>
            </w:r>
          </w:p>
        </w:tc>
      </w:tr>
      <w:tr w:rsidR="00AA32D7" w14:paraId="5D2D4BDD" w14:textId="77777777" w:rsidTr="00AA32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2A84" w14:textId="77777777" w:rsidR="00AA32D7" w:rsidRDefault="00AA32D7">
            <w:r>
              <w:t>Policy Owner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DD3" w14:textId="14E04083" w:rsidR="00AA32D7" w:rsidRDefault="00AA32D7">
            <w:r>
              <w:t>Assistant Registrar: Fees</w:t>
            </w:r>
            <w:r w:rsidR="00CB5766">
              <w:t xml:space="preserve"> </w:t>
            </w:r>
            <w:r>
              <w:t>&amp; Bursaries</w:t>
            </w:r>
          </w:p>
        </w:tc>
      </w:tr>
      <w:tr w:rsidR="00AA32D7" w14:paraId="3281EA70" w14:textId="77777777" w:rsidTr="00AA32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52ED" w14:textId="77777777" w:rsidR="00AA32D7" w:rsidRDefault="00AA32D7">
            <w:r>
              <w:t>Approved by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851" w14:textId="23EAA4BB" w:rsidR="00AA32D7" w:rsidRDefault="002D2FB5">
            <w:r>
              <w:t>Pro Vice-Chancellor University Secretary</w:t>
            </w:r>
          </w:p>
        </w:tc>
      </w:tr>
      <w:tr w:rsidR="00AA32D7" w14:paraId="587173EB" w14:textId="77777777" w:rsidTr="00AA32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A74" w14:textId="77777777" w:rsidR="00AA32D7" w:rsidRDefault="00AA32D7">
            <w:r>
              <w:t>Date of Approval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DB7" w14:textId="30D92ECF" w:rsidR="00AA32D7" w:rsidRDefault="00AA32D7"/>
        </w:tc>
      </w:tr>
      <w:tr w:rsidR="00AA32D7" w14:paraId="0BFBE070" w14:textId="77777777" w:rsidTr="00AA32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E3C1" w14:textId="77777777" w:rsidR="00AA32D7" w:rsidRDefault="00AA32D7">
            <w:r>
              <w:t xml:space="preserve">Date for Review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D60" w14:textId="77777777" w:rsidR="00AA32D7" w:rsidRDefault="00AA32D7"/>
        </w:tc>
      </w:tr>
    </w:tbl>
    <w:p w14:paraId="58DDE3E1" w14:textId="77777777" w:rsidR="00AA32D7" w:rsidRDefault="00AA32D7" w:rsidP="00AA32D7"/>
    <w:p w14:paraId="29863BA4" w14:textId="34014451" w:rsidR="00CF75EE" w:rsidRDefault="00CF75EE" w:rsidP="00E55A77"/>
    <w:sectPr w:rsidR="00CF75E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DE05" w14:textId="77777777" w:rsidR="009451DF" w:rsidRDefault="009451DF" w:rsidP="00AA32D7">
      <w:pPr>
        <w:spacing w:after="0" w:line="240" w:lineRule="auto"/>
      </w:pPr>
      <w:r>
        <w:separator/>
      </w:r>
    </w:p>
  </w:endnote>
  <w:endnote w:type="continuationSeparator" w:id="0">
    <w:p w14:paraId="6D687E27" w14:textId="77777777" w:rsidR="009451DF" w:rsidRDefault="009451DF" w:rsidP="00A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03AB" w14:textId="77777777" w:rsidR="003209FB" w:rsidRDefault="003209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5DC0F23B" w14:textId="77777777" w:rsidR="003209FB" w:rsidRDefault="0032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A6A5" w14:textId="77777777" w:rsidR="009451DF" w:rsidRDefault="009451DF" w:rsidP="00AA32D7">
      <w:pPr>
        <w:spacing w:after="0" w:line="240" w:lineRule="auto"/>
      </w:pPr>
      <w:r>
        <w:separator/>
      </w:r>
    </w:p>
  </w:footnote>
  <w:footnote w:type="continuationSeparator" w:id="0">
    <w:p w14:paraId="56BB8B77" w14:textId="77777777" w:rsidR="009451DF" w:rsidRDefault="009451DF" w:rsidP="00A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F6"/>
    <w:multiLevelType w:val="hybridMultilevel"/>
    <w:tmpl w:val="B114DEB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7A20321"/>
    <w:multiLevelType w:val="hybridMultilevel"/>
    <w:tmpl w:val="6090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11B5"/>
    <w:multiLevelType w:val="hybridMultilevel"/>
    <w:tmpl w:val="18F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088"/>
    <w:multiLevelType w:val="multilevel"/>
    <w:tmpl w:val="B90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D0EFC"/>
    <w:multiLevelType w:val="hybridMultilevel"/>
    <w:tmpl w:val="FFCE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372BF"/>
    <w:multiLevelType w:val="hybridMultilevel"/>
    <w:tmpl w:val="1B36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4380">
    <w:abstractNumId w:val="5"/>
  </w:num>
  <w:num w:numId="2" w16cid:durableId="1363700536">
    <w:abstractNumId w:val="2"/>
  </w:num>
  <w:num w:numId="3" w16cid:durableId="1392777288">
    <w:abstractNumId w:val="3"/>
  </w:num>
  <w:num w:numId="4" w16cid:durableId="62876986">
    <w:abstractNumId w:val="1"/>
  </w:num>
  <w:num w:numId="5" w16cid:durableId="1467893241">
    <w:abstractNumId w:val="4"/>
  </w:num>
  <w:num w:numId="6" w16cid:durableId="7655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D7"/>
    <w:rsid w:val="00047082"/>
    <w:rsid w:val="00057610"/>
    <w:rsid w:val="000577D7"/>
    <w:rsid w:val="000A0F0D"/>
    <w:rsid w:val="000E5868"/>
    <w:rsid w:val="000F0FAE"/>
    <w:rsid w:val="000F3143"/>
    <w:rsid w:val="000F58AB"/>
    <w:rsid w:val="00140DB1"/>
    <w:rsid w:val="001609A5"/>
    <w:rsid w:val="00161198"/>
    <w:rsid w:val="0016365E"/>
    <w:rsid w:val="0018321C"/>
    <w:rsid w:val="001D1942"/>
    <w:rsid w:val="0022199D"/>
    <w:rsid w:val="002301B7"/>
    <w:rsid w:val="00237CD0"/>
    <w:rsid w:val="002D2FB5"/>
    <w:rsid w:val="003139BB"/>
    <w:rsid w:val="003209FB"/>
    <w:rsid w:val="003244EC"/>
    <w:rsid w:val="00333F00"/>
    <w:rsid w:val="00361AC6"/>
    <w:rsid w:val="003E6D76"/>
    <w:rsid w:val="00401A2C"/>
    <w:rsid w:val="004266EF"/>
    <w:rsid w:val="00461073"/>
    <w:rsid w:val="0052192F"/>
    <w:rsid w:val="00531358"/>
    <w:rsid w:val="005C47F7"/>
    <w:rsid w:val="005C6728"/>
    <w:rsid w:val="005D2FE5"/>
    <w:rsid w:val="005E47A9"/>
    <w:rsid w:val="005F21CE"/>
    <w:rsid w:val="00654EA6"/>
    <w:rsid w:val="00663C1F"/>
    <w:rsid w:val="006C15DF"/>
    <w:rsid w:val="006F3A57"/>
    <w:rsid w:val="00722685"/>
    <w:rsid w:val="00757D4E"/>
    <w:rsid w:val="00757E15"/>
    <w:rsid w:val="007E6C47"/>
    <w:rsid w:val="00940104"/>
    <w:rsid w:val="009451DF"/>
    <w:rsid w:val="00971F84"/>
    <w:rsid w:val="00A819CE"/>
    <w:rsid w:val="00AA32D7"/>
    <w:rsid w:val="00AB2C7E"/>
    <w:rsid w:val="00AC1484"/>
    <w:rsid w:val="00AE618B"/>
    <w:rsid w:val="00B04B29"/>
    <w:rsid w:val="00B20AA8"/>
    <w:rsid w:val="00B56D6F"/>
    <w:rsid w:val="00B63FAE"/>
    <w:rsid w:val="00B95ED4"/>
    <w:rsid w:val="00BA31DC"/>
    <w:rsid w:val="00BA3691"/>
    <w:rsid w:val="00BD3CE5"/>
    <w:rsid w:val="00BE01D7"/>
    <w:rsid w:val="00C710C5"/>
    <w:rsid w:val="00C94542"/>
    <w:rsid w:val="00CB3CAE"/>
    <w:rsid w:val="00CB5766"/>
    <w:rsid w:val="00CB7B47"/>
    <w:rsid w:val="00CC0219"/>
    <w:rsid w:val="00CD16B1"/>
    <w:rsid w:val="00CF75EE"/>
    <w:rsid w:val="00D03622"/>
    <w:rsid w:val="00D05C8D"/>
    <w:rsid w:val="00D17A72"/>
    <w:rsid w:val="00D5443E"/>
    <w:rsid w:val="00E24C4E"/>
    <w:rsid w:val="00E55A77"/>
    <w:rsid w:val="00EC095B"/>
    <w:rsid w:val="00F83167"/>
    <w:rsid w:val="00F9020A"/>
    <w:rsid w:val="00F932F1"/>
    <w:rsid w:val="00FB56E9"/>
    <w:rsid w:val="00FD4D6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5E8BE"/>
  <w15:chartTrackingRefBased/>
  <w15:docId w15:val="{3C414E88-6263-4E1E-819E-C4EEE6B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A32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2D7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32D7"/>
    <w:rPr>
      <w:vertAlign w:val="superscript"/>
    </w:rPr>
  </w:style>
  <w:style w:type="table" w:styleId="TableGrid">
    <w:name w:val="Table Grid"/>
    <w:basedOn w:val="TableNormal"/>
    <w:uiPriority w:val="59"/>
    <w:rsid w:val="00AA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B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139BB"/>
    <w:pPr>
      <w:ind w:left="720"/>
      <w:contextualSpacing/>
    </w:pPr>
  </w:style>
  <w:style w:type="paragraph" w:styleId="Revision">
    <w:name w:val="Revision"/>
    <w:hidden/>
    <w:uiPriority w:val="99"/>
    <w:semiHidden/>
    <w:rsid w:val="005C47F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01D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C47"/>
    <w:pPr>
      <w:spacing w:line="25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7CD0"/>
    <w:pPr>
      <w:tabs>
        <w:tab w:val="right" w:leader="dot" w:pos="9016"/>
      </w:tabs>
      <w:spacing w:after="100"/>
      <w:ind w:left="851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365E"/>
    <w:pPr>
      <w:tabs>
        <w:tab w:val="left" w:pos="851"/>
        <w:tab w:val="right" w:leader="dot" w:pos="9016"/>
      </w:tabs>
      <w:spacing w:after="100"/>
      <w:ind w:left="709" w:hanging="425"/>
    </w:pPr>
    <w:rPr>
      <w:rFonts w:eastAsia="Times New Roman"/>
      <w:noProof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45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D2F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E618B"/>
    <w:pPr>
      <w:spacing w:after="100"/>
      <w:ind w:left="480"/>
    </w:pPr>
  </w:style>
  <w:style w:type="character" w:styleId="SubtleEmphasis">
    <w:name w:val="Subtle Emphasis"/>
    <w:basedOn w:val="DefaultParagraphFont"/>
    <w:uiPriority w:val="19"/>
    <w:qFormat/>
    <w:rsid w:val="00CB7B4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1B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B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hill.ac.uk/documents/tuition-fee-regu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gehill.ac.uk/departments/support/registry/academic-records/withdraw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gehill.ac.uk/documents/return-of-title-iv-funds-r2t4-policy-for-us-direct-loans-programmes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Poole</dc:creator>
  <cp:keywords/>
  <dc:description/>
  <cp:lastModifiedBy>Abbie Smith</cp:lastModifiedBy>
  <cp:revision>3</cp:revision>
  <cp:lastPrinted>2024-02-13T16:48:00Z</cp:lastPrinted>
  <dcterms:created xsi:type="dcterms:W3CDTF">2024-03-25T13:06:00Z</dcterms:created>
  <dcterms:modified xsi:type="dcterms:W3CDTF">2024-03-25T14:08:00Z</dcterms:modified>
</cp:coreProperties>
</file>