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1C21" w14:textId="77777777" w:rsidR="00BE61B3" w:rsidRDefault="00B21A03">
      <w:r>
        <w:rPr>
          <w:noProof/>
          <w:lang w:eastAsia="en-GB"/>
        </w:rPr>
        <mc:AlternateContent>
          <mc:Choice Requires="wps">
            <w:drawing>
              <wp:anchor distT="0" distB="0" distL="114300" distR="114300" simplePos="0" relativeHeight="251634688" behindDoc="1" locked="0" layoutInCell="1" allowOverlap="1" wp14:anchorId="337D4679" wp14:editId="68055411">
                <wp:simplePos x="0" y="0"/>
                <wp:positionH relativeFrom="page">
                  <wp:align>left</wp:align>
                </wp:positionH>
                <wp:positionV relativeFrom="paragraph">
                  <wp:posOffset>-914400</wp:posOffset>
                </wp:positionV>
                <wp:extent cx="7858125" cy="11332845"/>
                <wp:effectExtent l="0" t="0" r="28575" b="20955"/>
                <wp:wrapNone/>
                <wp:docPr id="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58125" cy="11332845"/>
                        </a:xfrm>
                        <a:prstGeom prst="rect">
                          <a:avLst/>
                        </a:prstGeom>
                        <a:solidFill>
                          <a:srgbClr val="7030A0"/>
                        </a:solidFill>
                        <a:ln w="25402" cap="flat">
                          <a:solidFill>
                            <a:srgbClr val="7030A0"/>
                          </a:solidFill>
                          <a:prstDash val="solid"/>
                        </a:ln>
                      </wps:spPr>
                      <wps:txbx>
                        <w:txbxContent>
                          <w:p w14:paraId="5119ADE3" w14:textId="77777777" w:rsidR="00D362C0" w:rsidRDefault="00D362C0">
                            <w:pPr>
                              <w:rPr>
                                <w:rFonts w:ascii="Times New Roman" w:hAnsi="Times New Roman"/>
                                <w:szCs w:val="24"/>
                              </w:rPr>
                            </w:pPr>
                          </w:p>
                          <w:p w14:paraId="6130C923" w14:textId="77777777" w:rsidR="00D362C0" w:rsidRDefault="00D362C0">
                            <w:pPr>
                              <w:rPr>
                                <w:rFonts w:ascii="Times New Roman" w:hAnsi="Times New Roman"/>
                                <w:szCs w:val="24"/>
                              </w:rPr>
                            </w:pPr>
                          </w:p>
                          <w:p w14:paraId="27A11E3B" w14:textId="77777777" w:rsidR="00D362C0" w:rsidRDefault="00D362C0">
                            <w:pPr>
                              <w:rPr>
                                <w:rFonts w:ascii="Times New Roman" w:hAnsi="Times New Roman"/>
                                <w:szCs w:val="24"/>
                              </w:rPr>
                            </w:pPr>
                          </w:p>
                          <w:p w14:paraId="6B118117" w14:textId="77777777" w:rsidR="00D362C0" w:rsidRDefault="00D362C0">
                            <w:pPr>
                              <w:rPr>
                                <w:rFonts w:ascii="Times New Roman" w:hAnsi="Times New Roman"/>
                                <w:szCs w:val="24"/>
                              </w:rPr>
                            </w:pPr>
                            <w:r>
                              <w:rPr>
                                <w:rFonts w:ascii="Times New Roman" w:hAnsi="Times New Roman"/>
                                <w:szCs w:val="24"/>
                              </w:rPr>
                              <w:tab/>
                            </w:r>
                          </w:p>
                          <w:p w14:paraId="19925062" w14:textId="77777777" w:rsidR="00D362C0" w:rsidRPr="00D0221C" w:rsidRDefault="00D362C0" w:rsidP="00D0221C">
                            <w:pPr>
                              <w:pStyle w:val="Title"/>
                            </w:pPr>
                          </w:p>
                          <w:p w14:paraId="1D22915A" w14:textId="77777777" w:rsidR="00D362C0" w:rsidRPr="00D0221C" w:rsidRDefault="00D362C0">
                            <w:pPr>
                              <w:rPr>
                                <w:rFonts w:ascii="Times New Roman" w:hAnsi="Times New Roman"/>
                                <w:color w:val="FFFFFF" w:themeColor="background1"/>
                                <w:szCs w:val="24"/>
                              </w:rPr>
                            </w:pPr>
                          </w:p>
                          <w:p w14:paraId="522EE3B0" w14:textId="77777777" w:rsidR="00D362C0" w:rsidRPr="00D0221C" w:rsidRDefault="00D362C0">
                            <w:pPr>
                              <w:rPr>
                                <w:rFonts w:ascii="Times New Roman" w:hAnsi="Times New Roman"/>
                                <w:color w:val="FFFFFF" w:themeColor="background1"/>
                                <w:szCs w:val="24"/>
                              </w:rPr>
                            </w:pPr>
                          </w:p>
                          <w:p w14:paraId="6BE1C767" w14:textId="77777777" w:rsidR="00D362C0" w:rsidRDefault="00D362C0">
                            <w:pPr>
                              <w:rPr>
                                <w:rFonts w:ascii="Times New Roman" w:hAnsi="Times New Roman"/>
                                <w:szCs w:val="24"/>
                              </w:rPr>
                            </w:pPr>
                          </w:p>
                          <w:p w14:paraId="4FABACE8" w14:textId="77777777" w:rsidR="00D362C0" w:rsidRDefault="00D362C0">
                            <w:pPr>
                              <w:rPr>
                                <w:rFonts w:ascii="Times New Roman" w:hAnsi="Times New Roman"/>
                                <w:szCs w:val="24"/>
                              </w:rPr>
                            </w:pPr>
                          </w:p>
                          <w:p w14:paraId="08152F1B" w14:textId="77777777" w:rsidR="00D362C0" w:rsidRDefault="00D362C0">
                            <w:pPr>
                              <w:rPr>
                                <w:rFonts w:ascii="Times New Roman" w:hAnsi="Times New Roman"/>
                                <w:szCs w:val="24"/>
                              </w:rPr>
                            </w:pPr>
                          </w:p>
                          <w:p w14:paraId="2FBCC4B9" w14:textId="77777777" w:rsidR="00D362C0" w:rsidRDefault="00D362C0">
                            <w:pPr>
                              <w:rPr>
                                <w:rFonts w:ascii="Times New Roman" w:hAnsi="Times New Roman"/>
                                <w:szCs w:val="24"/>
                              </w:rPr>
                            </w:pPr>
                          </w:p>
                          <w:p w14:paraId="77D3C399" w14:textId="77777777" w:rsidR="00D362C0" w:rsidRDefault="00D362C0">
                            <w:pPr>
                              <w:rPr>
                                <w:rFonts w:ascii="Times New Roman" w:hAnsi="Times New Roman"/>
                                <w:szCs w:val="24"/>
                              </w:rPr>
                            </w:pPr>
                          </w:p>
                          <w:p w14:paraId="1203AEFC" w14:textId="77777777" w:rsidR="00D362C0" w:rsidRDefault="00D362C0">
                            <w:pPr>
                              <w:rPr>
                                <w:rFonts w:ascii="Times New Roman" w:hAnsi="Times New Roman"/>
                                <w:szCs w:val="24"/>
                              </w:rPr>
                            </w:pPr>
                          </w:p>
                          <w:p w14:paraId="325CAA54" w14:textId="77777777" w:rsidR="00D362C0" w:rsidRDefault="00D362C0">
                            <w:pPr>
                              <w:rPr>
                                <w:rFonts w:ascii="Times New Roman" w:hAnsi="Times New Roman"/>
                                <w:szCs w:val="24"/>
                              </w:rPr>
                            </w:pPr>
                          </w:p>
                          <w:p w14:paraId="27FF1582" w14:textId="77777777" w:rsidR="00D362C0" w:rsidRDefault="00D362C0">
                            <w:pPr>
                              <w:rPr>
                                <w:rFonts w:ascii="Times New Roman" w:hAnsi="Times New Roman"/>
                                <w:szCs w:val="24"/>
                              </w:rPr>
                            </w:pPr>
                          </w:p>
                          <w:p w14:paraId="7FE8F084" w14:textId="77777777" w:rsidR="00D362C0" w:rsidRDefault="00D362C0">
                            <w:r>
                              <w:rPr>
                                <w:rFonts w:ascii="Times New Roman" w:hAnsi="Times New Roman"/>
                                <w:noProof/>
                                <w:szCs w:val="24"/>
                                <w:lang w:eastAsia="en-GB"/>
                              </w:rPr>
                              <w:drawing>
                                <wp:inline distT="0" distB="0" distL="0" distR="0" wp14:anchorId="1B7C0873" wp14:editId="005CD29D">
                                  <wp:extent cx="3771899" cy="5762621"/>
                                  <wp:effectExtent l="0" t="0" r="1" b="0"/>
                                  <wp:docPr id="1" name="Pictur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771899" cy="5762621"/>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rect w14:anchorId="337D4679" id="Rectangle 1" o:spid="_x0000_s1026" alt="&quot;&quot;" style="position:absolute;margin-left:0;margin-top:-1in;width:618.75pt;height:892.35pt;z-index:-25168179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" fillcolor="#7030a0" strokecolor="#7030a0" strokeweight=".70561mm">
                <v:textbox>
                  <w:txbxContent>
                    <w:p w14:paraId="5119ADE3" w14:textId="77777777" w:rsidR="00D362C0" w:rsidRDefault="00D362C0">
                      <w:pPr>
                        <w:rPr>
                          <w:rFonts w:ascii="Times New Roman" w:hAnsi="Times New Roman"/>
                          <w:szCs w:val="24"/>
                        </w:rPr>
                      </w:pPr>
                    </w:p>
                    <w:p w14:paraId="6130C923" w14:textId="77777777" w:rsidR="00D362C0" w:rsidRDefault="00D362C0">
                      <w:pPr>
                        <w:rPr>
                          <w:rFonts w:ascii="Times New Roman" w:hAnsi="Times New Roman"/>
                          <w:szCs w:val="24"/>
                        </w:rPr>
                      </w:pPr>
                    </w:p>
                    <w:p w14:paraId="27A11E3B" w14:textId="77777777" w:rsidR="00D362C0" w:rsidRDefault="00D362C0">
                      <w:pPr>
                        <w:rPr>
                          <w:rFonts w:ascii="Times New Roman" w:hAnsi="Times New Roman"/>
                          <w:szCs w:val="24"/>
                        </w:rPr>
                      </w:pPr>
                    </w:p>
                    <w:p w14:paraId="6B118117" w14:textId="77777777" w:rsidR="00D362C0" w:rsidRDefault="00D362C0">
                      <w:pPr>
                        <w:rPr>
                          <w:rFonts w:ascii="Times New Roman" w:hAnsi="Times New Roman"/>
                          <w:szCs w:val="24"/>
                        </w:rPr>
                      </w:pPr>
                      <w:r>
                        <w:rPr>
                          <w:rFonts w:ascii="Times New Roman" w:hAnsi="Times New Roman"/>
                          <w:szCs w:val="24"/>
                        </w:rPr>
                        <w:tab/>
                      </w:r>
                    </w:p>
                    <w:p w14:paraId="19925062" w14:textId="77777777" w:rsidR="00D362C0" w:rsidRPr="00D0221C" w:rsidRDefault="00D362C0" w:rsidP="00D0221C">
                      <w:pPr>
                        <w:pStyle w:val="Title"/>
                      </w:pPr>
                    </w:p>
                    <w:p w14:paraId="1D22915A" w14:textId="77777777" w:rsidR="00D362C0" w:rsidRPr="00D0221C" w:rsidRDefault="00D362C0">
                      <w:pPr>
                        <w:rPr>
                          <w:rFonts w:ascii="Times New Roman" w:hAnsi="Times New Roman"/>
                          <w:color w:val="FFFFFF" w:themeColor="background1"/>
                          <w:szCs w:val="24"/>
                        </w:rPr>
                      </w:pPr>
                    </w:p>
                    <w:p w14:paraId="522EE3B0" w14:textId="77777777" w:rsidR="00D362C0" w:rsidRPr="00D0221C" w:rsidRDefault="00D362C0">
                      <w:pPr>
                        <w:rPr>
                          <w:rFonts w:ascii="Times New Roman" w:hAnsi="Times New Roman"/>
                          <w:color w:val="FFFFFF" w:themeColor="background1"/>
                          <w:szCs w:val="24"/>
                        </w:rPr>
                      </w:pPr>
                    </w:p>
                    <w:p w14:paraId="6BE1C767" w14:textId="77777777" w:rsidR="00D362C0" w:rsidRDefault="00D362C0">
                      <w:pPr>
                        <w:rPr>
                          <w:rFonts w:ascii="Times New Roman" w:hAnsi="Times New Roman"/>
                          <w:szCs w:val="24"/>
                        </w:rPr>
                      </w:pPr>
                    </w:p>
                    <w:p w14:paraId="4FABACE8" w14:textId="77777777" w:rsidR="00D362C0" w:rsidRDefault="00D362C0">
                      <w:pPr>
                        <w:rPr>
                          <w:rFonts w:ascii="Times New Roman" w:hAnsi="Times New Roman"/>
                          <w:szCs w:val="24"/>
                        </w:rPr>
                      </w:pPr>
                    </w:p>
                    <w:p w14:paraId="08152F1B" w14:textId="77777777" w:rsidR="00D362C0" w:rsidRDefault="00D362C0">
                      <w:pPr>
                        <w:rPr>
                          <w:rFonts w:ascii="Times New Roman" w:hAnsi="Times New Roman"/>
                          <w:szCs w:val="24"/>
                        </w:rPr>
                      </w:pPr>
                    </w:p>
                    <w:p w14:paraId="2FBCC4B9" w14:textId="77777777" w:rsidR="00D362C0" w:rsidRDefault="00D362C0">
                      <w:pPr>
                        <w:rPr>
                          <w:rFonts w:ascii="Times New Roman" w:hAnsi="Times New Roman"/>
                          <w:szCs w:val="24"/>
                        </w:rPr>
                      </w:pPr>
                    </w:p>
                    <w:p w14:paraId="77D3C399" w14:textId="77777777" w:rsidR="00D362C0" w:rsidRDefault="00D362C0">
                      <w:pPr>
                        <w:rPr>
                          <w:rFonts w:ascii="Times New Roman" w:hAnsi="Times New Roman"/>
                          <w:szCs w:val="24"/>
                        </w:rPr>
                      </w:pPr>
                    </w:p>
                    <w:p w14:paraId="1203AEFC" w14:textId="77777777" w:rsidR="00D362C0" w:rsidRDefault="00D362C0">
                      <w:pPr>
                        <w:rPr>
                          <w:rFonts w:ascii="Times New Roman" w:hAnsi="Times New Roman"/>
                          <w:szCs w:val="24"/>
                        </w:rPr>
                      </w:pPr>
                    </w:p>
                    <w:p w14:paraId="325CAA54" w14:textId="77777777" w:rsidR="00D362C0" w:rsidRDefault="00D362C0">
                      <w:pPr>
                        <w:rPr>
                          <w:rFonts w:ascii="Times New Roman" w:hAnsi="Times New Roman"/>
                          <w:szCs w:val="24"/>
                        </w:rPr>
                      </w:pPr>
                    </w:p>
                    <w:p w14:paraId="27FF1582" w14:textId="77777777" w:rsidR="00D362C0" w:rsidRDefault="00D362C0">
                      <w:pPr>
                        <w:rPr>
                          <w:rFonts w:ascii="Times New Roman" w:hAnsi="Times New Roman"/>
                          <w:szCs w:val="24"/>
                        </w:rPr>
                      </w:pPr>
                    </w:p>
                    <w:p w14:paraId="7FE8F084" w14:textId="77777777" w:rsidR="00D362C0" w:rsidRDefault="00D362C0">
                      <w:r>
                        <w:rPr>
                          <w:rFonts w:ascii="Times New Roman" w:hAnsi="Times New Roman"/>
                          <w:noProof/>
                          <w:szCs w:val="24"/>
                          <w:lang w:eastAsia="en-GB"/>
                        </w:rPr>
                        <w:drawing>
                          <wp:inline distT="0" distB="0" distL="0" distR="0" wp14:anchorId="1B7C0873" wp14:editId="005CD29D">
                            <wp:extent cx="3771899" cy="5762621"/>
                            <wp:effectExtent l="0" t="0" r="1" b="0"/>
                            <wp:docPr id="1" name="Pictur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771899" cy="5762621"/>
                                    </a:xfrm>
                                    <a:prstGeom prst="rect">
                                      <a:avLst/>
                                    </a:prstGeom>
                                    <a:noFill/>
                                    <a:ln>
                                      <a:noFill/>
                                      <a:prstDash/>
                                    </a:ln>
                                  </pic:spPr>
                                </pic:pic>
                              </a:graphicData>
                            </a:graphic>
                          </wp:inline>
                        </w:drawing>
                      </w:r>
                    </w:p>
                  </w:txbxContent>
                </v:textbox>
                <w10:wrap anchorx="page"/>
              </v:rect>
            </w:pict>
          </mc:Fallback>
        </mc:AlternateContent>
      </w:r>
    </w:p>
    <w:p w14:paraId="3289FB93" w14:textId="77777777" w:rsidR="00BE61B3" w:rsidRDefault="00BE61B3"/>
    <w:p w14:paraId="72850B38" w14:textId="58E68E2D" w:rsidR="00D0221C" w:rsidRDefault="00D0221C" w:rsidP="00D0221C">
      <w:pPr>
        <w:pStyle w:val="Title"/>
        <w:rPr>
          <w:b w:val="0"/>
        </w:rPr>
      </w:pPr>
      <w:r>
        <w:t>Hand</w:t>
      </w:r>
      <w:r w:rsidR="00487929">
        <w:t>book for External Examiners 20</w:t>
      </w:r>
      <w:r>
        <w:t>2</w:t>
      </w:r>
      <w:r w:rsidR="00186B90">
        <w:t>3</w:t>
      </w:r>
      <w:r w:rsidR="00487929">
        <w:t>/2</w:t>
      </w:r>
      <w:r w:rsidR="00186B90">
        <w:t>4</w:t>
      </w:r>
    </w:p>
    <w:p w14:paraId="750C54DB" w14:textId="21607928" w:rsidR="00D0221C" w:rsidRDefault="00530E1E" w:rsidP="00D0221C">
      <w:pPr>
        <w:spacing w:after="0"/>
        <w:rPr>
          <w:rFonts w:cs="Calibri"/>
          <w:i/>
          <w:color w:val="FFFFFF"/>
        </w:rPr>
      </w:pPr>
      <w:r>
        <w:rPr>
          <w:rFonts w:cs="Calibri"/>
          <w:i/>
          <w:color w:val="FFFFFF"/>
        </w:rPr>
        <w:t>Governance, Quality Assurance and Student Casework</w:t>
      </w:r>
      <w:r w:rsidR="00D0221C">
        <w:rPr>
          <w:rFonts w:cs="Calibri"/>
          <w:i/>
          <w:color w:val="FFFFFF"/>
        </w:rPr>
        <w:t xml:space="preserve"> </w:t>
      </w:r>
    </w:p>
    <w:p w14:paraId="75205CF3" w14:textId="1D03916F" w:rsidR="00BE61B3" w:rsidRDefault="001D27AF">
      <w:r>
        <w:rPr>
          <w:noProof/>
          <w:lang w:eastAsia="en-GB"/>
        </w:rPr>
        <mc:AlternateContent>
          <mc:Choice Requires="wpg">
            <w:drawing>
              <wp:anchor distT="0" distB="0" distL="114300" distR="114300" simplePos="0" relativeHeight="251652096" behindDoc="0" locked="0" layoutInCell="1" allowOverlap="1" wp14:anchorId="2F76EE49" wp14:editId="51C40FD1">
                <wp:simplePos x="0" y="0"/>
                <wp:positionH relativeFrom="column">
                  <wp:posOffset>4521835</wp:posOffset>
                </wp:positionH>
                <wp:positionV relativeFrom="paragraph">
                  <wp:posOffset>6223635</wp:posOffset>
                </wp:positionV>
                <wp:extent cx="1847215" cy="971550"/>
                <wp:effectExtent l="0" t="0" r="0" b="19050"/>
                <wp:wrapNone/>
                <wp:docPr id="3" name="Group 12" descr="Edge Hill University "/>
                <wp:cNvGraphicFramePr/>
                <a:graphic xmlns:a="http://schemas.openxmlformats.org/drawingml/2006/main">
                  <a:graphicData uri="http://schemas.microsoft.com/office/word/2010/wordprocessingGroup">
                    <wpg:wgp>
                      <wpg:cNvGrpSpPr/>
                      <wpg:grpSpPr>
                        <a:xfrm>
                          <a:off x="0" y="0"/>
                          <a:ext cx="1847215" cy="971550"/>
                          <a:chOff x="112113" y="-28575"/>
                          <a:chExt cx="1847846" cy="971568"/>
                        </a:xfrm>
                      </wpg:grpSpPr>
                      <wps:wsp>
                        <wps:cNvPr id="4" name="Text Box 10"/>
                        <wps:cNvSpPr txBox="1"/>
                        <wps:spPr>
                          <a:xfrm>
                            <a:off x="112113" y="-28575"/>
                            <a:ext cx="1847846" cy="933446"/>
                          </a:xfrm>
                          <a:prstGeom prst="rect">
                            <a:avLst/>
                          </a:prstGeom>
                        </wps:spPr>
                        <wps:txbx>
                          <w:txbxContent>
                            <w:p w14:paraId="4CBCB150" w14:textId="77777777" w:rsidR="00D362C0" w:rsidRDefault="00D362C0">
                              <w:pPr>
                                <w:spacing w:after="0" w:line="240" w:lineRule="auto"/>
                                <w:rPr>
                                  <w:color w:val="FFFFFF"/>
                                  <w:sz w:val="56"/>
                                </w:rPr>
                              </w:pPr>
                              <w:r>
                                <w:rPr>
                                  <w:color w:val="FFFFFF"/>
                                  <w:sz w:val="56"/>
                                </w:rPr>
                                <w:t>Edge Hill</w:t>
                              </w:r>
                            </w:p>
                            <w:p w14:paraId="7DEB22ED" w14:textId="77777777" w:rsidR="00D362C0" w:rsidRDefault="00D362C0">
                              <w:pPr>
                                <w:spacing w:after="0" w:line="240" w:lineRule="auto"/>
                                <w:rPr>
                                  <w:color w:val="FFFFFF"/>
                                  <w:sz w:val="56"/>
                                </w:rPr>
                              </w:pPr>
                              <w:r>
                                <w:rPr>
                                  <w:color w:val="FFFFFF"/>
                                  <w:sz w:val="56"/>
                                </w:rPr>
                                <w:t>University</w:t>
                              </w:r>
                            </w:p>
                          </w:txbxContent>
                        </wps:txbx>
                        <wps:bodyPr vert="horz" wrap="square" lIns="91440" tIns="45720" rIns="91440" bIns="45720" anchor="t" anchorCtr="0" compatLnSpc="1">
                          <a:noAutofit/>
                        </wps:bodyPr>
                      </wps:wsp>
                      <wps:wsp>
                        <wps:cNvPr id="5" name="Straight Connector 11"/>
                        <wps:cNvCnPr/>
                        <wps:spPr>
                          <a:xfrm>
                            <a:off x="112151" y="933465"/>
                            <a:ext cx="1638294" cy="9528"/>
                          </a:xfrm>
                          <a:prstGeom prst="straightConnector1">
                            <a:avLst/>
                          </a:prstGeom>
                          <a:noFill/>
                          <a:ln w="19046" cap="flat">
                            <a:solidFill>
                              <a:srgbClr val="FFFFFF"/>
                            </a:solidFill>
                            <a:prstDash val="solid"/>
                          </a:ln>
                        </wps:spPr>
                        <wps:bodyPr/>
                      </wps:wsp>
                    </wpg:wgp>
                  </a:graphicData>
                </a:graphic>
                <wp14:sizeRelV relativeFrom="margin">
                  <wp14:pctHeight>0</wp14:pctHeight>
                </wp14:sizeRelV>
              </wp:anchor>
            </w:drawing>
          </mc:Choice>
          <mc:Fallback>
            <w:pict>
              <v:group w14:anchorId="2F76EE49" id="Group 12" o:spid="_x0000_s1027" alt="Edge Hill University " style="position:absolute;margin-left:356.05pt;margin-top:490.05pt;width:145.45pt;height:76.5pt;z-index:251652096;mso-height-relative:margin" coordorigin="1121,-285" coordsize="1847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">
                <v:shapetype id="_x0000_t202" coordsize="21600,21600" o:spt="202" path="m,l,21600r21600,l21600,xe">
                  <v:stroke joinstyle="miter"/>
                  <v:path gradientshapeok="t" o:connecttype="rect"/>
                </v:shapetype>
                <v:shape id="Text Box 10" o:spid="_x0000_s1028" type="#_x0000_t202" style="position:absolute;left:1121;top:-285;width:18478;height:9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BCB150" w14:textId="77777777" w:rsidR="00D362C0" w:rsidRDefault="00D362C0">
                        <w:pPr>
                          <w:spacing w:after="0" w:line="240" w:lineRule="auto"/>
                          <w:rPr>
                            <w:color w:val="FFFFFF"/>
                            <w:sz w:val="56"/>
                          </w:rPr>
                        </w:pPr>
                        <w:r>
                          <w:rPr>
                            <w:color w:val="FFFFFF"/>
                            <w:sz w:val="56"/>
                          </w:rPr>
                          <w:t>Edge Hill</w:t>
                        </w:r>
                      </w:p>
                      <w:p w14:paraId="7DEB22ED" w14:textId="77777777" w:rsidR="00D362C0" w:rsidRDefault="00D362C0">
                        <w:pPr>
                          <w:spacing w:after="0" w:line="240" w:lineRule="auto"/>
                          <w:rPr>
                            <w:color w:val="FFFFFF"/>
                            <w:sz w:val="56"/>
                          </w:rPr>
                        </w:pPr>
                        <w:r>
                          <w:rPr>
                            <w:color w:val="FFFFFF"/>
                            <w:sz w:val="56"/>
                          </w:rPr>
                          <w:t>University</w:t>
                        </w:r>
                      </w:p>
                    </w:txbxContent>
                  </v:textbox>
                </v:shape>
                <v:shapetype id="_x0000_t32" coordsize="21600,21600" o:spt="32" o:oned="t" path="m,l21600,21600e" filled="f">
                  <v:path arrowok="t" fillok="f" o:connecttype="none"/>
                  <o:lock v:ext="edit" shapetype="t"/>
                </v:shapetype>
                <v:shape id="Straight Connector 11" o:spid="_x0000_s1029" type="#_x0000_t32" style="position:absolute;left:1121;top:9334;width:1638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" strokecolor="white" strokeweight=".52906mm"/>
              </v:group>
            </w:pict>
          </mc:Fallback>
        </mc:AlternateContent>
      </w:r>
    </w:p>
    <w:p w14:paraId="759ADF2B" w14:textId="33610CD9" w:rsidR="00BE61B3" w:rsidRDefault="00B21A03">
      <w:pPr>
        <w:pStyle w:val="TOCHeading"/>
        <w:pageBreakBefore/>
        <w:outlineLvl w:val="9"/>
      </w:pPr>
      <w:r>
        <w:lastRenderedPageBreak/>
        <w:t>Contents</w:t>
      </w:r>
    </w:p>
    <w:p w14:paraId="56F3AFCF" w14:textId="15953950" w:rsidR="001D200D" w:rsidRDefault="000B4A14">
      <w:pPr>
        <w:pStyle w:val="TOC1"/>
        <w:tabs>
          <w:tab w:val="right" w:leader="dot" w:pos="9016"/>
        </w:tabs>
        <w:rPr>
          <w:rFonts w:asciiTheme="minorHAnsi" w:eastAsiaTheme="minorEastAsia" w:hAnsiTheme="minorHAnsi" w:cstheme="minorBidi"/>
          <w:noProof/>
          <w:kern w:val="2"/>
          <w:lang w:eastAsia="en-GB"/>
          <w14:ligatures w14:val="standardContextual"/>
        </w:rPr>
      </w:pPr>
      <w:r>
        <w:rPr>
          <w:rFonts w:eastAsia="Times New Roman"/>
          <w:color w:val="7030A0"/>
          <w:sz w:val="28"/>
          <w:szCs w:val="32"/>
          <w:lang w:val="en-US"/>
        </w:rPr>
        <w:fldChar w:fldCharType="begin"/>
      </w:r>
      <w:r>
        <w:rPr>
          <w:rFonts w:eastAsia="Times New Roman"/>
          <w:color w:val="7030A0"/>
          <w:sz w:val="28"/>
          <w:szCs w:val="32"/>
          <w:lang w:val="en-US"/>
        </w:rPr>
        <w:instrText xml:space="preserve"> TOC \o "1-3" \h \z \u </w:instrText>
      </w:r>
      <w:r>
        <w:rPr>
          <w:rFonts w:eastAsia="Times New Roman"/>
          <w:color w:val="7030A0"/>
          <w:sz w:val="28"/>
          <w:szCs w:val="32"/>
          <w:lang w:val="en-US"/>
        </w:rPr>
        <w:fldChar w:fldCharType="separate"/>
      </w:r>
      <w:hyperlink w:anchor="_Toc152573688" w:history="1">
        <w:r w:rsidR="001D200D" w:rsidRPr="00437321">
          <w:rPr>
            <w:rStyle w:val="Hyperlink"/>
            <w:noProof/>
          </w:rPr>
          <w:t>Introduction to Edge Hill University - Vision and Values</w:t>
        </w:r>
        <w:r w:rsidR="001D200D">
          <w:rPr>
            <w:noProof/>
            <w:webHidden/>
          </w:rPr>
          <w:tab/>
        </w:r>
        <w:r w:rsidR="001D200D">
          <w:rPr>
            <w:noProof/>
            <w:webHidden/>
          </w:rPr>
          <w:fldChar w:fldCharType="begin"/>
        </w:r>
        <w:r w:rsidR="001D200D">
          <w:rPr>
            <w:noProof/>
            <w:webHidden/>
          </w:rPr>
          <w:instrText xml:space="preserve"> PAGEREF _Toc152573688 \h </w:instrText>
        </w:r>
        <w:r w:rsidR="001D200D">
          <w:rPr>
            <w:noProof/>
            <w:webHidden/>
          </w:rPr>
        </w:r>
        <w:r w:rsidR="001D200D">
          <w:rPr>
            <w:noProof/>
            <w:webHidden/>
          </w:rPr>
          <w:fldChar w:fldCharType="separate"/>
        </w:r>
        <w:r w:rsidR="001D200D">
          <w:rPr>
            <w:noProof/>
            <w:webHidden/>
          </w:rPr>
          <w:t>4</w:t>
        </w:r>
        <w:r w:rsidR="001D200D">
          <w:rPr>
            <w:noProof/>
            <w:webHidden/>
          </w:rPr>
          <w:fldChar w:fldCharType="end"/>
        </w:r>
      </w:hyperlink>
    </w:p>
    <w:p w14:paraId="5DAC83A5" w14:textId="17058795"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89" w:history="1">
        <w:r w:rsidR="001D200D" w:rsidRPr="00437321">
          <w:rPr>
            <w:rStyle w:val="Hyperlink"/>
            <w:noProof/>
          </w:rPr>
          <w:t>Mission</w:t>
        </w:r>
        <w:r w:rsidR="001D200D">
          <w:rPr>
            <w:noProof/>
            <w:webHidden/>
          </w:rPr>
          <w:tab/>
        </w:r>
        <w:r w:rsidR="001D200D">
          <w:rPr>
            <w:noProof/>
            <w:webHidden/>
          </w:rPr>
          <w:fldChar w:fldCharType="begin"/>
        </w:r>
        <w:r w:rsidR="001D200D">
          <w:rPr>
            <w:noProof/>
            <w:webHidden/>
          </w:rPr>
          <w:instrText xml:space="preserve"> PAGEREF _Toc152573689 \h </w:instrText>
        </w:r>
        <w:r w:rsidR="001D200D">
          <w:rPr>
            <w:noProof/>
            <w:webHidden/>
          </w:rPr>
        </w:r>
        <w:r w:rsidR="001D200D">
          <w:rPr>
            <w:noProof/>
            <w:webHidden/>
          </w:rPr>
          <w:fldChar w:fldCharType="separate"/>
        </w:r>
        <w:r w:rsidR="001D200D">
          <w:rPr>
            <w:noProof/>
            <w:webHidden/>
          </w:rPr>
          <w:t>4</w:t>
        </w:r>
        <w:r w:rsidR="001D200D">
          <w:rPr>
            <w:noProof/>
            <w:webHidden/>
          </w:rPr>
          <w:fldChar w:fldCharType="end"/>
        </w:r>
      </w:hyperlink>
    </w:p>
    <w:p w14:paraId="3E433CEA" w14:textId="2C33C740"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0" w:history="1">
        <w:r w:rsidR="001D200D" w:rsidRPr="00437321">
          <w:rPr>
            <w:rStyle w:val="Hyperlink"/>
            <w:noProof/>
          </w:rPr>
          <w:t>University vision 2025</w:t>
        </w:r>
        <w:r w:rsidR="001D200D">
          <w:rPr>
            <w:noProof/>
            <w:webHidden/>
          </w:rPr>
          <w:tab/>
        </w:r>
        <w:r w:rsidR="001D200D">
          <w:rPr>
            <w:noProof/>
            <w:webHidden/>
          </w:rPr>
          <w:fldChar w:fldCharType="begin"/>
        </w:r>
        <w:r w:rsidR="001D200D">
          <w:rPr>
            <w:noProof/>
            <w:webHidden/>
          </w:rPr>
          <w:instrText xml:space="preserve"> PAGEREF _Toc152573690 \h </w:instrText>
        </w:r>
        <w:r w:rsidR="001D200D">
          <w:rPr>
            <w:noProof/>
            <w:webHidden/>
          </w:rPr>
        </w:r>
        <w:r w:rsidR="001D200D">
          <w:rPr>
            <w:noProof/>
            <w:webHidden/>
          </w:rPr>
          <w:fldChar w:fldCharType="separate"/>
        </w:r>
        <w:r w:rsidR="001D200D">
          <w:rPr>
            <w:noProof/>
            <w:webHidden/>
          </w:rPr>
          <w:t>4</w:t>
        </w:r>
        <w:r w:rsidR="001D200D">
          <w:rPr>
            <w:noProof/>
            <w:webHidden/>
          </w:rPr>
          <w:fldChar w:fldCharType="end"/>
        </w:r>
      </w:hyperlink>
    </w:p>
    <w:p w14:paraId="3484AD08" w14:textId="29483F3F"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1" w:history="1">
        <w:r w:rsidR="001D200D" w:rsidRPr="00437321">
          <w:rPr>
            <w:rStyle w:val="Hyperlink"/>
            <w:noProof/>
          </w:rPr>
          <w:t>Values</w:t>
        </w:r>
        <w:r w:rsidR="001D200D">
          <w:rPr>
            <w:noProof/>
            <w:webHidden/>
          </w:rPr>
          <w:tab/>
        </w:r>
        <w:r w:rsidR="001D200D">
          <w:rPr>
            <w:noProof/>
            <w:webHidden/>
          </w:rPr>
          <w:fldChar w:fldCharType="begin"/>
        </w:r>
        <w:r w:rsidR="001D200D">
          <w:rPr>
            <w:noProof/>
            <w:webHidden/>
          </w:rPr>
          <w:instrText xml:space="preserve"> PAGEREF _Toc152573691 \h </w:instrText>
        </w:r>
        <w:r w:rsidR="001D200D">
          <w:rPr>
            <w:noProof/>
            <w:webHidden/>
          </w:rPr>
        </w:r>
        <w:r w:rsidR="001D200D">
          <w:rPr>
            <w:noProof/>
            <w:webHidden/>
          </w:rPr>
          <w:fldChar w:fldCharType="separate"/>
        </w:r>
        <w:r w:rsidR="001D200D">
          <w:rPr>
            <w:noProof/>
            <w:webHidden/>
          </w:rPr>
          <w:t>4</w:t>
        </w:r>
        <w:r w:rsidR="001D200D">
          <w:rPr>
            <w:noProof/>
            <w:webHidden/>
          </w:rPr>
          <w:fldChar w:fldCharType="end"/>
        </w:r>
      </w:hyperlink>
    </w:p>
    <w:p w14:paraId="60EEE572" w14:textId="01C4D76D"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692" w:history="1">
        <w:r w:rsidR="001D200D" w:rsidRPr="00437321">
          <w:rPr>
            <w:rStyle w:val="Hyperlink"/>
            <w:noProof/>
          </w:rPr>
          <w:t>Introduction to External Examining at Edge Hill University</w:t>
        </w:r>
        <w:r w:rsidR="001D200D">
          <w:rPr>
            <w:noProof/>
            <w:webHidden/>
          </w:rPr>
          <w:tab/>
        </w:r>
        <w:r w:rsidR="001D200D">
          <w:rPr>
            <w:noProof/>
            <w:webHidden/>
          </w:rPr>
          <w:fldChar w:fldCharType="begin"/>
        </w:r>
        <w:r w:rsidR="001D200D">
          <w:rPr>
            <w:noProof/>
            <w:webHidden/>
          </w:rPr>
          <w:instrText xml:space="preserve"> PAGEREF _Toc152573692 \h </w:instrText>
        </w:r>
        <w:r w:rsidR="001D200D">
          <w:rPr>
            <w:noProof/>
            <w:webHidden/>
          </w:rPr>
        </w:r>
        <w:r w:rsidR="001D200D">
          <w:rPr>
            <w:noProof/>
            <w:webHidden/>
          </w:rPr>
          <w:fldChar w:fldCharType="separate"/>
        </w:r>
        <w:r w:rsidR="001D200D">
          <w:rPr>
            <w:noProof/>
            <w:webHidden/>
          </w:rPr>
          <w:t>5</w:t>
        </w:r>
        <w:r w:rsidR="001D200D">
          <w:rPr>
            <w:noProof/>
            <w:webHidden/>
          </w:rPr>
          <w:fldChar w:fldCharType="end"/>
        </w:r>
      </w:hyperlink>
    </w:p>
    <w:p w14:paraId="47E52293" w14:textId="7EB391CC"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693" w:history="1">
        <w:r w:rsidR="001D200D" w:rsidRPr="00437321">
          <w:rPr>
            <w:rStyle w:val="Hyperlink"/>
            <w:noProof/>
          </w:rPr>
          <w:t>Roles and Responsibilities</w:t>
        </w:r>
        <w:r w:rsidR="001D200D">
          <w:rPr>
            <w:noProof/>
            <w:webHidden/>
          </w:rPr>
          <w:tab/>
        </w:r>
        <w:r w:rsidR="001D200D">
          <w:rPr>
            <w:noProof/>
            <w:webHidden/>
          </w:rPr>
          <w:fldChar w:fldCharType="begin"/>
        </w:r>
        <w:r w:rsidR="001D200D">
          <w:rPr>
            <w:noProof/>
            <w:webHidden/>
          </w:rPr>
          <w:instrText xml:space="preserve"> PAGEREF _Toc152573693 \h </w:instrText>
        </w:r>
        <w:r w:rsidR="001D200D">
          <w:rPr>
            <w:noProof/>
            <w:webHidden/>
          </w:rPr>
        </w:r>
        <w:r w:rsidR="001D200D">
          <w:rPr>
            <w:noProof/>
            <w:webHidden/>
          </w:rPr>
          <w:fldChar w:fldCharType="separate"/>
        </w:r>
        <w:r w:rsidR="001D200D">
          <w:rPr>
            <w:noProof/>
            <w:webHidden/>
          </w:rPr>
          <w:t>6</w:t>
        </w:r>
        <w:r w:rsidR="001D200D">
          <w:rPr>
            <w:noProof/>
            <w:webHidden/>
          </w:rPr>
          <w:fldChar w:fldCharType="end"/>
        </w:r>
      </w:hyperlink>
    </w:p>
    <w:p w14:paraId="3C6C4B47" w14:textId="2DEB0705"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4" w:history="1">
        <w:r w:rsidR="001D200D" w:rsidRPr="00437321">
          <w:rPr>
            <w:rStyle w:val="Hyperlink"/>
            <w:noProof/>
          </w:rPr>
          <w:t>Primary role of external examiners</w:t>
        </w:r>
        <w:r w:rsidR="001D200D">
          <w:rPr>
            <w:noProof/>
            <w:webHidden/>
          </w:rPr>
          <w:tab/>
        </w:r>
        <w:r w:rsidR="001D200D">
          <w:rPr>
            <w:noProof/>
            <w:webHidden/>
          </w:rPr>
          <w:fldChar w:fldCharType="begin"/>
        </w:r>
        <w:r w:rsidR="001D200D">
          <w:rPr>
            <w:noProof/>
            <w:webHidden/>
          </w:rPr>
          <w:instrText xml:space="preserve"> PAGEREF _Toc152573694 \h </w:instrText>
        </w:r>
        <w:r w:rsidR="001D200D">
          <w:rPr>
            <w:noProof/>
            <w:webHidden/>
          </w:rPr>
        </w:r>
        <w:r w:rsidR="001D200D">
          <w:rPr>
            <w:noProof/>
            <w:webHidden/>
          </w:rPr>
          <w:fldChar w:fldCharType="separate"/>
        </w:r>
        <w:r w:rsidR="001D200D">
          <w:rPr>
            <w:noProof/>
            <w:webHidden/>
          </w:rPr>
          <w:t>6</w:t>
        </w:r>
        <w:r w:rsidR="001D200D">
          <w:rPr>
            <w:noProof/>
            <w:webHidden/>
          </w:rPr>
          <w:fldChar w:fldCharType="end"/>
        </w:r>
      </w:hyperlink>
    </w:p>
    <w:p w14:paraId="2190AF86" w14:textId="3ACCFD5F"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5" w:history="1">
        <w:r w:rsidR="001D200D" w:rsidRPr="00437321">
          <w:rPr>
            <w:rStyle w:val="Hyperlink"/>
            <w:noProof/>
          </w:rPr>
          <w:t>Secondary Role of external examiners</w:t>
        </w:r>
        <w:r w:rsidR="001D200D">
          <w:rPr>
            <w:noProof/>
            <w:webHidden/>
          </w:rPr>
          <w:tab/>
        </w:r>
        <w:r w:rsidR="001D200D">
          <w:rPr>
            <w:noProof/>
            <w:webHidden/>
          </w:rPr>
          <w:fldChar w:fldCharType="begin"/>
        </w:r>
        <w:r w:rsidR="001D200D">
          <w:rPr>
            <w:noProof/>
            <w:webHidden/>
          </w:rPr>
          <w:instrText xml:space="preserve"> PAGEREF _Toc152573695 \h </w:instrText>
        </w:r>
        <w:r w:rsidR="001D200D">
          <w:rPr>
            <w:noProof/>
            <w:webHidden/>
          </w:rPr>
        </w:r>
        <w:r w:rsidR="001D200D">
          <w:rPr>
            <w:noProof/>
            <w:webHidden/>
          </w:rPr>
          <w:fldChar w:fldCharType="separate"/>
        </w:r>
        <w:r w:rsidR="001D200D">
          <w:rPr>
            <w:noProof/>
            <w:webHidden/>
          </w:rPr>
          <w:t>6</w:t>
        </w:r>
        <w:r w:rsidR="001D200D">
          <w:rPr>
            <w:noProof/>
            <w:webHidden/>
          </w:rPr>
          <w:fldChar w:fldCharType="end"/>
        </w:r>
      </w:hyperlink>
    </w:p>
    <w:p w14:paraId="46AA5B28" w14:textId="31D74A77"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6" w:history="1">
        <w:r w:rsidR="001D200D" w:rsidRPr="00437321">
          <w:rPr>
            <w:rStyle w:val="Hyperlink"/>
            <w:noProof/>
          </w:rPr>
          <w:t>Allocation and changes to coverage of academic provision</w:t>
        </w:r>
        <w:r w:rsidR="001D200D">
          <w:rPr>
            <w:noProof/>
            <w:webHidden/>
          </w:rPr>
          <w:tab/>
        </w:r>
        <w:r w:rsidR="001D200D">
          <w:rPr>
            <w:noProof/>
            <w:webHidden/>
          </w:rPr>
          <w:fldChar w:fldCharType="begin"/>
        </w:r>
        <w:r w:rsidR="001D200D">
          <w:rPr>
            <w:noProof/>
            <w:webHidden/>
          </w:rPr>
          <w:instrText xml:space="preserve"> PAGEREF _Toc152573696 \h </w:instrText>
        </w:r>
        <w:r w:rsidR="001D200D">
          <w:rPr>
            <w:noProof/>
            <w:webHidden/>
          </w:rPr>
        </w:r>
        <w:r w:rsidR="001D200D">
          <w:rPr>
            <w:noProof/>
            <w:webHidden/>
          </w:rPr>
          <w:fldChar w:fldCharType="separate"/>
        </w:r>
        <w:r w:rsidR="001D200D">
          <w:rPr>
            <w:noProof/>
            <w:webHidden/>
          </w:rPr>
          <w:t>7</w:t>
        </w:r>
        <w:r w:rsidR="001D200D">
          <w:rPr>
            <w:noProof/>
            <w:webHidden/>
          </w:rPr>
          <w:fldChar w:fldCharType="end"/>
        </w:r>
      </w:hyperlink>
    </w:p>
    <w:p w14:paraId="1077DF35" w14:textId="3452DE93"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7" w:history="1">
        <w:r w:rsidR="001D200D" w:rsidRPr="00437321">
          <w:rPr>
            <w:rStyle w:val="Hyperlink"/>
            <w:noProof/>
          </w:rPr>
          <w:t>Attendance</w:t>
        </w:r>
        <w:r w:rsidR="001D200D">
          <w:rPr>
            <w:noProof/>
            <w:webHidden/>
          </w:rPr>
          <w:tab/>
        </w:r>
        <w:r w:rsidR="001D200D">
          <w:rPr>
            <w:noProof/>
            <w:webHidden/>
          </w:rPr>
          <w:fldChar w:fldCharType="begin"/>
        </w:r>
        <w:r w:rsidR="001D200D">
          <w:rPr>
            <w:noProof/>
            <w:webHidden/>
          </w:rPr>
          <w:instrText xml:space="preserve"> PAGEREF _Toc152573697 \h </w:instrText>
        </w:r>
        <w:r w:rsidR="001D200D">
          <w:rPr>
            <w:noProof/>
            <w:webHidden/>
          </w:rPr>
        </w:r>
        <w:r w:rsidR="001D200D">
          <w:rPr>
            <w:noProof/>
            <w:webHidden/>
          </w:rPr>
          <w:fldChar w:fldCharType="separate"/>
        </w:r>
        <w:r w:rsidR="001D200D">
          <w:rPr>
            <w:noProof/>
            <w:webHidden/>
          </w:rPr>
          <w:t>7</w:t>
        </w:r>
        <w:r w:rsidR="001D200D">
          <w:rPr>
            <w:noProof/>
            <w:webHidden/>
          </w:rPr>
          <w:fldChar w:fldCharType="end"/>
        </w:r>
      </w:hyperlink>
    </w:p>
    <w:p w14:paraId="61BAA747" w14:textId="08E1404F"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8" w:history="1">
        <w:r w:rsidR="001D200D" w:rsidRPr="00437321">
          <w:rPr>
            <w:rStyle w:val="Hyperlink"/>
            <w:noProof/>
          </w:rPr>
          <w:t>Moderation</w:t>
        </w:r>
        <w:r w:rsidR="001D200D">
          <w:rPr>
            <w:noProof/>
            <w:webHidden/>
          </w:rPr>
          <w:tab/>
        </w:r>
        <w:r w:rsidR="001D200D">
          <w:rPr>
            <w:noProof/>
            <w:webHidden/>
          </w:rPr>
          <w:fldChar w:fldCharType="begin"/>
        </w:r>
        <w:r w:rsidR="001D200D">
          <w:rPr>
            <w:noProof/>
            <w:webHidden/>
          </w:rPr>
          <w:instrText xml:space="preserve"> PAGEREF _Toc152573698 \h </w:instrText>
        </w:r>
        <w:r w:rsidR="001D200D">
          <w:rPr>
            <w:noProof/>
            <w:webHidden/>
          </w:rPr>
        </w:r>
        <w:r w:rsidR="001D200D">
          <w:rPr>
            <w:noProof/>
            <w:webHidden/>
          </w:rPr>
          <w:fldChar w:fldCharType="separate"/>
        </w:r>
        <w:r w:rsidR="001D200D">
          <w:rPr>
            <w:noProof/>
            <w:webHidden/>
          </w:rPr>
          <w:t>8</w:t>
        </w:r>
        <w:r w:rsidR="001D200D">
          <w:rPr>
            <w:noProof/>
            <w:webHidden/>
          </w:rPr>
          <w:fldChar w:fldCharType="end"/>
        </w:r>
      </w:hyperlink>
    </w:p>
    <w:p w14:paraId="50B04361" w14:textId="3C0C3AFF"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699" w:history="1">
        <w:r w:rsidR="001D200D" w:rsidRPr="00437321">
          <w:rPr>
            <w:rStyle w:val="Hyperlink"/>
            <w:noProof/>
          </w:rPr>
          <w:t>Annual Reports</w:t>
        </w:r>
        <w:r w:rsidR="001D200D">
          <w:rPr>
            <w:noProof/>
            <w:webHidden/>
          </w:rPr>
          <w:tab/>
        </w:r>
        <w:r w:rsidR="001D200D">
          <w:rPr>
            <w:noProof/>
            <w:webHidden/>
          </w:rPr>
          <w:fldChar w:fldCharType="begin"/>
        </w:r>
        <w:r w:rsidR="001D200D">
          <w:rPr>
            <w:noProof/>
            <w:webHidden/>
          </w:rPr>
          <w:instrText xml:space="preserve"> PAGEREF _Toc152573699 \h </w:instrText>
        </w:r>
        <w:r w:rsidR="001D200D">
          <w:rPr>
            <w:noProof/>
            <w:webHidden/>
          </w:rPr>
        </w:r>
        <w:r w:rsidR="001D200D">
          <w:rPr>
            <w:noProof/>
            <w:webHidden/>
          </w:rPr>
          <w:fldChar w:fldCharType="separate"/>
        </w:r>
        <w:r w:rsidR="001D200D">
          <w:rPr>
            <w:noProof/>
            <w:webHidden/>
          </w:rPr>
          <w:t>8</w:t>
        </w:r>
        <w:r w:rsidR="001D200D">
          <w:rPr>
            <w:noProof/>
            <w:webHidden/>
          </w:rPr>
          <w:fldChar w:fldCharType="end"/>
        </w:r>
      </w:hyperlink>
    </w:p>
    <w:p w14:paraId="1515D25B" w14:textId="69319A86"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00" w:history="1">
        <w:r w:rsidR="001D200D" w:rsidRPr="00437321">
          <w:rPr>
            <w:rStyle w:val="Hyperlink"/>
            <w:noProof/>
          </w:rPr>
          <w:t>General Information for External Examiners</w:t>
        </w:r>
        <w:r w:rsidR="001D200D">
          <w:rPr>
            <w:noProof/>
            <w:webHidden/>
          </w:rPr>
          <w:tab/>
        </w:r>
        <w:r w:rsidR="001D200D">
          <w:rPr>
            <w:noProof/>
            <w:webHidden/>
          </w:rPr>
          <w:fldChar w:fldCharType="begin"/>
        </w:r>
        <w:r w:rsidR="001D200D">
          <w:rPr>
            <w:noProof/>
            <w:webHidden/>
          </w:rPr>
          <w:instrText xml:space="preserve"> PAGEREF _Toc152573700 \h </w:instrText>
        </w:r>
        <w:r w:rsidR="001D200D">
          <w:rPr>
            <w:noProof/>
            <w:webHidden/>
          </w:rPr>
        </w:r>
        <w:r w:rsidR="001D200D">
          <w:rPr>
            <w:noProof/>
            <w:webHidden/>
          </w:rPr>
          <w:fldChar w:fldCharType="separate"/>
        </w:r>
        <w:r w:rsidR="001D200D">
          <w:rPr>
            <w:noProof/>
            <w:webHidden/>
          </w:rPr>
          <w:t>9</w:t>
        </w:r>
        <w:r w:rsidR="001D200D">
          <w:rPr>
            <w:noProof/>
            <w:webHidden/>
          </w:rPr>
          <w:fldChar w:fldCharType="end"/>
        </w:r>
      </w:hyperlink>
    </w:p>
    <w:p w14:paraId="0133B90A" w14:textId="0B507A92"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1" w:history="1">
        <w:r w:rsidR="001D200D" w:rsidRPr="00437321">
          <w:rPr>
            <w:rStyle w:val="Hyperlink"/>
            <w:noProof/>
          </w:rPr>
          <w:t>Period of Engagement</w:t>
        </w:r>
        <w:r w:rsidR="001D200D">
          <w:rPr>
            <w:noProof/>
            <w:webHidden/>
          </w:rPr>
          <w:tab/>
        </w:r>
        <w:r w:rsidR="001D200D">
          <w:rPr>
            <w:noProof/>
            <w:webHidden/>
          </w:rPr>
          <w:fldChar w:fldCharType="begin"/>
        </w:r>
        <w:r w:rsidR="001D200D">
          <w:rPr>
            <w:noProof/>
            <w:webHidden/>
          </w:rPr>
          <w:instrText xml:space="preserve"> PAGEREF _Toc152573701 \h </w:instrText>
        </w:r>
        <w:r w:rsidR="001D200D">
          <w:rPr>
            <w:noProof/>
            <w:webHidden/>
          </w:rPr>
        </w:r>
        <w:r w:rsidR="001D200D">
          <w:rPr>
            <w:noProof/>
            <w:webHidden/>
          </w:rPr>
          <w:fldChar w:fldCharType="separate"/>
        </w:r>
        <w:r w:rsidR="001D200D">
          <w:rPr>
            <w:noProof/>
            <w:webHidden/>
          </w:rPr>
          <w:t>9</w:t>
        </w:r>
        <w:r w:rsidR="001D200D">
          <w:rPr>
            <w:noProof/>
            <w:webHidden/>
          </w:rPr>
          <w:fldChar w:fldCharType="end"/>
        </w:r>
      </w:hyperlink>
    </w:p>
    <w:p w14:paraId="384E6F27" w14:textId="306F709A"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2" w:history="1">
        <w:r w:rsidR="001D200D" w:rsidRPr="00437321">
          <w:rPr>
            <w:rStyle w:val="Hyperlink"/>
            <w:noProof/>
          </w:rPr>
          <w:t>External Examiners’ Induction</w:t>
        </w:r>
        <w:r w:rsidR="001D200D">
          <w:rPr>
            <w:noProof/>
            <w:webHidden/>
          </w:rPr>
          <w:tab/>
        </w:r>
        <w:r w:rsidR="001D200D">
          <w:rPr>
            <w:noProof/>
            <w:webHidden/>
          </w:rPr>
          <w:fldChar w:fldCharType="begin"/>
        </w:r>
        <w:r w:rsidR="001D200D">
          <w:rPr>
            <w:noProof/>
            <w:webHidden/>
          </w:rPr>
          <w:instrText xml:space="preserve"> PAGEREF _Toc152573702 \h </w:instrText>
        </w:r>
        <w:r w:rsidR="001D200D">
          <w:rPr>
            <w:noProof/>
            <w:webHidden/>
          </w:rPr>
        </w:r>
        <w:r w:rsidR="001D200D">
          <w:rPr>
            <w:noProof/>
            <w:webHidden/>
          </w:rPr>
          <w:fldChar w:fldCharType="separate"/>
        </w:r>
        <w:r w:rsidR="001D200D">
          <w:rPr>
            <w:noProof/>
            <w:webHidden/>
          </w:rPr>
          <w:t>9</w:t>
        </w:r>
        <w:r w:rsidR="001D200D">
          <w:rPr>
            <w:noProof/>
            <w:webHidden/>
          </w:rPr>
          <w:fldChar w:fldCharType="end"/>
        </w:r>
      </w:hyperlink>
    </w:p>
    <w:p w14:paraId="340AFFB0" w14:textId="1673821C"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3" w:history="1">
        <w:r w:rsidR="001D200D" w:rsidRPr="00437321">
          <w:rPr>
            <w:rStyle w:val="Hyperlink"/>
            <w:noProof/>
          </w:rPr>
          <w:t>Data Protection and Confidentiality</w:t>
        </w:r>
        <w:r w:rsidR="001D200D">
          <w:rPr>
            <w:noProof/>
            <w:webHidden/>
          </w:rPr>
          <w:tab/>
        </w:r>
        <w:r w:rsidR="001D200D">
          <w:rPr>
            <w:noProof/>
            <w:webHidden/>
          </w:rPr>
          <w:fldChar w:fldCharType="begin"/>
        </w:r>
        <w:r w:rsidR="001D200D">
          <w:rPr>
            <w:noProof/>
            <w:webHidden/>
          </w:rPr>
          <w:instrText xml:space="preserve"> PAGEREF _Toc152573703 \h </w:instrText>
        </w:r>
        <w:r w:rsidR="001D200D">
          <w:rPr>
            <w:noProof/>
            <w:webHidden/>
          </w:rPr>
        </w:r>
        <w:r w:rsidR="001D200D">
          <w:rPr>
            <w:noProof/>
            <w:webHidden/>
          </w:rPr>
          <w:fldChar w:fldCharType="separate"/>
        </w:r>
        <w:r w:rsidR="001D200D">
          <w:rPr>
            <w:noProof/>
            <w:webHidden/>
          </w:rPr>
          <w:t>9</w:t>
        </w:r>
        <w:r w:rsidR="001D200D">
          <w:rPr>
            <w:noProof/>
            <w:webHidden/>
          </w:rPr>
          <w:fldChar w:fldCharType="end"/>
        </w:r>
      </w:hyperlink>
    </w:p>
    <w:p w14:paraId="24FFE40C" w14:textId="1D6BCA48"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4" w:history="1">
        <w:r w:rsidR="001D200D" w:rsidRPr="00437321">
          <w:rPr>
            <w:rStyle w:val="Hyperlink"/>
            <w:noProof/>
          </w:rPr>
          <w:t>Publication of External Examiner details</w:t>
        </w:r>
        <w:r w:rsidR="001D200D">
          <w:rPr>
            <w:noProof/>
            <w:webHidden/>
          </w:rPr>
          <w:tab/>
        </w:r>
        <w:r w:rsidR="001D200D">
          <w:rPr>
            <w:noProof/>
            <w:webHidden/>
          </w:rPr>
          <w:fldChar w:fldCharType="begin"/>
        </w:r>
        <w:r w:rsidR="001D200D">
          <w:rPr>
            <w:noProof/>
            <w:webHidden/>
          </w:rPr>
          <w:instrText xml:space="preserve"> PAGEREF _Toc152573704 \h </w:instrText>
        </w:r>
        <w:r w:rsidR="001D200D">
          <w:rPr>
            <w:noProof/>
            <w:webHidden/>
          </w:rPr>
        </w:r>
        <w:r w:rsidR="001D200D">
          <w:rPr>
            <w:noProof/>
            <w:webHidden/>
          </w:rPr>
          <w:fldChar w:fldCharType="separate"/>
        </w:r>
        <w:r w:rsidR="001D200D">
          <w:rPr>
            <w:noProof/>
            <w:webHidden/>
          </w:rPr>
          <w:t>9</w:t>
        </w:r>
        <w:r w:rsidR="001D200D">
          <w:rPr>
            <w:noProof/>
            <w:webHidden/>
          </w:rPr>
          <w:fldChar w:fldCharType="end"/>
        </w:r>
      </w:hyperlink>
    </w:p>
    <w:p w14:paraId="07DC636D" w14:textId="07E50658"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5" w:history="1">
        <w:r w:rsidR="001D200D" w:rsidRPr="00437321">
          <w:rPr>
            <w:rStyle w:val="Hyperlink"/>
            <w:noProof/>
          </w:rPr>
          <w:t>Information Management</w:t>
        </w:r>
        <w:r w:rsidR="001D200D">
          <w:rPr>
            <w:noProof/>
            <w:webHidden/>
          </w:rPr>
          <w:tab/>
        </w:r>
        <w:r w:rsidR="001D200D">
          <w:rPr>
            <w:noProof/>
            <w:webHidden/>
          </w:rPr>
          <w:fldChar w:fldCharType="begin"/>
        </w:r>
        <w:r w:rsidR="001D200D">
          <w:rPr>
            <w:noProof/>
            <w:webHidden/>
          </w:rPr>
          <w:instrText xml:space="preserve"> PAGEREF _Toc152573705 \h </w:instrText>
        </w:r>
        <w:r w:rsidR="001D200D">
          <w:rPr>
            <w:noProof/>
            <w:webHidden/>
          </w:rPr>
        </w:r>
        <w:r w:rsidR="001D200D">
          <w:rPr>
            <w:noProof/>
            <w:webHidden/>
          </w:rPr>
          <w:fldChar w:fldCharType="separate"/>
        </w:r>
        <w:r w:rsidR="001D200D">
          <w:rPr>
            <w:noProof/>
            <w:webHidden/>
          </w:rPr>
          <w:t>9</w:t>
        </w:r>
        <w:r w:rsidR="001D200D">
          <w:rPr>
            <w:noProof/>
            <w:webHidden/>
          </w:rPr>
          <w:fldChar w:fldCharType="end"/>
        </w:r>
      </w:hyperlink>
    </w:p>
    <w:p w14:paraId="2CDEEF84" w14:textId="633EF2AA"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6" w:history="1">
        <w:r w:rsidR="001D200D" w:rsidRPr="00437321">
          <w:rPr>
            <w:rStyle w:val="Hyperlink"/>
            <w:noProof/>
          </w:rPr>
          <w:t>Accessibility</w:t>
        </w:r>
        <w:r w:rsidR="001D200D">
          <w:rPr>
            <w:noProof/>
            <w:webHidden/>
          </w:rPr>
          <w:tab/>
        </w:r>
        <w:r w:rsidR="001D200D">
          <w:rPr>
            <w:noProof/>
            <w:webHidden/>
          </w:rPr>
          <w:fldChar w:fldCharType="begin"/>
        </w:r>
        <w:r w:rsidR="001D200D">
          <w:rPr>
            <w:noProof/>
            <w:webHidden/>
          </w:rPr>
          <w:instrText xml:space="preserve"> PAGEREF _Toc152573706 \h </w:instrText>
        </w:r>
        <w:r w:rsidR="001D200D">
          <w:rPr>
            <w:noProof/>
            <w:webHidden/>
          </w:rPr>
        </w:r>
        <w:r w:rsidR="001D200D">
          <w:rPr>
            <w:noProof/>
            <w:webHidden/>
          </w:rPr>
          <w:fldChar w:fldCharType="separate"/>
        </w:r>
        <w:r w:rsidR="001D200D">
          <w:rPr>
            <w:noProof/>
            <w:webHidden/>
          </w:rPr>
          <w:t>10</w:t>
        </w:r>
        <w:r w:rsidR="001D200D">
          <w:rPr>
            <w:noProof/>
            <w:webHidden/>
          </w:rPr>
          <w:fldChar w:fldCharType="end"/>
        </w:r>
      </w:hyperlink>
    </w:p>
    <w:p w14:paraId="7F976727" w14:textId="303A7061"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7" w:history="1">
        <w:r w:rsidR="001D200D" w:rsidRPr="00437321">
          <w:rPr>
            <w:rStyle w:val="Hyperlink"/>
            <w:noProof/>
          </w:rPr>
          <w:t>Changes in employment status and contact details</w:t>
        </w:r>
        <w:r w:rsidR="001D200D">
          <w:rPr>
            <w:noProof/>
            <w:webHidden/>
          </w:rPr>
          <w:tab/>
        </w:r>
        <w:r w:rsidR="001D200D">
          <w:rPr>
            <w:noProof/>
            <w:webHidden/>
          </w:rPr>
          <w:fldChar w:fldCharType="begin"/>
        </w:r>
        <w:r w:rsidR="001D200D">
          <w:rPr>
            <w:noProof/>
            <w:webHidden/>
          </w:rPr>
          <w:instrText xml:space="preserve"> PAGEREF _Toc152573707 \h </w:instrText>
        </w:r>
        <w:r w:rsidR="001D200D">
          <w:rPr>
            <w:noProof/>
            <w:webHidden/>
          </w:rPr>
        </w:r>
        <w:r w:rsidR="001D200D">
          <w:rPr>
            <w:noProof/>
            <w:webHidden/>
          </w:rPr>
          <w:fldChar w:fldCharType="separate"/>
        </w:r>
        <w:r w:rsidR="001D200D">
          <w:rPr>
            <w:noProof/>
            <w:webHidden/>
          </w:rPr>
          <w:t>10</w:t>
        </w:r>
        <w:r w:rsidR="001D200D">
          <w:rPr>
            <w:noProof/>
            <w:webHidden/>
          </w:rPr>
          <w:fldChar w:fldCharType="end"/>
        </w:r>
      </w:hyperlink>
    </w:p>
    <w:p w14:paraId="6E5D38F4" w14:textId="3D09637D"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08" w:history="1">
        <w:r w:rsidR="001D200D" w:rsidRPr="00437321">
          <w:rPr>
            <w:rStyle w:val="Hyperlink"/>
            <w:noProof/>
          </w:rPr>
          <w:t>Mentoring</w:t>
        </w:r>
        <w:r w:rsidR="001D200D">
          <w:rPr>
            <w:noProof/>
            <w:webHidden/>
          </w:rPr>
          <w:tab/>
        </w:r>
        <w:r w:rsidR="001D200D">
          <w:rPr>
            <w:noProof/>
            <w:webHidden/>
          </w:rPr>
          <w:fldChar w:fldCharType="begin"/>
        </w:r>
        <w:r w:rsidR="001D200D">
          <w:rPr>
            <w:noProof/>
            <w:webHidden/>
          </w:rPr>
          <w:instrText xml:space="preserve"> PAGEREF _Toc152573708 \h </w:instrText>
        </w:r>
        <w:r w:rsidR="001D200D">
          <w:rPr>
            <w:noProof/>
            <w:webHidden/>
          </w:rPr>
        </w:r>
        <w:r w:rsidR="001D200D">
          <w:rPr>
            <w:noProof/>
            <w:webHidden/>
          </w:rPr>
          <w:fldChar w:fldCharType="separate"/>
        </w:r>
        <w:r w:rsidR="001D200D">
          <w:rPr>
            <w:noProof/>
            <w:webHidden/>
          </w:rPr>
          <w:t>10</w:t>
        </w:r>
        <w:r w:rsidR="001D200D">
          <w:rPr>
            <w:noProof/>
            <w:webHidden/>
          </w:rPr>
          <w:fldChar w:fldCharType="end"/>
        </w:r>
      </w:hyperlink>
    </w:p>
    <w:p w14:paraId="095ED72A" w14:textId="338745F5"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09" w:history="1">
        <w:r w:rsidR="001D200D" w:rsidRPr="00437321">
          <w:rPr>
            <w:rStyle w:val="Hyperlink"/>
            <w:noProof/>
          </w:rPr>
          <w:t>Expectations of the mentor</w:t>
        </w:r>
        <w:r w:rsidR="001D200D">
          <w:rPr>
            <w:noProof/>
            <w:webHidden/>
          </w:rPr>
          <w:tab/>
        </w:r>
        <w:r w:rsidR="001D200D">
          <w:rPr>
            <w:noProof/>
            <w:webHidden/>
          </w:rPr>
          <w:fldChar w:fldCharType="begin"/>
        </w:r>
        <w:r w:rsidR="001D200D">
          <w:rPr>
            <w:noProof/>
            <w:webHidden/>
          </w:rPr>
          <w:instrText xml:space="preserve"> PAGEREF _Toc152573709 \h </w:instrText>
        </w:r>
        <w:r w:rsidR="001D200D">
          <w:rPr>
            <w:noProof/>
            <w:webHidden/>
          </w:rPr>
        </w:r>
        <w:r w:rsidR="001D200D">
          <w:rPr>
            <w:noProof/>
            <w:webHidden/>
          </w:rPr>
          <w:fldChar w:fldCharType="separate"/>
        </w:r>
        <w:r w:rsidR="001D200D">
          <w:rPr>
            <w:noProof/>
            <w:webHidden/>
          </w:rPr>
          <w:t>10</w:t>
        </w:r>
        <w:r w:rsidR="001D200D">
          <w:rPr>
            <w:noProof/>
            <w:webHidden/>
          </w:rPr>
          <w:fldChar w:fldCharType="end"/>
        </w:r>
      </w:hyperlink>
    </w:p>
    <w:p w14:paraId="167116BD" w14:textId="216918A4"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0" w:history="1">
        <w:r w:rsidR="001D200D" w:rsidRPr="00437321">
          <w:rPr>
            <w:rStyle w:val="Hyperlink"/>
            <w:noProof/>
          </w:rPr>
          <w:t>Requirements for a mentor</w:t>
        </w:r>
        <w:r w:rsidR="001D200D">
          <w:rPr>
            <w:noProof/>
            <w:webHidden/>
          </w:rPr>
          <w:tab/>
        </w:r>
        <w:r w:rsidR="001D200D">
          <w:rPr>
            <w:noProof/>
            <w:webHidden/>
          </w:rPr>
          <w:fldChar w:fldCharType="begin"/>
        </w:r>
        <w:r w:rsidR="001D200D">
          <w:rPr>
            <w:noProof/>
            <w:webHidden/>
          </w:rPr>
          <w:instrText xml:space="preserve"> PAGEREF _Toc152573710 \h </w:instrText>
        </w:r>
        <w:r w:rsidR="001D200D">
          <w:rPr>
            <w:noProof/>
            <w:webHidden/>
          </w:rPr>
        </w:r>
        <w:r w:rsidR="001D200D">
          <w:rPr>
            <w:noProof/>
            <w:webHidden/>
          </w:rPr>
          <w:fldChar w:fldCharType="separate"/>
        </w:r>
        <w:r w:rsidR="001D200D">
          <w:rPr>
            <w:noProof/>
            <w:webHidden/>
          </w:rPr>
          <w:t>10</w:t>
        </w:r>
        <w:r w:rsidR="001D200D">
          <w:rPr>
            <w:noProof/>
            <w:webHidden/>
          </w:rPr>
          <w:fldChar w:fldCharType="end"/>
        </w:r>
      </w:hyperlink>
    </w:p>
    <w:p w14:paraId="0B821825" w14:textId="511DD5B0"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1" w:history="1">
        <w:r w:rsidR="001D200D" w:rsidRPr="00437321">
          <w:rPr>
            <w:rStyle w:val="Hyperlink"/>
            <w:noProof/>
          </w:rPr>
          <w:t>Mentor arrangements</w:t>
        </w:r>
        <w:r w:rsidR="001D200D">
          <w:rPr>
            <w:noProof/>
            <w:webHidden/>
          </w:rPr>
          <w:tab/>
        </w:r>
        <w:r w:rsidR="001D200D">
          <w:rPr>
            <w:noProof/>
            <w:webHidden/>
          </w:rPr>
          <w:fldChar w:fldCharType="begin"/>
        </w:r>
        <w:r w:rsidR="001D200D">
          <w:rPr>
            <w:noProof/>
            <w:webHidden/>
          </w:rPr>
          <w:instrText xml:space="preserve"> PAGEREF _Toc152573711 \h </w:instrText>
        </w:r>
        <w:r w:rsidR="001D200D">
          <w:rPr>
            <w:noProof/>
            <w:webHidden/>
          </w:rPr>
        </w:r>
        <w:r w:rsidR="001D200D">
          <w:rPr>
            <w:noProof/>
            <w:webHidden/>
          </w:rPr>
          <w:fldChar w:fldCharType="separate"/>
        </w:r>
        <w:r w:rsidR="001D200D">
          <w:rPr>
            <w:noProof/>
            <w:webHidden/>
          </w:rPr>
          <w:t>10</w:t>
        </w:r>
        <w:r w:rsidR="001D200D">
          <w:rPr>
            <w:noProof/>
            <w:webHidden/>
          </w:rPr>
          <w:fldChar w:fldCharType="end"/>
        </w:r>
      </w:hyperlink>
    </w:p>
    <w:p w14:paraId="18E501DC" w14:textId="4C03C522"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2" w:history="1">
        <w:r w:rsidR="001D200D" w:rsidRPr="00437321">
          <w:rPr>
            <w:rStyle w:val="Hyperlink"/>
            <w:noProof/>
          </w:rPr>
          <w:t>Feedback</w:t>
        </w:r>
        <w:r w:rsidR="001D200D">
          <w:rPr>
            <w:noProof/>
            <w:webHidden/>
          </w:rPr>
          <w:tab/>
        </w:r>
        <w:r w:rsidR="001D200D">
          <w:rPr>
            <w:noProof/>
            <w:webHidden/>
          </w:rPr>
          <w:fldChar w:fldCharType="begin"/>
        </w:r>
        <w:r w:rsidR="001D200D">
          <w:rPr>
            <w:noProof/>
            <w:webHidden/>
          </w:rPr>
          <w:instrText xml:space="preserve"> PAGEREF _Toc152573712 \h </w:instrText>
        </w:r>
        <w:r w:rsidR="001D200D">
          <w:rPr>
            <w:noProof/>
            <w:webHidden/>
          </w:rPr>
        </w:r>
        <w:r w:rsidR="001D200D">
          <w:rPr>
            <w:noProof/>
            <w:webHidden/>
          </w:rPr>
          <w:fldChar w:fldCharType="separate"/>
        </w:r>
        <w:r w:rsidR="001D200D">
          <w:rPr>
            <w:noProof/>
            <w:webHidden/>
          </w:rPr>
          <w:t>11</w:t>
        </w:r>
        <w:r w:rsidR="001D200D">
          <w:rPr>
            <w:noProof/>
            <w:webHidden/>
          </w:rPr>
          <w:fldChar w:fldCharType="end"/>
        </w:r>
      </w:hyperlink>
    </w:p>
    <w:p w14:paraId="2485142A" w14:textId="1C28FC89"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13" w:history="1">
        <w:r w:rsidR="001D200D" w:rsidRPr="00437321">
          <w:rPr>
            <w:rStyle w:val="Hyperlink"/>
            <w:noProof/>
          </w:rPr>
          <w:t>Annual Reports</w:t>
        </w:r>
        <w:r w:rsidR="001D200D">
          <w:rPr>
            <w:noProof/>
            <w:webHidden/>
          </w:rPr>
          <w:tab/>
        </w:r>
        <w:r w:rsidR="001D200D">
          <w:rPr>
            <w:noProof/>
            <w:webHidden/>
          </w:rPr>
          <w:fldChar w:fldCharType="begin"/>
        </w:r>
        <w:r w:rsidR="001D200D">
          <w:rPr>
            <w:noProof/>
            <w:webHidden/>
          </w:rPr>
          <w:instrText xml:space="preserve"> PAGEREF _Toc152573713 \h </w:instrText>
        </w:r>
        <w:r w:rsidR="001D200D">
          <w:rPr>
            <w:noProof/>
            <w:webHidden/>
          </w:rPr>
        </w:r>
        <w:r w:rsidR="001D200D">
          <w:rPr>
            <w:noProof/>
            <w:webHidden/>
          </w:rPr>
          <w:fldChar w:fldCharType="separate"/>
        </w:r>
        <w:r w:rsidR="001D200D">
          <w:rPr>
            <w:noProof/>
            <w:webHidden/>
          </w:rPr>
          <w:t>11</w:t>
        </w:r>
        <w:r w:rsidR="001D200D">
          <w:rPr>
            <w:noProof/>
            <w:webHidden/>
          </w:rPr>
          <w:fldChar w:fldCharType="end"/>
        </w:r>
      </w:hyperlink>
    </w:p>
    <w:p w14:paraId="20634E6D" w14:textId="3D03714D"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4" w:history="1">
        <w:r w:rsidR="001D200D" w:rsidRPr="00437321">
          <w:rPr>
            <w:rStyle w:val="Hyperlink"/>
            <w:noProof/>
          </w:rPr>
          <w:t>Academic Partnerships</w:t>
        </w:r>
        <w:r w:rsidR="001D200D">
          <w:rPr>
            <w:noProof/>
            <w:webHidden/>
          </w:rPr>
          <w:tab/>
        </w:r>
        <w:r w:rsidR="001D200D">
          <w:rPr>
            <w:noProof/>
            <w:webHidden/>
          </w:rPr>
          <w:fldChar w:fldCharType="begin"/>
        </w:r>
        <w:r w:rsidR="001D200D">
          <w:rPr>
            <w:noProof/>
            <w:webHidden/>
          </w:rPr>
          <w:instrText xml:space="preserve"> PAGEREF _Toc152573714 \h </w:instrText>
        </w:r>
        <w:r w:rsidR="001D200D">
          <w:rPr>
            <w:noProof/>
            <w:webHidden/>
          </w:rPr>
        </w:r>
        <w:r w:rsidR="001D200D">
          <w:rPr>
            <w:noProof/>
            <w:webHidden/>
          </w:rPr>
          <w:fldChar w:fldCharType="separate"/>
        </w:r>
        <w:r w:rsidR="001D200D">
          <w:rPr>
            <w:noProof/>
            <w:webHidden/>
          </w:rPr>
          <w:t>11</w:t>
        </w:r>
        <w:r w:rsidR="001D200D">
          <w:rPr>
            <w:noProof/>
            <w:webHidden/>
          </w:rPr>
          <w:fldChar w:fldCharType="end"/>
        </w:r>
      </w:hyperlink>
    </w:p>
    <w:p w14:paraId="1CC463CC" w14:textId="5156876D"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5" w:history="1">
        <w:r w:rsidR="001D200D" w:rsidRPr="00437321">
          <w:rPr>
            <w:rStyle w:val="Hyperlink"/>
            <w:noProof/>
          </w:rPr>
          <w:t>Response to and use made of Annual Reports</w:t>
        </w:r>
        <w:r w:rsidR="001D200D">
          <w:rPr>
            <w:noProof/>
            <w:webHidden/>
          </w:rPr>
          <w:tab/>
        </w:r>
        <w:r w:rsidR="001D200D">
          <w:rPr>
            <w:noProof/>
            <w:webHidden/>
          </w:rPr>
          <w:fldChar w:fldCharType="begin"/>
        </w:r>
        <w:r w:rsidR="001D200D">
          <w:rPr>
            <w:noProof/>
            <w:webHidden/>
          </w:rPr>
          <w:instrText xml:space="preserve"> PAGEREF _Toc152573715 \h </w:instrText>
        </w:r>
        <w:r w:rsidR="001D200D">
          <w:rPr>
            <w:noProof/>
            <w:webHidden/>
          </w:rPr>
        </w:r>
        <w:r w:rsidR="001D200D">
          <w:rPr>
            <w:noProof/>
            <w:webHidden/>
          </w:rPr>
          <w:fldChar w:fldCharType="separate"/>
        </w:r>
        <w:r w:rsidR="001D200D">
          <w:rPr>
            <w:noProof/>
            <w:webHidden/>
          </w:rPr>
          <w:t>12</w:t>
        </w:r>
        <w:r w:rsidR="001D200D">
          <w:rPr>
            <w:noProof/>
            <w:webHidden/>
          </w:rPr>
          <w:fldChar w:fldCharType="end"/>
        </w:r>
      </w:hyperlink>
    </w:p>
    <w:p w14:paraId="3535456D" w14:textId="27B06E17"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6" w:history="1">
        <w:r w:rsidR="001D200D" w:rsidRPr="00437321">
          <w:rPr>
            <w:rStyle w:val="Hyperlink"/>
            <w:noProof/>
          </w:rPr>
          <w:t>‘Causes for Concern’ Procedures</w:t>
        </w:r>
        <w:r w:rsidR="001D200D">
          <w:rPr>
            <w:noProof/>
            <w:webHidden/>
          </w:rPr>
          <w:tab/>
        </w:r>
        <w:r w:rsidR="001D200D">
          <w:rPr>
            <w:noProof/>
            <w:webHidden/>
          </w:rPr>
          <w:fldChar w:fldCharType="begin"/>
        </w:r>
        <w:r w:rsidR="001D200D">
          <w:rPr>
            <w:noProof/>
            <w:webHidden/>
          </w:rPr>
          <w:instrText xml:space="preserve"> PAGEREF _Toc152573716 \h </w:instrText>
        </w:r>
        <w:r w:rsidR="001D200D">
          <w:rPr>
            <w:noProof/>
            <w:webHidden/>
          </w:rPr>
        </w:r>
        <w:r w:rsidR="001D200D">
          <w:rPr>
            <w:noProof/>
            <w:webHidden/>
          </w:rPr>
          <w:fldChar w:fldCharType="separate"/>
        </w:r>
        <w:r w:rsidR="001D200D">
          <w:rPr>
            <w:noProof/>
            <w:webHidden/>
          </w:rPr>
          <w:t>12</w:t>
        </w:r>
        <w:r w:rsidR="001D200D">
          <w:rPr>
            <w:noProof/>
            <w:webHidden/>
          </w:rPr>
          <w:fldChar w:fldCharType="end"/>
        </w:r>
      </w:hyperlink>
    </w:p>
    <w:p w14:paraId="57B548E7" w14:textId="40450659"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17" w:history="1">
        <w:r w:rsidR="001D200D" w:rsidRPr="00437321">
          <w:rPr>
            <w:rStyle w:val="Hyperlink"/>
            <w:noProof/>
          </w:rPr>
          <w:t>End of Engagement</w:t>
        </w:r>
        <w:r w:rsidR="001D200D">
          <w:rPr>
            <w:noProof/>
            <w:webHidden/>
          </w:rPr>
          <w:tab/>
        </w:r>
        <w:r w:rsidR="001D200D">
          <w:rPr>
            <w:noProof/>
            <w:webHidden/>
          </w:rPr>
          <w:fldChar w:fldCharType="begin"/>
        </w:r>
        <w:r w:rsidR="001D200D">
          <w:rPr>
            <w:noProof/>
            <w:webHidden/>
          </w:rPr>
          <w:instrText xml:space="preserve"> PAGEREF _Toc152573717 \h </w:instrText>
        </w:r>
        <w:r w:rsidR="001D200D">
          <w:rPr>
            <w:noProof/>
            <w:webHidden/>
          </w:rPr>
        </w:r>
        <w:r w:rsidR="001D200D">
          <w:rPr>
            <w:noProof/>
            <w:webHidden/>
          </w:rPr>
          <w:fldChar w:fldCharType="separate"/>
        </w:r>
        <w:r w:rsidR="001D200D">
          <w:rPr>
            <w:noProof/>
            <w:webHidden/>
          </w:rPr>
          <w:t>12</w:t>
        </w:r>
        <w:r w:rsidR="001D200D">
          <w:rPr>
            <w:noProof/>
            <w:webHidden/>
          </w:rPr>
          <w:fldChar w:fldCharType="end"/>
        </w:r>
      </w:hyperlink>
    </w:p>
    <w:p w14:paraId="60BAABBE" w14:textId="06D4B38F"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18" w:history="1">
        <w:r w:rsidR="001D200D" w:rsidRPr="00437321">
          <w:rPr>
            <w:rStyle w:val="Hyperlink"/>
            <w:noProof/>
          </w:rPr>
          <w:t>Fees and Expenses Policy</w:t>
        </w:r>
        <w:r w:rsidR="001D200D">
          <w:rPr>
            <w:noProof/>
            <w:webHidden/>
          </w:rPr>
          <w:tab/>
        </w:r>
        <w:r w:rsidR="001D200D">
          <w:rPr>
            <w:noProof/>
            <w:webHidden/>
          </w:rPr>
          <w:fldChar w:fldCharType="begin"/>
        </w:r>
        <w:r w:rsidR="001D200D">
          <w:rPr>
            <w:noProof/>
            <w:webHidden/>
          </w:rPr>
          <w:instrText xml:space="preserve"> PAGEREF _Toc152573718 \h </w:instrText>
        </w:r>
        <w:r w:rsidR="001D200D">
          <w:rPr>
            <w:noProof/>
            <w:webHidden/>
          </w:rPr>
        </w:r>
        <w:r w:rsidR="001D200D">
          <w:rPr>
            <w:noProof/>
            <w:webHidden/>
          </w:rPr>
          <w:fldChar w:fldCharType="separate"/>
        </w:r>
        <w:r w:rsidR="001D200D">
          <w:rPr>
            <w:noProof/>
            <w:webHidden/>
          </w:rPr>
          <w:t>14</w:t>
        </w:r>
        <w:r w:rsidR="001D200D">
          <w:rPr>
            <w:noProof/>
            <w:webHidden/>
          </w:rPr>
          <w:fldChar w:fldCharType="end"/>
        </w:r>
      </w:hyperlink>
    </w:p>
    <w:p w14:paraId="745B9274" w14:textId="2364B907"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19" w:history="1">
        <w:r w:rsidR="001D200D" w:rsidRPr="00437321">
          <w:rPr>
            <w:rStyle w:val="Hyperlink"/>
            <w:noProof/>
          </w:rPr>
          <w:t>Fees</w:t>
        </w:r>
        <w:r w:rsidR="001D200D">
          <w:rPr>
            <w:noProof/>
            <w:webHidden/>
          </w:rPr>
          <w:tab/>
        </w:r>
        <w:r w:rsidR="001D200D">
          <w:rPr>
            <w:noProof/>
            <w:webHidden/>
          </w:rPr>
          <w:fldChar w:fldCharType="begin"/>
        </w:r>
        <w:r w:rsidR="001D200D">
          <w:rPr>
            <w:noProof/>
            <w:webHidden/>
          </w:rPr>
          <w:instrText xml:space="preserve"> PAGEREF _Toc152573719 \h </w:instrText>
        </w:r>
        <w:r w:rsidR="001D200D">
          <w:rPr>
            <w:noProof/>
            <w:webHidden/>
          </w:rPr>
        </w:r>
        <w:r w:rsidR="001D200D">
          <w:rPr>
            <w:noProof/>
            <w:webHidden/>
          </w:rPr>
          <w:fldChar w:fldCharType="separate"/>
        </w:r>
        <w:r w:rsidR="001D200D">
          <w:rPr>
            <w:noProof/>
            <w:webHidden/>
          </w:rPr>
          <w:t>14</w:t>
        </w:r>
        <w:r w:rsidR="001D200D">
          <w:rPr>
            <w:noProof/>
            <w:webHidden/>
          </w:rPr>
          <w:fldChar w:fldCharType="end"/>
        </w:r>
      </w:hyperlink>
    </w:p>
    <w:p w14:paraId="780E64B2" w14:textId="29D87972"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0" w:history="1">
        <w:r w:rsidR="001D200D" w:rsidRPr="00437321">
          <w:rPr>
            <w:rStyle w:val="Hyperlink"/>
            <w:noProof/>
          </w:rPr>
          <w:t>Annual Reports</w:t>
        </w:r>
        <w:r w:rsidR="001D200D">
          <w:rPr>
            <w:noProof/>
            <w:webHidden/>
          </w:rPr>
          <w:tab/>
        </w:r>
        <w:r w:rsidR="001D200D">
          <w:rPr>
            <w:noProof/>
            <w:webHidden/>
          </w:rPr>
          <w:fldChar w:fldCharType="begin"/>
        </w:r>
        <w:r w:rsidR="001D200D">
          <w:rPr>
            <w:noProof/>
            <w:webHidden/>
          </w:rPr>
          <w:instrText xml:space="preserve"> PAGEREF _Toc152573720 \h </w:instrText>
        </w:r>
        <w:r w:rsidR="001D200D">
          <w:rPr>
            <w:noProof/>
            <w:webHidden/>
          </w:rPr>
        </w:r>
        <w:r w:rsidR="001D200D">
          <w:rPr>
            <w:noProof/>
            <w:webHidden/>
          </w:rPr>
          <w:fldChar w:fldCharType="separate"/>
        </w:r>
        <w:r w:rsidR="001D200D">
          <w:rPr>
            <w:noProof/>
            <w:webHidden/>
          </w:rPr>
          <w:t>14</w:t>
        </w:r>
        <w:r w:rsidR="001D200D">
          <w:rPr>
            <w:noProof/>
            <w:webHidden/>
          </w:rPr>
          <w:fldChar w:fldCharType="end"/>
        </w:r>
      </w:hyperlink>
    </w:p>
    <w:p w14:paraId="5B3A0AE8" w14:textId="3596010D"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1" w:history="1">
        <w:r w:rsidR="001D200D" w:rsidRPr="00437321">
          <w:rPr>
            <w:rStyle w:val="Hyperlink"/>
            <w:noProof/>
          </w:rPr>
          <w:t>Moderation</w:t>
        </w:r>
        <w:r w:rsidR="001D200D">
          <w:rPr>
            <w:noProof/>
            <w:webHidden/>
          </w:rPr>
          <w:tab/>
        </w:r>
        <w:r w:rsidR="001D200D">
          <w:rPr>
            <w:noProof/>
            <w:webHidden/>
          </w:rPr>
          <w:fldChar w:fldCharType="begin"/>
        </w:r>
        <w:r w:rsidR="001D200D">
          <w:rPr>
            <w:noProof/>
            <w:webHidden/>
          </w:rPr>
          <w:instrText xml:space="preserve"> PAGEREF _Toc152573721 \h </w:instrText>
        </w:r>
        <w:r w:rsidR="001D200D">
          <w:rPr>
            <w:noProof/>
            <w:webHidden/>
          </w:rPr>
        </w:r>
        <w:r w:rsidR="001D200D">
          <w:rPr>
            <w:noProof/>
            <w:webHidden/>
          </w:rPr>
          <w:fldChar w:fldCharType="separate"/>
        </w:r>
        <w:r w:rsidR="001D200D">
          <w:rPr>
            <w:noProof/>
            <w:webHidden/>
          </w:rPr>
          <w:t>14</w:t>
        </w:r>
        <w:r w:rsidR="001D200D">
          <w:rPr>
            <w:noProof/>
            <w:webHidden/>
          </w:rPr>
          <w:fldChar w:fldCharType="end"/>
        </w:r>
      </w:hyperlink>
    </w:p>
    <w:p w14:paraId="5CC14510" w14:textId="25DA721D"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2" w:history="1">
        <w:r w:rsidR="001D200D" w:rsidRPr="00437321">
          <w:rPr>
            <w:rStyle w:val="Hyperlink"/>
            <w:noProof/>
          </w:rPr>
          <w:t>Attendance at assessment boards and induction activities</w:t>
        </w:r>
        <w:r w:rsidR="001D200D">
          <w:rPr>
            <w:noProof/>
            <w:webHidden/>
          </w:rPr>
          <w:tab/>
        </w:r>
        <w:r w:rsidR="001D200D">
          <w:rPr>
            <w:noProof/>
            <w:webHidden/>
          </w:rPr>
          <w:fldChar w:fldCharType="begin"/>
        </w:r>
        <w:r w:rsidR="001D200D">
          <w:rPr>
            <w:noProof/>
            <w:webHidden/>
          </w:rPr>
          <w:instrText xml:space="preserve"> PAGEREF _Toc152573722 \h </w:instrText>
        </w:r>
        <w:r w:rsidR="001D200D">
          <w:rPr>
            <w:noProof/>
            <w:webHidden/>
          </w:rPr>
        </w:r>
        <w:r w:rsidR="001D200D">
          <w:rPr>
            <w:noProof/>
            <w:webHidden/>
          </w:rPr>
          <w:fldChar w:fldCharType="separate"/>
        </w:r>
        <w:r w:rsidR="001D200D">
          <w:rPr>
            <w:noProof/>
            <w:webHidden/>
          </w:rPr>
          <w:t>15</w:t>
        </w:r>
        <w:r w:rsidR="001D200D">
          <w:rPr>
            <w:noProof/>
            <w:webHidden/>
          </w:rPr>
          <w:fldChar w:fldCharType="end"/>
        </w:r>
      </w:hyperlink>
    </w:p>
    <w:p w14:paraId="7D836E65" w14:textId="032B0F0F"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3" w:history="1">
        <w:r w:rsidR="001D200D" w:rsidRPr="00437321">
          <w:rPr>
            <w:rStyle w:val="Hyperlink"/>
            <w:noProof/>
          </w:rPr>
          <w:t>Other duties</w:t>
        </w:r>
        <w:r w:rsidR="001D200D">
          <w:rPr>
            <w:noProof/>
            <w:webHidden/>
          </w:rPr>
          <w:tab/>
        </w:r>
        <w:r w:rsidR="001D200D">
          <w:rPr>
            <w:noProof/>
            <w:webHidden/>
          </w:rPr>
          <w:fldChar w:fldCharType="begin"/>
        </w:r>
        <w:r w:rsidR="001D200D">
          <w:rPr>
            <w:noProof/>
            <w:webHidden/>
          </w:rPr>
          <w:instrText xml:space="preserve"> PAGEREF _Toc152573723 \h </w:instrText>
        </w:r>
        <w:r w:rsidR="001D200D">
          <w:rPr>
            <w:noProof/>
            <w:webHidden/>
          </w:rPr>
        </w:r>
        <w:r w:rsidR="001D200D">
          <w:rPr>
            <w:noProof/>
            <w:webHidden/>
          </w:rPr>
          <w:fldChar w:fldCharType="separate"/>
        </w:r>
        <w:r w:rsidR="001D200D">
          <w:rPr>
            <w:noProof/>
            <w:webHidden/>
          </w:rPr>
          <w:t>15</w:t>
        </w:r>
        <w:r w:rsidR="001D200D">
          <w:rPr>
            <w:noProof/>
            <w:webHidden/>
          </w:rPr>
          <w:fldChar w:fldCharType="end"/>
        </w:r>
      </w:hyperlink>
    </w:p>
    <w:p w14:paraId="362F1500" w14:textId="6EC65CF9"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4" w:history="1">
        <w:r w:rsidR="001D200D" w:rsidRPr="00437321">
          <w:rPr>
            <w:rStyle w:val="Hyperlink"/>
            <w:noProof/>
          </w:rPr>
          <w:t>Expenses</w:t>
        </w:r>
        <w:r w:rsidR="001D200D">
          <w:rPr>
            <w:noProof/>
            <w:webHidden/>
          </w:rPr>
          <w:tab/>
        </w:r>
        <w:r w:rsidR="001D200D">
          <w:rPr>
            <w:noProof/>
            <w:webHidden/>
          </w:rPr>
          <w:fldChar w:fldCharType="begin"/>
        </w:r>
        <w:r w:rsidR="001D200D">
          <w:rPr>
            <w:noProof/>
            <w:webHidden/>
          </w:rPr>
          <w:instrText xml:space="preserve"> PAGEREF _Toc152573724 \h </w:instrText>
        </w:r>
        <w:r w:rsidR="001D200D">
          <w:rPr>
            <w:noProof/>
            <w:webHidden/>
          </w:rPr>
        </w:r>
        <w:r w:rsidR="001D200D">
          <w:rPr>
            <w:noProof/>
            <w:webHidden/>
          </w:rPr>
          <w:fldChar w:fldCharType="separate"/>
        </w:r>
        <w:r w:rsidR="001D200D">
          <w:rPr>
            <w:noProof/>
            <w:webHidden/>
          </w:rPr>
          <w:t>16</w:t>
        </w:r>
        <w:r w:rsidR="001D200D">
          <w:rPr>
            <w:noProof/>
            <w:webHidden/>
          </w:rPr>
          <w:fldChar w:fldCharType="end"/>
        </w:r>
      </w:hyperlink>
    </w:p>
    <w:p w14:paraId="474561AA" w14:textId="452FE5D2"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5" w:history="1">
        <w:r w:rsidR="001D200D" w:rsidRPr="00437321">
          <w:rPr>
            <w:rStyle w:val="Hyperlink"/>
            <w:noProof/>
          </w:rPr>
          <w:t>Travel:</w:t>
        </w:r>
        <w:r w:rsidR="001D200D">
          <w:rPr>
            <w:noProof/>
            <w:webHidden/>
          </w:rPr>
          <w:tab/>
        </w:r>
        <w:r w:rsidR="001D200D">
          <w:rPr>
            <w:noProof/>
            <w:webHidden/>
          </w:rPr>
          <w:fldChar w:fldCharType="begin"/>
        </w:r>
        <w:r w:rsidR="001D200D">
          <w:rPr>
            <w:noProof/>
            <w:webHidden/>
          </w:rPr>
          <w:instrText xml:space="preserve"> PAGEREF _Toc152573725 \h </w:instrText>
        </w:r>
        <w:r w:rsidR="001D200D">
          <w:rPr>
            <w:noProof/>
            <w:webHidden/>
          </w:rPr>
        </w:r>
        <w:r w:rsidR="001D200D">
          <w:rPr>
            <w:noProof/>
            <w:webHidden/>
          </w:rPr>
          <w:fldChar w:fldCharType="separate"/>
        </w:r>
        <w:r w:rsidR="001D200D">
          <w:rPr>
            <w:noProof/>
            <w:webHidden/>
          </w:rPr>
          <w:t>16</w:t>
        </w:r>
        <w:r w:rsidR="001D200D">
          <w:rPr>
            <w:noProof/>
            <w:webHidden/>
          </w:rPr>
          <w:fldChar w:fldCharType="end"/>
        </w:r>
      </w:hyperlink>
    </w:p>
    <w:p w14:paraId="4BC0873B" w14:textId="2F9B264A"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6" w:history="1">
        <w:r w:rsidR="001D200D" w:rsidRPr="00437321">
          <w:rPr>
            <w:rStyle w:val="Hyperlink"/>
            <w:noProof/>
          </w:rPr>
          <w:t>Hotels</w:t>
        </w:r>
        <w:r w:rsidR="001D200D">
          <w:rPr>
            <w:noProof/>
            <w:webHidden/>
          </w:rPr>
          <w:tab/>
        </w:r>
        <w:r w:rsidR="001D200D">
          <w:rPr>
            <w:noProof/>
            <w:webHidden/>
          </w:rPr>
          <w:fldChar w:fldCharType="begin"/>
        </w:r>
        <w:r w:rsidR="001D200D">
          <w:rPr>
            <w:noProof/>
            <w:webHidden/>
          </w:rPr>
          <w:instrText xml:space="preserve"> PAGEREF _Toc152573726 \h </w:instrText>
        </w:r>
        <w:r w:rsidR="001D200D">
          <w:rPr>
            <w:noProof/>
            <w:webHidden/>
          </w:rPr>
        </w:r>
        <w:r w:rsidR="001D200D">
          <w:rPr>
            <w:noProof/>
            <w:webHidden/>
          </w:rPr>
          <w:fldChar w:fldCharType="separate"/>
        </w:r>
        <w:r w:rsidR="001D200D">
          <w:rPr>
            <w:noProof/>
            <w:webHidden/>
          </w:rPr>
          <w:t>16</w:t>
        </w:r>
        <w:r w:rsidR="001D200D">
          <w:rPr>
            <w:noProof/>
            <w:webHidden/>
          </w:rPr>
          <w:fldChar w:fldCharType="end"/>
        </w:r>
      </w:hyperlink>
    </w:p>
    <w:p w14:paraId="3410BF6C" w14:textId="4A475F04"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7" w:history="1">
        <w:r w:rsidR="001D200D" w:rsidRPr="00437321">
          <w:rPr>
            <w:rStyle w:val="Hyperlink"/>
            <w:noProof/>
          </w:rPr>
          <w:t>Subsistence</w:t>
        </w:r>
        <w:r w:rsidR="001D200D">
          <w:rPr>
            <w:noProof/>
            <w:webHidden/>
          </w:rPr>
          <w:tab/>
        </w:r>
        <w:r w:rsidR="001D200D">
          <w:rPr>
            <w:noProof/>
            <w:webHidden/>
          </w:rPr>
          <w:fldChar w:fldCharType="begin"/>
        </w:r>
        <w:r w:rsidR="001D200D">
          <w:rPr>
            <w:noProof/>
            <w:webHidden/>
          </w:rPr>
          <w:instrText xml:space="preserve"> PAGEREF _Toc152573727 \h </w:instrText>
        </w:r>
        <w:r w:rsidR="001D200D">
          <w:rPr>
            <w:noProof/>
            <w:webHidden/>
          </w:rPr>
        </w:r>
        <w:r w:rsidR="001D200D">
          <w:rPr>
            <w:noProof/>
            <w:webHidden/>
          </w:rPr>
          <w:fldChar w:fldCharType="separate"/>
        </w:r>
        <w:r w:rsidR="001D200D">
          <w:rPr>
            <w:noProof/>
            <w:webHidden/>
          </w:rPr>
          <w:t>17</w:t>
        </w:r>
        <w:r w:rsidR="001D200D">
          <w:rPr>
            <w:noProof/>
            <w:webHidden/>
          </w:rPr>
          <w:fldChar w:fldCharType="end"/>
        </w:r>
      </w:hyperlink>
    </w:p>
    <w:p w14:paraId="018C55AD" w14:textId="2B03EC21"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8" w:history="1">
        <w:r w:rsidR="001D200D" w:rsidRPr="00437321">
          <w:rPr>
            <w:rStyle w:val="Hyperlink"/>
            <w:noProof/>
          </w:rPr>
          <w:t>Telephone calls and postage</w:t>
        </w:r>
        <w:r w:rsidR="001D200D">
          <w:rPr>
            <w:noProof/>
            <w:webHidden/>
          </w:rPr>
          <w:tab/>
        </w:r>
        <w:r w:rsidR="001D200D">
          <w:rPr>
            <w:noProof/>
            <w:webHidden/>
          </w:rPr>
          <w:fldChar w:fldCharType="begin"/>
        </w:r>
        <w:r w:rsidR="001D200D">
          <w:rPr>
            <w:noProof/>
            <w:webHidden/>
          </w:rPr>
          <w:instrText xml:space="preserve"> PAGEREF _Toc152573728 \h </w:instrText>
        </w:r>
        <w:r w:rsidR="001D200D">
          <w:rPr>
            <w:noProof/>
            <w:webHidden/>
          </w:rPr>
        </w:r>
        <w:r w:rsidR="001D200D">
          <w:rPr>
            <w:noProof/>
            <w:webHidden/>
          </w:rPr>
          <w:fldChar w:fldCharType="separate"/>
        </w:r>
        <w:r w:rsidR="001D200D">
          <w:rPr>
            <w:noProof/>
            <w:webHidden/>
          </w:rPr>
          <w:t>17</w:t>
        </w:r>
        <w:r w:rsidR="001D200D">
          <w:rPr>
            <w:noProof/>
            <w:webHidden/>
          </w:rPr>
          <w:fldChar w:fldCharType="end"/>
        </w:r>
      </w:hyperlink>
    </w:p>
    <w:p w14:paraId="7FBF6D3D" w14:textId="554D2612"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29" w:history="1">
        <w:r w:rsidR="001D200D" w:rsidRPr="00437321">
          <w:rPr>
            <w:rStyle w:val="Hyperlink"/>
            <w:noProof/>
          </w:rPr>
          <w:t>Submitting fees and expenses claims</w:t>
        </w:r>
        <w:r w:rsidR="001D200D">
          <w:rPr>
            <w:noProof/>
            <w:webHidden/>
          </w:rPr>
          <w:tab/>
        </w:r>
        <w:r w:rsidR="001D200D">
          <w:rPr>
            <w:noProof/>
            <w:webHidden/>
          </w:rPr>
          <w:fldChar w:fldCharType="begin"/>
        </w:r>
        <w:r w:rsidR="001D200D">
          <w:rPr>
            <w:noProof/>
            <w:webHidden/>
          </w:rPr>
          <w:instrText xml:space="preserve"> PAGEREF _Toc152573729 \h </w:instrText>
        </w:r>
        <w:r w:rsidR="001D200D">
          <w:rPr>
            <w:noProof/>
            <w:webHidden/>
          </w:rPr>
        </w:r>
        <w:r w:rsidR="001D200D">
          <w:rPr>
            <w:noProof/>
            <w:webHidden/>
          </w:rPr>
          <w:fldChar w:fldCharType="separate"/>
        </w:r>
        <w:r w:rsidR="001D200D">
          <w:rPr>
            <w:noProof/>
            <w:webHidden/>
          </w:rPr>
          <w:t>17</w:t>
        </w:r>
        <w:r w:rsidR="001D200D">
          <w:rPr>
            <w:noProof/>
            <w:webHidden/>
          </w:rPr>
          <w:fldChar w:fldCharType="end"/>
        </w:r>
      </w:hyperlink>
    </w:p>
    <w:p w14:paraId="6DCEC17B" w14:textId="2239C1BF" w:rsidR="001D200D" w:rsidRDefault="001F324B">
      <w:pPr>
        <w:pStyle w:val="TOC2"/>
        <w:rPr>
          <w:rFonts w:asciiTheme="minorHAnsi" w:eastAsiaTheme="minorEastAsia" w:hAnsiTheme="minorHAnsi" w:cstheme="minorBidi"/>
          <w:noProof/>
          <w:kern w:val="2"/>
          <w:lang w:eastAsia="en-GB"/>
          <w14:ligatures w14:val="standardContextual"/>
        </w:rPr>
      </w:pPr>
      <w:hyperlink w:anchor="_Toc152573730" w:history="1">
        <w:r w:rsidR="001D200D" w:rsidRPr="00437321">
          <w:rPr>
            <w:rStyle w:val="Hyperlink"/>
            <w:noProof/>
          </w:rPr>
          <w:t>Payment</w:t>
        </w:r>
        <w:r w:rsidR="001D200D">
          <w:rPr>
            <w:noProof/>
            <w:webHidden/>
          </w:rPr>
          <w:tab/>
        </w:r>
        <w:r w:rsidR="001D200D">
          <w:rPr>
            <w:noProof/>
            <w:webHidden/>
          </w:rPr>
          <w:fldChar w:fldCharType="begin"/>
        </w:r>
        <w:r w:rsidR="001D200D">
          <w:rPr>
            <w:noProof/>
            <w:webHidden/>
          </w:rPr>
          <w:instrText xml:space="preserve"> PAGEREF _Toc152573730 \h </w:instrText>
        </w:r>
        <w:r w:rsidR="001D200D">
          <w:rPr>
            <w:noProof/>
            <w:webHidden/>
          </w:rPr>
        </w:r>
        <w:r w:rsidR="001D200D">
          <w:rPr>
            <w:noProof/>
            <w:webHidden/>
          </w:rPr>
          <w:fldChar w:fldCharType="separate"/>
        </w:r>
        <w:r w:rsidR="001D200D">
          <w:rPr>
            <w:noProof/>
            <w:webHidden/>
          </w:rPr>
          <w:t>18</w:t>
        </w:r>
        <w:r w:rsidR="001D200D">
          <w:rPr>
            <w:noProof/>
            <w:webHidden/>
          </w:rPr>
          <w:fldChar w:fldCharType="end"/>
        </w:r>
      </w:hyperlink>
    </w:p>
    <w:p w14:paraId="2FE18EE2" w14:textId="45B3CDDD"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31" w:history="1">
        <w:r w:rsidR="001D200D" w:rsidRPr="00437321">
          <w:rPr>
            <w:rStyle w:val="Hyperlink"/>
            <w:noProof/>
          </w:rPr>
          <w:t>Role and Remit of Edge Hill University Assessment Boards</w:t>
        </w:r>
        <w:r w:rsidR="001D200D">
          <w:rPr>
            <w:noProof/>
            <w:webHidden/>
          </w:rPr>
          <w:tab/>
        </w:r>
        <w:r w:rsidR="001D200D">
          <w:rPr>
            <w:noProof/>
            <w:webHidden/>
          </w:rPr>
          <w:fldChar w:fldCharType="begin"/>
        </w:r>
        <w:r w:rsidR="001D200D">
          <w:rPr>
            <w:noProof/>
            <w:webHidden/>
          </w:rPr>
          <w:instrText xml:space="preserve"> PAGEREF _Toc152573731 \h </w:instrText>
        </w:r>
        <w:r w:rsidR="001D200D">
          <w:rPr>
            <w:noProof/>
            <w:webHidden/>
          </w:rPr>
        </w:r>
        <w:r w:rsidR="001D200D">
          <w:rPr>
            <w:noProof/>
            <w:webHidden/>
          </w:rPr>
          <w:fldChar w:fldCharType="separate"/>
        </w:r>
        <w:r w:rsidR="001D200D">
          <w:rPr>
            <w:noProof/>
            <w:webHidden/>
          </w:rPr>
          <w:t>18</w:t>
        </w:r>
        <w:r w:rsidR="001D200D">
          <w:rPr>
            <w:noProof/>
            <w:webHidden/>
          </w:rPr>
          <w:fldChar w:fldCharType="end"/>
        </w:r>
      </w:hyperlink>
    </w:p>
    <w:p w14:paraId="7B335009" w14:textId="634A334E" w:rsidR="001D200D" w:rsidRDefault="001F324B">
      <w:pPr>
        <w:pStyle w:val="TOC2"/>
        <w:tabs>
          <w:tab w:val="left" w:pos="660"/>
        </w:tabs>
        <w:rPr>
          <w:rFonts w:asciiTheme="minorHAnsi" w:eastAsiaTheme="minorEastAsia" w:hAnsiTheme="minorHAnsi" w:cstheme="minorBidi"/>
          <w:noProof/>
          <w:kern w:val="2"/>
          <w:lang w:eastAsia="en-GB"/>
          <w14:ligatures w14:val="standardContextual"/>
        </w:rPr>
      </w:pPr>
      <w:hyperlink w:anchor="_Toc152573732" w:history="1">
        <w:r w:rsidR="001D200D" w:rsidRPr="00437321">
          <w:rPr>
            <w:rStyle w:val="Hyperlink"/>
            <w:noProof/>
          </w:rPr>
          <w:t>1)</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Assessment Board System:</w:t>
        </w:r>
        <w:r w:rsidR="001D200D">
          <w:rPr>
            <w:noProof/>
            <w:webHidden/>
          </w:rPr>
          <w:tab/>
        </w:r>
        <w:r w:rsidR="001D200D">
          <w:rPr>
            <w:noProof/>
            <w:webHidden/>
          </w:rPr>
          <w:fldChar w:fldCharType="begin"/>
        </w:r>
        <w:r w:rsidR="001D200D">
          <w:rPr>
            <w:noProof/>
            <w:webHidden/>
          </w:rPr>
          <w:instrText xml:space="preserve"> PAGEREF _Toc152573732 \h </w:instrText>
        </w:r>
        <w:r w:rsidR="001D200D">
          <w:rPr>
            <w:noProof/>
            <w:webHidden/>
          </w:rPr>
        </w:r>
        <w:r w:rsidR="001D200D">
          <w:rPr>
            <w:noProof/>
            <w:webHidden/>
          </w:rPr>
          <w:fldChar w:fldCharType="separate"/>
        </w:r>
        <w:r w:rsidR="001D200D">
          <w:rPr>
            <w:noProof/>
            <w:webHidden/>
          </w:rPr>
          <w:t>18</w:t>
        </w:r>
        <w:r w:rsidR="001D200D">
          <w:rPr>
            <w:noProof/>
            <w:webHidden/>
          </w:rPr>
          <w:fldChar w:fldCharType="end"/>
        </w:r>
      </w:hyperlink>
    </w:p>
    <w:p w14:paraId="7A926499" w14:textId="6AE09AA4" w:rsidR="001D200D" w:rsidRDefault="001F324B">
      <w:pPr>
        <w:pStyle w:val="TOC2"/>
        <w:tabs>
          <w:tab w:val="left" w:pos="660"/>
        </w:tabs>
        <w:rPr>
          <w:rFonts w:asciiTheme="minorHAnsi" w:eastAsiaTheme="minorEastAsia" w:hAnsiTheme="minorHAnsi" w:cstheme="minorBidi"/>
          <w:noProof/>
          <w:kern w:val="2"/>
          <w:lang w:eastAsia="en-GB"/>
          <w14:ligatures w14:val="standardContextual"/>
        </w:rPr>
      </w:pPr>
      <w:hyperlink w:anchor="_Toc152573733" w:history="1">
        <w:r w:rsidR="001D200D" w:rsidRPr="00437321">
          <w:rPr>
            <w:rStyle w:val="Hyperlink"/>
            <w:noProof/>
          </w:rPr>
          <w:t>2)</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Membership</w:t>
        </w:r>
        <w:r w:rsidR="001D200D">
          <w:rPr>
            <w:noProof/>
            <w:webHidden/>
          </w:rPr>
          <w:tab/>
        </w:r>
        <w:r w:rsidR="001D200D">
          <w:rPr>
            <w:noProof/>
            <w:webHidden/>
          </w:rPr>
          <w:fldChar w:fldCharType="begin"/>
        </w:r>
        <w:r w:rsidR="001D200D">
          <w:rPr>
            <w:noProof/>
            <w:webHidden/>
          </w:rPr>
          <w:instrText xml:space="preserve"> PAGEREF _Toc152573733 \h </w:instrText>
        </w:r>
        <w:r w:rsidR="001D200D">
          <w:rPr>
            <w:noProof/>
            <w:webHidden/>
          </w:rPr>
        </w:r>
        <w:r w:rsidR="001D200D">
          <w:rPr>
            <w:noProof/>
            <w:webHidden/>
          </w:rPr>
          <w:fldChar w:fldCharType="separate"/>
        </w:r>
        <w:r w:rsidR="001D200D">
          <w:rPr>
            <w:noProof/>
            <w:webHidden/>
          </w:rPr>
          <w:t>18</w:t>
        </w:r>
        <w:r w:rsidR="001D200D">
          <w:rPr>
            <w:noProof/>
            <w:webHidden/>
          </w:rPr>
          <w:fldChar w:fldCharType="end"/>
        </w:r>
      </w:hyperlink>
    </w:p>
    <w:p w14:paraId="5D2A412F" w14:textId="2938DC0A" w:rsidR="001D200D" w:rsidRDefault="001F324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52573734" w:history="1">
        <w:r w:rsidR="001D200D" w:rsidRPr="00437321">
          <w:rPr>
            <w:rStyle w:val="Hyperlink"/>
            <w:noProof/>
          </w:rPr>
          <w:t>2.1 Constitution</w:t>
        </w:r>
        <w:r w:rsidR="001D200D">
          <w:rPr>
            <w:noProof/>
            <w:webHidden/>
          </w:rPr>
          <w:tab/>
        </w:r>
        <w:r w:rsidR="001D200D">
          <w:rPr>
            <w:noProof/>
            <w:webHidden/>
          </w:rPr>
          <w:fldChar w:fldCharType="begin"/>
        </w:r>
        <w:r w:rsidR="001D200D">
          <w:rPr>
            <w:noProof/>
            <w:webHidden/>
          </w:rPr>
          <w:instrText xml:space="preserve"> PAGEREF _Toc152573734 \h </w:instrText>
        </w:r>
        <w:r w:rsidR="001D200D">
          <w:rPr>
            <w:noProof/>
            <w:webHidden/>
          </w:rPr>
        </w:r>
        <w:r w:rsidR="001D200D">
          <w:rPr>
            <w:noProof/>
            <w:webHidden/>
          </w:rPr>
          <w:fldChar w:fldCharType="separate"/>
        </w:r>
        <w:r w:rsidR="001D200D">
          <w:rPr>
            <w:noProof/>
            <w:webHidden/>
          </w:rPr>
          <w:t>18</w:t>
        </w:r>
        <w:r w:rsidR="001D200D">
          <w:rPr>
            <w:noProof/>
            <w:webHidden/>
          </w:rPr>
          <w:fldChar w:fldCharType="end"/>
        </w:r>
      </w:hyperlink>
    </w:p>
    <w:p w14:paraId="39138ECD" w14:textId="42C3F289" w:rsidR="001D200D" w:rsidRDefault="001F324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52573735" w:history="1">
        <w:r w:rsidR="001D200D" w:rsidRPr="00437321">
          <w:rPr>
            <w:rStyle w:val="Hyperlink"/>
            <w:noProof/>
          </w:rPr>
          <w:t>2.2 Absence</w:t>
        </w:r>
        <w:r w:rsidR="001D200D">
          <w:rPr>
            <w:noProof/>
            <w:webHidden/>
          </w:rPr>
          <w:tab/>
        </w:r>
        <w:r w:rsidR="001D200D">
          <w:rPr>
            <w:noProof/>
            <w:webHidden/>
          </w:rPr>
          <w:fldChar w:fldCharType="begin"/>
        </w:r>
        <w:r w:rsidR="001D200D">
          <w:rPr>
            <w:noProof/>
            <w:webHidden/>
          </w:rPr>
          <w:instrText xml:space="preserve"> PAGEREF _Toc152573735 \h </w:instrText>
        </w:r>
        <w:r w:rsidR="001D200D">
          <w:rPr>
            <w:noProof/>
            <w:webHidden/>
          </w:rPr>
        </w:r>
        <w:r w:rsidR="001D200D">
          <w:rPr>
            <w:noProof/>
            <w:webHidden/>
          </w:rPr>
          <w:fldChar w:fldCharType="separate"/>
        </w:r>
        <w:r w:rsidR="001D200D">
          <w:rPr>
            <w:noProof/>
            <w:webHidden/>
          </w:rPr>
          <w:t>19</w:t>
        </w:r>
        <w:r w:rsidR="001D200D">
          <w:rPr>
            <w:noProof/>
            <w:webHidden/>
          </w:rPr>
          <w:fldChar w:fldCharType="end"/>
        </w:r>
      </w:hyperlink>
    </w:p>
    <w:p w14:paraId="3E5A2970" w14:textId="4F7F90A9" w:rsidR="001D200D" w:rsidRDefault="001F324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52573736" w:history="1">
        <w:r w:rsidR="001D200D" w:rsidRPr="00437321">
          <w:rPr>
            <w:rStyle w:val="Hyperlink"/>
            <w:noProof/>
          </w:rPr>
          <w:t>2.3 Quoracy</w:t>
        </w:r>
        <w:r w:rsidR="001D200D">
          <w:rPr>
            <w:noProof/>
            <w:webHidden/>
          </w:rPr>
          <w:tab/>
        </w:r>
        <w:r w:rsidR="001D200D">
          <w:rPr>
            <w:noProof/>
            <w:webHidden/>
          </w:rPr>
          <w:fldChar w:fldCharType="begin"/>
        </w:r>
        <w:r w:rsidR="001D200D">
          <w:rPr>
            <w:noProof/>
            <w:webHidden/>
          </w:rPr>
          <w:instrText xml:space="preserve"> PAGEREF _Toc152573736 \h </w:instrText>
        </w:r>
        <w:r w:rsidR="001D200D">
          <w:rPr>
            <w:noProof/>
            <w:webHidden/>
          </w:rPr>
        </w:r>
        <w:r w:rsidR="001D200D">
          <w:rPr>
            <w:noProof/>
            <w:webHidden/>
          </w:rPr>
          <w:fldChar w:fldCharType="separate"/>
        </w:r>
        <w:r w:rsidR="001D200D">
          <w:rPr>
            <w:noProof/>
            <w:webHidden/>
          </w:rPr>
          <w:t>19</w:t>
        </w:r>
        <w:r w:rsidR="001D200D">
          <w:rPr>
            <w:noProof/>
            <w:webHidden/>
          </w:rPr>
          <w:fldChar w:fldCharType="end"/>
        </w:r>
      </w:hyperlink>
    </w:p>
    <w:p w14:paraId="23F474CC" w14:textId="18227B04" w:rsidR="001D200D" w:rsidRDefault="001F324B">
      <w:pPr>
        <w:pStyle w:val="TOC2"/>
        <w:tabs>
          <w:tab w:val="left" w:pos="660"/>
        </w:tabs>
        <w:rPr>
          <w:rFonts w:asciiTheme="minorHAnsi" w:eastAsiaTheme="minorEastAsia" w:hAnsiTheme="minorHAnsi" w:cstheme="minorBidi"/>
          <w:noProof/>
          <w:kern w:val="2"/>
          <w:lang w:eastAsia="en-GB"/>
          <w14:ligatures w14:val="standardContextual"/>
        </w:rPr>
      </w:pPr>
      <w:hyperlink w:anchor="_Toc152573737" w:history="1">
        <w:r w:rsidR="001D200D" w:rsidRPr="00437321">
          <w:rPr>
            <w:rStyle w:val="Hyperlink"/>
            <w:noProof/>
          </w:rPr>
          <w:t>3)</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Remit</w:t>
        </w:r>
        <w:r w:rsidR="001D200D">
          <w:rPr>
            <w:noProof/>
            <w:webHidden/>
          </w:rPr>
          <w:tab/>
        </w:r>
        <w:r w:rsidR="001D200D">
          <w:rPr>
            <w:noProof/>
            <w:webHidden/>
          </w:rPr>
          <w:fldChar w:fldCharType="begin"/>
        </w:r>
        <w:r w:rsidR="001D200D">
          <w:rPr>
            <w:noProof/>
            <w:webHidden/>
          </w:rPr>
          <w:instrText xml:space="preserve"> PAGEREF _Toc152573737 \h </w:instrText>
        </w:r>
        <w:r w:rsidR="001D200D">
          <w:rPr>
            <w:noProof/>
            <w:webHidden/>
          </w:rPr>
        </w:r>
        <w:r w:rsidR="001D200D">
          <w:rPr>
            <w:noProof/>
            <w:webHidden/>
          </w:rPr>
          <w:fldChar w:fldCharType="separate"/>
        </w:r>
        <w:r w:rsidR="001D200D">
          <w:rPr>
            <w:noProof/>
            <w:webHidden/>
          </w:rPr>
          <w:t>19</w:t>
        </w:r>
        <w:r w:rsidR="001D200D">
          <w:rPr>
            <w:noProof/>
            <w:webHidden/>
          </w:rPr>
          <w:fldChar w:fldCharType="end"/>
        </w:r>
      </w:hyperlink>
    </w:p>
    <w:p w14:paraId="7431780B" w14:textId="363CF15E" w:rsidR="001D200D" w:rsidRDefault="001F324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52573738" w:history="1">
        <w:r w:rsidR="001D200D" w:rsidRPr="00437321">
          <w:rPr>
            <w:rStyle w:val="Hyperlink"/>
            <w:noProof/>
          </w:rPr>
          <w:t>3.1 Module/block year Assessment Boards</w:t>
        </w:r>
        <w:r w:rsidR="001D200D">
          <w:rPr>
            <w:noProof/>
            <w:webHidden/>
          </w:rPr>
          <w:tab/>
        </w:r>
        <w:r w:rsidR="001D200D">
          <w:rPr>
            <w:noProof/>
            <w:webHidden/>
          </w:rPr>
          <w:fldChar w:fldCharType="begin"/>
        </w:r>
        <w:r w:rsidR="001D200D">
          <w:rPr>
            <w:noProof/>
            <w:webHidden/>
          </w:rPr>
          <w:instrText xml:space="preserve"> PAGEREF _Toc152573738 \h </w:instrText>
        </w:r>
        <w:r w:rsidR="001D200D">
          <w:rPr>
            <w:noProof/>
            <w:webHidden/>
          </w:rPr>
        </w:r>
        <w:r w:rsidR="001D200D">
          <w:rPr>
            <w:noProof/>
            <w:webHidden/>
          </w:rPr>
          <w:fldChar w:fldCharType="separate"/>
        </w:r>
        <w:r w:rsidR="001D200D">
          <w:rPr>
            <w:noProof/>
            <w:webHidden/>
          </w:rPr>
          <w:t>19</w:t>
        </w:r>
        <w:r w:rsidR="001D200D">
          <w:rPr>
            <w:noProof/>
            <w:webHidden/>
          </w:rPr>
          <w:fldChar w:fldCharType="end"/>
        </w:r>
      </w:hyperlink>
    </w:p>
    <w:p w14:paraId="28D73835" w14:textId="77AB6E08" w:rsidR="001D200D" w:rsidRDefault="001F324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52573739" w:history="1">
        <w:r w:rsidR="001D200D" w:rsidRPr="00437321">
          <w:rPr>
            <w:rStyle w:val="Hyperlink"/>
            <w:noProof/>
          </w:rPr>
          <w:t>3.2 Progression and Award Boards</w:t>
        </w:r>
        <w:r w:rsidR="001D200D">
          <w:rPr>
            <w:noProof/>
            <w:webHidden/>
          </w:rPr>
          <w:tab/>
        </w:r>
        <w:r w:rsidR="001D200D">
          <w:rPr>
            <w:noProof/>
            <w:webHidden/>
          </w:rPr>
          <w:fldChar w:fldCharType="begin"/>
        </w:r>
        <w:r w:rsidR="001D200D">
          <w:rPr>
            <w:noProof/>
            <w:webHidden/>
          </w:rPr>
          <w:instrText xml:space="preserve"> PAGEREF _Toc152573739 \h </w:instrText>
        </w:r>
        <w:r w:rsidR="001D200D">
          <w:rPr>
            <w:noProof/>
            <w:webHidden/>
          </w:rPr>
        </w:r>
        <w:r w:rsidR="001D200D">
          <w:rPr>
            <w:noProof/>
            <w:webHidden/>
          </w:rPr>
          <w:fldChar w:fldCharType="separate"/>
        </w:r>
        <w:r w:rsidR="001D200D">
          <w:rPr>
            <w:noProof/>
            <w:webHidden/>
          </w:rPr>
          <w:t>20</w:t>
        </w:r>
        <w:r w:rsidR="001D200D">
          <w:rPr>
            <w:noProof/>
            <w:webHidden/>
          </w:rPr>
          <w:fldChar w:fldCharType="end"/>
        </w:r>
      </w:hyperlink>
    </w:p>
    <w:p w14:paraId="6394069E" w14:textId="35A70E43" w:rsidR="001D200D" w:rsidRDefault="001F324B">
      <w:pPr>
        <w:pStyle w:val="TOC2"/>
        <w:tabs>
          <w:tab w:val="left" w:pos="660"/>
        </w:tabs>
        <w:rPr>
          <w:rFonts w:asciiTheme="minorHAnsi" w:eastAsiaTheme="minorEastAsia" w:hAnsiTheme="minorHAnsi" w:cstheme="minorBidi"/>
          <w:noProof/>
          <w:kern w:val="2"/>
          <w:lang w:eastAsia="en-GB"/>
          <w14:ligatures w14:val="standardContextual"/>
        </w:rPr>
      </w:pPr>
      <w:hyperlink w:anchor="_Toc152573740" w:history="1">
        <w:r w:rsidR="001D200D" w:rsidRPr="00437321">
          <w:rPr>
            <w:rStyle w:val="Hyperlink"/>
            <w:noProof/>
          </w:rPr>
          <w:t>4)</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Delegation of Functions</w:t>
        </w:r>
        <w:r w:rsidR="001D200D">
          <w:rPr>
            <w:noProof/>
            <w:webHidden/>
          </w:rPr>
          <w:tab/>
        </w:r>
        <w:r w:rsidR="001D200D">
          <w:rPr>
            <w:noProof/>
            <w:webHidden/>
          </w:rPr>
          <w:fldChar w:fldCharType="begin"/>
        </w:r>
        <w:r w:rsidR="001D200D">
          <w:rPr>
            <w:noProof/>
            <w:webHidden/>
          </w:rPr>
          <w:instrText xml:space="preserve"> PAGEREF _Toc152573740 \h </w:instrText>
        </w:r>
        <w:r w:rsidR="001D200D">
          <w:rPr>
            <w:noProof/>
            <w:webHidden/>
          </w:rPr>
        </w:r>
        <w:r w:rsidR="001D200D">
          <w:rPr>
            <w:noProof/>
            <w:webHidden/>
          </w:rPr>
          <w:fldChar w:fldCharType="separate"/>
        </w:r>
        <w:r w:rsidR="001D200D">
          <w:rPr>
            <w:noProof/>
            <w:webHidden/>
          </w:rPr>
          <w:t>20</w:t>
        </w:r>
        <w:r w:rsidR="001D200D">
          <w:rPr>
            <w:noProof/>
            <w:webHidden/>
          </w:rPr>
          <w:fldChar w:fldCharType="end"/>
        </w:r>
      </w:hyperlink>
    </w:p>
    <w:p w14:paraId="40CED289" w14:textId="79C97C9D" w:rsidR="001D200D" w:rsidRDefault="001F324B">
      <w:pPr>
        <w:pStyle w:val="TOC3"/>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52573741" w:history="1">
        <w:r w:rsidR="001D200D" w:rsidRPr="00437321">
          <w:rPr>
            <w:rStyle w:val="Hyperlink"/>
            <w:noProof/>
          </w:rPr>
          <w:t>i.</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Subsidiary Panels</w:t>
        </w:r>
        <w:r w:rsidR="001D200D">
          <w:rPr>
            <w:noProof/>
            <w:webHidden/>
          </w:rPr>
          <w:tab/>
        </w:r>
        <w:r w:rsidR="001D200D">
          <w:rPr>
            <w:noProof/>
            <w:webHidden/>
          </w:rPr>
          <w:fldChar w:fldCharType="begin"/>
        </w:r>
        <w:r w:rsidR="001D200D">
          <w:rPr>
            <w:noProof/>
            <w:webHidden/>
          </w:rPr>
          <w:instrText xml:space="preserve"> PAGEREF _Toc152573741 \h </w:instrText>
        </w:r>
        <w:r w:rsidR="001D200D">
          <w:rPr>
            <w:noProof/>
            <w:webHidden/>
          </w:rPr>
        </w:r>
        <w:r w:rsidR="001D200D">
          <w:rPr>
            <w:noProof/>
            <w:webHidden/>
          </w:rPr>
          <w:fldChar w:fldCharType="separate"/>
        </w:r>
        <w:r w:rsidR="001D200D">
          <w:rPr>
            <w:noProof/>
            <w:webHidden/>
          </w:rPr>
          <w:t>20</w:t>
        </w:r>
        <w:r w:rsidR="001D200D">
          <w:rPr>
            <w:noProof/>
            <w:webHidden/>
          </w:rPr>
          <w:fldChar w:fldCharType="end"/>
        </w:r>
      </w:hyperlink>
    </w:p>
    <w:p w14:paraId="596FA444" w14:textId="150DCDDA" w:rsidR="001D200D" w:rsidRDefault="001F324B">
      <w:pPr>
        <w:pStyle w:val="TOC3"/>
        <w:tabs>
          <w:tab w:val="left" w:pos="880"/>
          <w:tab w:val="right" w:leader="dot" w:pos="9016"/>
        </w:tabs>
        <w:rPr>
          <w:rFonts w:asciiTheme="minorHAnsi" w:eastAsiaTheme="minorEastAsia" w:hAnsiTheme="minorHAnsi" w:cstheme="minorBidi"/>
          <w:noProof/>
          <w:kern w:val="2"/>
          <w:lang w:eastAsia="en-GB"/>
          <w14:ligatures w14:val="standardContextual"/>
        </w:rPr>
      </w:pPr>
      <w:hyperlink w:anchor="_Toc152573742" w:history="1">
        <w:r w:rsidR="001D200D" w:rsidRPr="00437321">
          <w:rPr>
            <w:rStyle w:val="Hyperlink"/>
            <w:noProof/>
          </w:rPr>
          <w:t>ii.</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Chair’s Action</w:t>
        </w:r>
        <w:r w:rsidR="001D200D">
          <w:rPr>
            <w:noProof/>
            <w:webHidden/>
          </w:rPr>
          <w:tab/>
        </w:r>
        <w:r w:rsidR="001D200D">
          <w:rPr>
            <w:noProof/>
            <w:webHidden/>
          </w:rPr>
          <w:fldChar w:fldCharType="begin"/>
        </w:r>
        <w:r w:rsidR="001D200D">
          <w:rPr>
            <w:noProof/>
            <w:webHidden/>
          </w:rPr>
          <w:instrText xml:space="preserve"> PAGEREF _Toc152573742 \h </w:instrText>
        </w:r>
        <w:r w:rsidR="001D200D">
          <w:rPr>
            <w:noProof/>
            <w:webHidden/>
          </w:rPr>
        </w:r>
        <w:r w:rsidR="001D200D">
          <w:rPr>
            <w:noProof/>
            <w:webHidden/>
          </w:rPr>
          <w:fldChar w:fldCharType="separate"/>
        </w:r>
        <w:r w:rsidR="001D200D">
          <w:rPr>
            <w:noProof/>
            <w:webHidden/>
          </w:rPr>
          <w:t>20</w:t>
        </w:r>
        <w:r w:rsidR="001D200D">
          <w:rPr>
            <w:noProof/>
            <w:webHidden/>
          </w:rPr>
          <w:fldChar w:fldCharType="end"/>
        </w:r>
      </w:hyperlink>
    </w:p>
    <w:p w14:paraId="2AFD9E05" w14:textId="795AD344" w:rsidR="001D200D" w:rsidRDefault="001F324B">
      <w:pPr>
        <w:pStyle w:val="TOC2"/>
        <w:tabs>
          <w:tab w:val="left" w:pos="660"/>
        </w:tabs>
        <w:rPr>
          <w:rFonts w:asciiTheme="minorHAnsi" w:eastAsiaTheme="minorEastAsia" w:hAnsiTheme="minorHAnsi" w:cstheme="minorBidi"/>
          <w:noProof/>
          <w:kern w:val="2"/>
          <w:lang w:eastAsia="en-GB"/>
          <w14:ligatures w14:val="standardContextual"/>
        </w:rPr>
      </w:pPr>
      <w:hyperlink w:anchor="_Toc152573743" w:history="1">
        <w:r w:rsidR="001D200D" w:rsidRPr="00437321">
          <w:rPr>
            <w:rStyle w:val="Hyperlink"/>
            <w:noProof/>
          </w:rPr>
          <w:t>5)</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The application of the Academic Regulations</w:t>
        </w:r>
        <w:r w:rsidR="001D200D">
          <w:rPr>
            <w:noProof/>
            <w:webHidden/>
          </w:rPr>
          <w:tab/>
        </w:r>
        <w:r w:rsidR="001D200D">
          <w:rPr>
            <w:noProof/>
            <w:webHidden/>
          </w:rPr>
          <w:fldChar w:fldCharType="begin"/>
        </w:r>
        <w:r w:rsidR="001D200D">
          <w:rPr>
            <w:noProof/>
            <w:webHidden/>
          </w:rPr>
          <w:instrText xml:space="preserve"> PAGEREF _Toc152573743 \h </w:instrText>
        </w:r>
        <w:r w:rsidR="001D200D">
          <w:rPr>
            <w:noProof/>
            <w:webHidden/>
          </w:rPr>
        </w:r>
        <w:r w:rsidR="001D200D">
          <w:rPr>
            <w:noProof/>
            <w:webHidden/>
          </w:rPr>
          <w:fldChar w:fldCharType="separate"/>
        </w:r>
        <w:r w:rsidR="001D200D">
          <w:rPr>
            <w:noProof/>
            <w:webHidden/>
          </w:rPr>
          <w:t>21</w:t>
        </w:r>
        <w:r w:rsidR="001D200D">
          <w:rPr>
            <w:noProof/>
            <w:webHidden/>
          </w:rPr>
          <w:fldChar w:fldCharType="end"/>
        </w:r>
      </w:hyperlink>
    </w:p>
    <w:p w14:paraId="5EA3ED12" w14:textId="6EAFFA6E" w:rsidR="001D200D" w:rsidRDefault="001F324B">
      <w:pPr>
        <w:pStyle w:val="TOC2"/>
        <w:tabs>
          <w:tab w:val="left" w:pos="660"/>
        </w:tabs>
        <w:rPr>
          <w:rFonts w:asciiTheme="minorHAnsi" w:eastAsiaTheme="minorEastAsia" w:hAnsiTheme="minorHAnsi" w:cstheme="minorBidi"/>
          <w:noProof/>
          <w:kern w:val="2"/>
          <w:lang w:eastAsia="en-GB"/>
          <w14:ligatures w14:val="standardContextual"/>
        </w:rPr>
      </w:pPr>
      <w:hyperlink w:anchor="_Toc152573744" w:history="1">
        <w:r w:rsidR="001D200D" w:rsidRPr="00437321">
          <w:rPr>
            <w:rStyle w:val="Hyperlink"/>
            <w:noProof/>
          </w:rPr>
          <w:t>6)</w:t>
        </w:r>
        <w:r w:rsidR="001D200D">
          <w:rPr>
            <w:rFonts w:asciiTheme="minorHAnsi" w:eastAsiaTheme="minorEastAsia" w:hAnsiTheme="minorHAnsi" w:cstheme="minorBidi"/>
            <w:noProof/>
            <w:kern w:val="2"/>
            <w:lang w:eastAsia="en-GB"/>
            <w14:ligatures w14:val="standardContextual"/>
          </w:rPr>
          <w:tab/>
        </w:r>
        <w:r w:rsidR="001D200D" w:rsidRPr="00437321">
          <w:rPr>
            <w:rStyle w:val="Hyperlink"/>
            <w:noProof/>
          </w:rPr>
          <w:t>Recording Outcomes</w:t>
        </w:r>
        <w:r w:rsidR="001D200D">
          <w:rPr>
            <w:noProof/>
            <w:webHidden/>
          </w:rPr>
          <w:tab/>
        </w:r>
        <w:r w:rsidR="001D200D">
          <w:rPr>
            <w:noProof/>
            <w:webHidden/>
          </w:rPr>
          <w:fldChar w:fldCharType="begin"/>
        </w:r>
        <w:r w:rsidR="001D200D">
          <w:rPr>
            <w:noProof/>
            <w:webHidden/>
          </w:rPr>
          <w:instrText xml:space="preserve"> PAGEREF _Toc152573744 \h </w:instrText>
        </w:r>
        <w:r w:rsidR="001D200D">
          <w:rPr>
            <w:noProof/>
            <w:webHidden/>
          </w:rPr>
        </w:r>
        <w:r w:rsidR="001D200D">
          <w:rPr>
            <w:noProof/>
            <w:webHidden/>
          </w:rPr>
          <w:fldChar w:fldCharType="separate"/>
        </w:r>
        <w:r w:rsidR="001D200D">
          <w:rPr>
            <w:noProof/>
            <w:webHidden/>
          </w:rPr>
          <w:t>21</w:t>
        </w:r>
        <w:r w:rsidR="001D200D">
          <w:rPr>
            <w:noProof/>
            <w:webHidden/>
          </w:rPr>
          <w:fldChar w:fldCharType="end"/>
        </w:r>
      </w:hyperlink>
    </w:p>
    <w:p w14:paraId="51CAC1C6" w14:textId="4A60EC21"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45" w:history="1">
        <w:r w:rsidR="001D200D" w:rsidRPr="00437321">
          <w:rPr>
            <w:rStyle w:val="Hyperlink"/>
            <w:noProof/>
          </w:rPr>
          <w:t>Contact List</w:t>
        </w:r>
        <w:r w:rsidR="001D200D">
          <w:rPr>
            <w:noProof/>
            <w:webHidden/>
          </w:rPr>
          <w:tab/>
        </w:r>
        <w:r w:rsidR="001D200D">
          <w:rPr>
            <w:noProof/>
            <w:webHidden/>
          </w:rPr>
          <w:fldChar w:fldCharType="begin"/>
        </w:r>
        <w:r w:rsidR="001D200D">
          <w:rPr>
            <w:noProof/>
            <w:webHidden/>
          </w:rPr>
          <w:instrText xml:space="preserve"> PAGEREF _Toc152573745 \h </w:instrText>
        </w:r>
        <w:r w:rsidR="001D200D">
          <w:rPr>
            <w:noProof/>
            <w:webHidden/>
          </w:rPr>
        </w:r>
        <w:r w:rsidR="001D200D">
          <w:rPr>
            <w:noProof/>
            <w:webHidden/>
          </w:rPr>
          <w:fldChar w:fldCharType="separate"/>
        </w:r>
        <w:r w:rsidR="001D200D">
          <w:rPr>
            <w:noProof/>
            <w:webHidden/>
          </w:rPr>
          <w:t>21</w:t>
        </w:r>
        <w:r w:rsidR="001D200D">
          <w:rPr>
            <w:noProof/>
            <w:webHidden/>
          </w:rPr>
          <w:fldChar w:fldCharType="end"/>
        </w:r>
      </w:hyperlink>
    </w:p>
    <w:p w14:paraId="6A78BAE5" w14:textId="163140D8" w:rsidR="001D200D" w:rsidRDefault="001F324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52573746" w:history="1">
        <w:r w:rsidR="001D200D" w:rsidRPr="00437321">
          <w:rPr>
            <w:rStyle w:val="Hyperlink"/>
            <w:noProof/>
          </w:rPr>
          <w:t>Links to useful documents and websites</w:t>
        </w:r>
        <w:r w:rsidR="001D200D">
          <w:rPr>
            <w:noProof/>
            <w:webHidden/>
          </w:rPr>
          <w:tab/>
        </w:r>
        <w:r w:rsidR="001D200D">
          <w:rPr>
            <w:noProof/>
            <w:webHidden/>
          </w:rPr>
          <w:fldChar w:fldCharType="begin"/>
        </w:r>
        <w:r w:rsidR="001D200D">
          <w:rPr>
            <w:noProof/>
            <w:webHidden/>
          </w:rPr>
          <w:instrText xml:space="preserve"> PAGEREF _Toc152573746 \h </w:instrText>
        </w:r>
        <w:r w:rsidR="001D200D">
          <w:rPr>
            <w:noProof/>
            <w:webHidden/>
          </w:rPr>
        </w:r>
        <w:r w:rsidR="001D200D">
          <w:rPr>
            <w:noProof/>
            <w:webHidden/>
          </w:rPr>
          <w:fldChar w:fldCharType="separate"/>
        </w:r>
        <w:r w:rsidR="001D200D">
          <w:rPr>
            <w:noProof/>
            <w:webHidden/>
          </w:rPr>
          <w:t>22</w:t>
        </w:r>
        <w:r w:rsidR="001D200D">
          <w:rPr>
            <w:noProof/>
            <w:webHidden/>
          </w:rPr>
          <w:fldChar w:fldCharType="end"/>
        </w:r>
      </w:hyperlink>
    </w:p>
    <w:p w14:paraId="79C0789C" w14:textId="34A6C799" w:rsidR="00BE61B3" w:rsidRDefault="000B4A14">
      <w:pPr>
        <w:sectPr w:rsidR="00BE61B3">
          <w:footerReference w:type="default" r:id="rId10"/>
          <w:pgSz w:w="11906" w:h="16838"/>
          <w:pgMar w:top="1440" w:right="1440" w:bottom="1440" w:left="1440" w:header="708" w:footer="708" w:gutter="0"/>
          <w:cols w:space="720"/>
        </w:sectPr>
      </w:pPr>
      <w:r>
        <w:rPr>
          <w:rFonts w:eastAsia="Times New Roman"/>
          <w:color w:val="7030A0"/>
          <w:sz w:val="28"/>
          <w:szCs w:val="32"/>
          <w:lang w:val="en-US"/>
        </w:rPr>
        <w:fldChar w:fldCharType="end"/>
      </w:r>
    </w:p>
    <w:p w14:paraId="259D21EA" w14:textId="3248C626" w:rsidR="00BE61B3" w:rsidRDefault="00B21A03" w:rsidP="00E97AB3">
      <w:pPr>
        <w:pStyle w:val="Heading1"/>
        <w:spacing w:before="0"/>
        <w:jc w:val="center"/>
      </w:pPr>
      <w:bookmarkStart w:id="0" w:name="_Toc152573688"/>
      <w:r>
        <w:lastRenderedPageBreak/>
        <w:t>Introduction to Edge Hill Universit</w:t>
      </w:r>
      <w:r w:rsidR="00E97AB3">
        <w:t xml:space="preserve">y - </w:t>
      </w:r>
      <w:r>
        <w:t>Vision and Values</w:t>
      </w:r>
      <w:bookmarkEnd w:id="0"/>
    </w:p>
    <w:p w14:paraId="378A74F8" w14:textId="77777777" w:rsidR="00EF1FD5" w:rsidRDefault="00EF1FD5" w:rsidP="00EF1FD5">
      <w:pPr>
        <w:pStyle w:val="Heading2"/>
      </w:pPr>
      <w:bookmarkStart w:id="1" w:name="_Toc152573689"/>
      <w:r>
        <w:t>Mission</w:t>
      </w:r>
      <w:bookmarkEnd w:id="1"/>
    </w:p>
    <w:p w14:paraId="46973F79" w14:textId="63CF97E6" w:rsidR="00EF1FD5" w:rsidRDefault="00EF1FD5" w:rsidP="00EF1FD5">
      <w:pPr>
        <w:rPr>
          <w:rFonts w:ascii="Times New Roman" w:hAnsi="Times New Roman"/>
        </w:rPr>
      </w:pPr>
      <w:r>
        <w:t xml:space="preserve">We’re here to create and harness knowledge, to deliver opportunity for everyone. </w:t>
      </w:r>
      <w:r w:rsidRPr="00EF1FD5">
        <w:t>To inspire minds and change futures.</w:t>
      </w:r>
    </w:p>
    <w:p w14:paraId="336ADBBA" w14:textId="77777777" w:rsidR="00EF1FD5" w:rsidRDefault="00EF1FD5" w:rsidP="00EF1FD5">
      <w:r>
        <w:t>Our mission is to explore the difference knowledge can make in inspiring minds and shaping a better future for our graduates and the lives of others.</w:t>
      </w:r>
    </w:p>
    <w:p w14:paraId="257C2F16" w14:textId="77777777" w:rsidR="00EF1FD5" w:rsidRDefault="00EF1FD5" w:rsidP="00EF1FD5">
      <w:r>
        <w:t>We set out to deliver teaching of the highest standard, informed by research of true international standing, set in an intellectually stimulating, ideas-focused and inclusive environment.</w:t>
      </w:r>
    </w:p>
    <w:p w14:paraId="28272188" w14:textId="77777777" w:rsidR="00EF1FD5" w:rsidRDefault="00EF1FD5" w:rsidP="00EF1FD5">
      <w:r>
        <w:t>From our community to the global community, we will ensure education has a wider reach and a genuinely transformative effect, changing lives and opening the door to greater possibilities for all.</w:t>
      </w:r>
    </w:p>
    <w:p w14:paraId="003E1D46" w14:textId="77777777" w:rsidR="00EF1FD5" w:rsidRDefault="00EF1FD5" w:rsidP="00EF1FD5">
      <w:pPr>
        <w:pStyle w:val="Heading2"/>
        <w:rPr>
          <w:rFonts w:ascii="Times New Roman" w:hAnsi="Times New Roman"/>
        </w:rPr>
      </w:pPr>
      <w:bookmarkStart w:id="2" w:name="_Toc152573690"/>
      <w:r>
        <w:t>University vision 2025</w:t>
      </w:r>
      <w:bookmarkEnd w:id="2"/>
    </w:p>
    <w:p w14:paraId="1D128D6B" w14:textId="7366B63B" w:rsidR="00EE4AA4" w:rsidRDefault="00EE4AA4" w:rsidP="004925A2">
      <w:pPr>
        <w:spacing w:after="0"/>
      </w:pPr>
      <w:r>
        <w:t xml:space="preserve">To provide every encouragement and every opportunity for our students. </w:t>
      </w:r>
    </w:p>
    <w:p w14:paraId="6A06FFB3" w14:textId="77777777" w:rsidR="00EE4AA4" w:rsidRDefault="00EE4AA4" w:rsidP="004925A2">
      <w:pPr>
        <w:spacing w:after="0"/>
      </w:pPr>
    </w:p>
    <w:p w14:paraId="153150B4" w14:textId="5E311C2B" w:rsidR="00EF1FD5" w:rsidRDefault="00EF1FD5" w:rsidP="004925A2">
      <w:pPr>
        <w:spacing w:after="0"/>
      </w:pPr>
      <w:r>
        <w:t>Edge Hill University will:</w:t>
      </w:r>
    </w:p>
    <w:p w14:paraId="1FF1D239" w14:textId="77777777" w:rsidR="00EF1FD5" w:rsidRDefault="00EF1FD5" w:rsidP="004925A2">
      <w:pPr>
        <w:pStyle w:val="ListParagraph"/>
        <w:numPr>
          <w:ilvl w:val="0"/>
          <w:numId w:val="12"/>
        </w:numPr>
        <w:spacing w:after="0"/>
      </w:pPr>
      <w:r>
        <w:t>Provide an outstanding student experience, underpinned by high quality learning and teaching; listen to the ‘student voice’ and further develop our strong sense of community.</w:t>
      </w:r>
    </w:p>
    <w:p w14:paraId="1B1A9D77" w14:textId="77777777" w:rsidR="00EF1FD5" w:rsidRDefault="00EF1FD5" w:rsidP="004925A2">
      <w:pPr>
        <w:pStyle w:val="ListParagraph"/>
        <w:numPr>
          <w:ilvl w:val="0"/>
          <w:numId w:val="12"/>
        </w:numPr>
        <w:spacing w:after="0"/>
      </w:pPr>
      <w:r>
        <w:t>Harness the creativity, knowledge and commitment of our staff to promote our values and enhance our activities.</w:t>
      </w:r>
    </w:p>
    <w:p w14:paraId="6717A004" w14:textId="77777777" w:rsidR="00EF1FD5" w:rsidRDefault="00EF1FD5" w:rsidP="004925A2">
      <w:pPr>
        <w:pStyle w:val="ListParagraph"/>
        <w:numPr>
          <w:ilvl w:val="0"/>
          <w:numId w:val="12"/>
        </w:numPr>
        <w:spacing w:after="0"/>
      </w:pPr>
      <w:r>
        <w:t>Continue to build our research capacity, and further develop our research in cognate fields which have a demonstrable impact on discipline and society.</w:t>
      </w:r>
    </w:p>
    <w:p w14:paraId="1062A5BA" w14:textId="77777777" w:rsidR="00EF1FD5" w:rsidRDefault="00EF1FD5" w:rsidP="004925A2">
      <w:pPr>
        <w:pStyle w:val="ListParagraph"/>
        <w:numPr>
          <w:ilvl w:val="0"/>
          <w:numId w:val="12"/>
        </w:numPr>
        <w:spacing w:after="0"/>
      </w:pPr>
      <w:r>
        <w:t>Further strengthen our links to employers and the region and enhance student employability and self-employment.</w:t>
      </w:r>
    </w:p>
    <w:p w14:paraId="337C961B" w14:textId="77777777" w:rsidR="00EF1FD5" w:rsidRDefault="00EF1FD5" w:rsidP="004925A2">
      <w:pPr>
        <w:pStyle w:val="ListParagraph"/>
        <w:numPr>
          <w:ilvl w:val="0"/>
          <w:numId w:val="12"/>
        </w:numPr>
        <w:spacing w:after="0"/>
      </w:pPr>
      <w:r>
        <w:t>Selectively establish additional national and international partnerships to enrich university life, deepen understanding, and benefit the region, the UK economy and society.</w:t>
      </w:r>
    </w:p>
    <w:p w14:paraId="4D9752DD" w14:textId="6BFBD03B" w:rsidR="00EF1FD5" w:rsidRDefault="00EF1FD5" w:rsidP="004925A2">
      <w:pPr>
        <w:pStyle w:val="ListParagraph"/>
        <w:numPr>
          <w:ilvl w:val="0"/>
          <w:numId w:val="12"/>
        </w:numPr>
        <w:spacing w:after="0"/>
      </w:pPr>
      <w:r>
        <w:t>Continue our measured investment in the campus and facilities to further enhance what is already an outstanding environment for learning and living.</w:t>
      </w:r>
    </w:p>
    <w:p w14:paraId="36706324" w14:textId="77777777" w:rsidR="004925A2" w:rsidRDefault="004925A2" w:rsidP="004925A2">
      <w:pPr>
        <w:spacing w:after="0"/>
      </w:pPr>
    </w:p>
    <w:p w14:paraId="4152C5F2" w14:textId="77777777" w:rsidR="00EF1FD5" w:rsidRDefault="00EF1FD5" w:rsidP="00EF1FD5">
      <w:pPr>
        <w:pStyle w:val="Heading2"/>
        <w:rPr>
          <w:rFonts w:ascii="Times New Roman" w:hAnsi="Times New Roman"/>
        </w:rPr>
      </w:pPr>
      <w:bookmarkStart w:id="3" w:name="_Toc152573691"/>
      <w:r>
        <w:t>Values</w:t>
      </w:r>
      <w:bookmarkEnd w:id="3"/>
    </w:p>
    <w:p w14:paraId="1F80B0B4" w14:textId="77777777" w:rsidR="00EF1FD5" w:rsidRPr="00EF1FD5" w:rsidRDefault="00EF1FD5" w:rsidP="00EF1FD5">
      <w:r w:rsidRPr="00EF1FD5">
        <w:t>Our values are the strong thread which connects every commitment we make.</w:t>
      </w:r>
    </w:p>
    <w:p w14:paraId="2707B06D" w14:textId="505CB038" w:rsidR="00EF1FD5" w:rsidRDefault="00EF1FD5" w:rsidP="00EF1FD5">
      <w:r>
        <w:t xml:space="preserve">Implicit in our core values is the very real sense that everything we do matters; that as a </w:t>
      </w:r>
      <w:proofErr w:type="gramStart"/>
      <w:r>
        <w:t>University</w:t>
      </w:r>
      <w:proofErr w:type="gramEnd"/>
      <w:r>
        <w:t>, our commitment to our students, our staff and our stakeholders is clear, ethical and unequivocal. Our approach is inclusive; we celebrate diversity and will tirelessly strive to enhance the life opportunities that a good education provides for our students.</w:t>
      </w:r>
    </w:p>
    <w:p w14:paraId="6D080090" w14:textId="77777777" w:rsidR="00EF1FD5" w:rsidRDefault="00EF1FD5" w:rsidP="00EF1FD5">
      <w:r>
        <w:t xml:space="preserve">The University will aim to be both financially and environmentally sustainable, seeking always to reinvest our resources to enhance: the student experience; our research capacity; our engagement with the public and third sectors, business and the region; and our commitment to our local communities. We will be decisive and focused </w:t>
      </w:r>
      <w:proofErr w:type="gramStart"/>
      <w:r>
        <w:t>in</w:t>
      </w:r>
      <w:proofErr w:type="gramEnd"/>
      <w:r>
        <w:t xml:space="preserve"> all we do, and plan with a realistic ambition founded on our strong progress to date.</w:t>
      </w:r>
    </w:p>
    <w:p w14:paraId="670A92A4" w14:textId="77777777" w:rsidR="00EF1FD5" w:rsidRDefault="00EF1FD5" w:rsidP="004925A2">
      <w:pPr>
        <w:spacing w:after="0"/>
      </w:pPr>
      <w:r>
        <w:t>The Edge Hill community will:</w:t>
      </w:r>
    </w:p>
    <w:p w14:paraId="1BA88103" w14:textId="77777777" w:rsidR="00EF1FD5" w:rsidRDefault="00EF1FD5" w:rsidP="004925A2">
      <w:pPr>
        <w:pStyle w:val="ListParagraph"/>
        <w:numPr>
          <w:ilvl w:val="0"/>
          <w:numId w:val="13"/>
        </w:numPr>
        <w:spacing w:after="0"/>
      </w:pPr>
      <w:r>
        <w:lastRenderedPageBreak/>
        <w:t>embrace challenge and seize opportunity</w:t>
      </w:r>
    </w:p>
    <w:p w14:paraId="2A6A04FE" w14:textId="77777777" w:rsidR="00EF1FD5" w:rsidRDefault="00EF1FD5" w:rsidP="004925A2">
      <w:pPr>
        <w:pStyle w:val="ListParagraph"/>
        <w:numPr>
          <w:ilvl w:val="0"/>
          <w:numId w:val="13"/>
        </w:numPr>
        <w:spacing w:after="0"/>
      </w:pPr>
      <w:r>
        <w:t>expect and celebrate creativity and excellence</w:t>
      </w:r>
    </w:p>
    <w:p w14:paraId="404E40E4" w14:textId="77777777" w:rsidR="00EF1FD5" w:rsidRDefault="00EF1FD5" w:rsidP="004925A2">
      <w:pPr>
        <w:pStyle w:val="ListParagraph"/>
        <w:numPr>
          <w:ilvl w:val="0"/>
          <w:numId w:val="13"/>
        </w:numPr>
        <w:spacing w:after="0"/>
      </w:pPr>
      <w:r>
        <w:t>act responsibly and with integrity</w:t>
      </w:r>
    </w:p>
    <w:p w14:paraId="151C42A6" w14:textId="77777777" w:rsidR="00EF1FD5" w:rsidRDefault="00EF1FD5" w:rsidP="004925A2">
      <w:pPr>
        <w:pStyle w:val="ListParagraph"/>
        <w:numPr>
          <w:ilvl w:val="0"/>
          <w:numId w:val="13"/>
        </w:numPr>
        <w:spacing w:after="0"/>
      </w:pPr>
      <w:r>
        <w:t>show determination, resilience, ambition and adaptability</w:t>
      </w:r>
    </w:p>
    <w:p w14:paraId="78358948" w14:textId="3C9F3A79" w:rsidR="00EF1FD5" w:rsidRDefault="00EF1FD5" w:rsidP="004925A2">
      <w:pPr>
        <w:pStyle w:val="ListParagraph"/>
        <w:numPr>
          <w:ilvl w:val="0"/>
          <w:numId w:val="13"/>
        </w:numPr>
        <w:spacing w:after="0"/>
      </w:pPr>
      <w:r>
        <w:t>work together to deliver our Vision</w:t>
      </w:r>
      <w:r w:rsidR="00EE4AA4">
        <w:t>.</w:t>
      </w:r>
    </w:p>
    <w:p w14:paraId="4BDD822F" w14:textId="77777777" w:rsidR="00BE61B3" w:rsidRDefault="00B21A03">
      <w:pPr>
        <w:pStyle w:val="Heading1"/>
      </w:pPr>
      <w:bookmarkStart w:id="4" w:name="_Toc152573692"/>
      <w:r>
        <w:t>Introduction to External Examining at Edge Hill University</w:t>
      </w:r>
      <w:bookmarkEnd w:id="4"/>
    </w:p>
    <w:p w14:paraId="0BD830F9" w14:textId="5B5CB370" w:rsidR="00BE61B3" w:rsidRDefault="00B21A03">
      <w:r>
        <w:t>Degree-awarding bodies are responsible for the quality of their educational programmes and the standard of the awards to which they lead, and the external examiner system within UK higher education is one of the principal means for assuring both. External examiners are expert assessors whose authority is derived from their knowledge of, and qualifications in, their subject disciplines and their experience of conducting assessment at higher education level. The external examiner is also an independent assessor whose judgement will not be compromised by any prior association with the programme team or by a reciprocal arrangement with their home institution.</w:t>
      </w:r>
      <w:r w:rsidR="00D07B09">
        <w:t xml:space="preserve"> </w:t>
      </w:r>
      <w:r w:rsidR="00D07B09" w:rsidRPr="00EE4AA4">
        <w:t>External examiners are expected to act with integrity at all times.</w:t>
      </w:r>
      <w:r w:rsidR="00EE4AA4">
        <w:t xml:space="preserve"> </w:t>
      </w:r>
      <w:r w:rsidR="00EE4AA4" w:rsidRPr="00EE4AA4">
        <w:t xml:space="preserve">The University’s external examiner system addresses the </w:t>
      </w:r>
      <w:proofErr w:type="spellStart"/>
      <w:r w:rsidR="00EE4AA4" w:rsidRPr="00EE4AA4">
        <w:t>OfS’s</w:t>
      </w:r>
      <w:proofErr w:type="spellEnd"/>
      <w:r w:rsidR="00EE4AA4" w:rsidRPr="00EE4AA4">
        <w:t xml:space="preserve"> Ongoing Conditions of Registration and is informed by the QAA Advice and Guidance on the use of external expertise in academic quality assurance</w:t>
      </w:r>
      <w:r w:rsidR="00EE4AA4">
        <w:rPr>
          <w:rStyle w:val="FootnoteReference"/>
        </w:rPr>
        <w:footnoteReference w:id="1"/>
      </w:r>
      <w:r w:rsidR="00EE4AA4" w:rsidRPr="00EE4AA4">
        <w:t>.</w:t>
      </w:r>
    </w:p>
    <w:p w14:paraId="7FDB8982" w14:textId="77777777" w:rsidR="00BE61B3" w:rsidRDefault="00B21A03">
      <w:pPr>
        <w:spacing w:after="0"/>
      </w:pPr>
      <w:r>
        <w:t>External examiners are engaged by the University and provide informative comment and recommendations on:</w:t>
      </w:r>
    </w:p>
    <w:p w14:paraId="24374441" w14:textId="2E70C6ED" w:rsidR="00BE61B3" w:rsidRDefault="00B21A03" w:rsidP="004925A2">
      <w:pPr>
        <w:pStyle w:val="ListParagraph"/>
        <w:numPr>
          <w:ilvl w:val="0"/>
          <w:numId w:val="1"/>
        </w:numPr>
        <w:spacing w:after="0"/>
      </w:pPr>
      <w:r>
        <w:t>Whether the University is maintaining the academic standards it has set for its awards in relation to national threshold standards defined by the Framework for Higher Education Qualifications (FHEQ)</w:t>
      </w:r>
      <w:r w:rsidR="00E50981">
        <w:t xml:space="preserve">, </w:t>
      </w:r>
      <w:r w:rsidR="00E50981" w:rsidRPr="00EE4AA4">
        <w:rPr>
          <w:rFonts w:cs="Calibri"/>
        </w:rPr>
        <w:t>Annex D: Outcome classification descriptions for FHEQ Level 6,</w:t>
      </w:r>
      <w:r>
        <w:t xml:space="preserve"> </w:t>
      </w:r>
      <w:r w:rsidR="00EE4AA4">
        <w:t>S</w:t>
      </w:r>
      <w:r>
        <w:t xml:space="preserve">ubject </w:t>
      </w:r>
      <w:r w:rsidR="00EE4AA4">
        <w:t>B</w:t>
      </w:r>
      <w:r>
        <w:t xml:space="preserve">enchmark </w:t>
      </w:r>
      <w:r w:rsidR="00EE4AA4">
        <w:t>S</w:t>
      </w:r>
      <w:r>
        <w:t>tatements and Edge Hill’s own Academic</w:t>
      </w:r>
      <w:r>
        <w:rPr>
          <w:b/>
        </w:rPr>
        <w:t xml:space="preserve"> </w:t>
      </w:r>
      <w:r>
        <w:t>Regulations</w:t>
      </w:r>
      <w:r w:rsidR="001D0AB0">
        <w:rPr>
          <w:rStyle w:val="FootnoteReference"/>
        </w:rPr>
        <w:footnoteReference w:id="2"/>
      </w:r>
      <w:r>
        <w:t>.</w:t>
      </w:r>
    </w:p>
    <w:p w14:paraId="7742272F" w14:textId="77777777" w:rsidR="00BE61B3" w:rsidRDefault="00B21A03" w:rsidP="004925A2">
      <w:pPr>
        <w:pStyle w:val="ListParagraph"/>
        <w:numPr>
          <w:ilvl w:val="0"/>
          <w:numId w:val="1"/>
        </w:numPr>
        <w:spacing w:after="0"/>
      </w:pPr>
      <w:r>
        <w:t>Comparability of academic standards and student achievement with other UK higher education providers.</w:t>
      </w:r>
    </w:p>
    <w:p w14:paraId="3FE63168" w14:textId="77777777" w:rsidR="00BE61B3" w:rsidRDefault="00B21A03" w:rsidP="004925A2">
      <w:pPr>
        <w:pStyle w:val="ListParagraph"/>
        <w:numPr>
          <w:ilvl w:val="0"/>
          <w:numId w:val="1"/>
        </w:numPr>
        <w:spacing w:after="0"/>
      </w:pPr>
      <w:r>
        <w:t>The rigour, equity and fairness of assessment of intended learning outcomes</w:t>
      </w:r>
      <w:r w:rsidR="001D0AB0">
        <w:rPr>
          <w:rStyle w:val="FootnoteReference"/>
        </w:rPr>
        <w:footnoteReference w:id="3"/>
      </w:r>
      <w:r>
        <w:t>.</w:t>
      </w:r>
    </w:p>
    <w:p w14:paraId="7D023C04" w14:textId="77777777" w:rsidR="00BE61B3" w:rsidRDefault="00B21A03" w:rsidP="004925A2">
      <w:pPr>
        <w:pStyle w:val="ListParagraph"/>
        <w:numPr>
          <w:ilvl w:val="0"/>
          <w:numId w:val="1"/>
        </w:numPr>
        <w:spacing w:after="0"/>
      </w:pPr>
      <w:r>
        <w:t>The quality of summative written feedback to students.</w:t>
      </w:r>
    </w:p>
    <w:p w14:paraId="59C57278" w14:textId="77777777" w:rsidR="00BE61B3" w:rsidRDefault="00B21A03" w:rsidP="004925A2">
      <w:pPr>
        <w:pStyle w:val="ListParagraph"/>
        <w:numPr>
          <w:ilvl w:val="0"/>
          <w:numId w:val="1"/>
        </w:numPr>
        <w:spacing w:after="0"/>
      </w:pPr>
      <w:r>
        <w:t>The conduct and transparency of assessment processes including internal moderation and the operation of assessment boards.</w:t>
      </w:r>
    </w:p>
    <w:p w14:paraId="06C539BE" w14:textId="01DF4DF8" w:rsidR="00BE61B3" w:rsidRDefault="00B21A03" w:rsidP="004925A2">
      <w:pPr>
        <w:pStyle w:val="ListParagraph"/>
        <w:numPr>
          <w:ilvl w:val="0"/>
          <w:numId w:val="1"/>
        </w:numPr>
        <w:spacing w:after="0"/>
      </w:pPr>
      <w:r>
        <w:t>Evidence of good practice and innovation in learning, teaching and assessment and opportunities to enhance the quality of learning opportunities provided to students.</w:t>
      </w:r>
    </w:p>
    <w:p w14:paraId="5D0FD9B2" w14:textId="77777777" w:rsidR="004925A2" w:rsidRDefault="004925A2" w:rsidP="004925A2">
      <w:pPr>
        <w:spacing w:after="0"/>
      </w:pPr>
    </w:p>
    <w:p w14:paraId="5744E0D3" w14:textId="77777777" w:rsidR="00BE61B3" w:rsidRDefault="00B21A03">
      <w:r>
        <w:t>Examiners produce a report on the programme/modules to which they have been assigned that year and attend the relevant assessment boards where access to complete student profiles enables them to confirm standards at qualification award level.</w:t>
      </w:r>
    </w:p>
    <w:p w14:paraId="0871DE57" w14:textId="066FE2B7" w:rsidR="00BE61B3" w:rsidRDefault="00B21A03">
      <w:r>
        <w:t xml:space="preserve">This </w:t>
      </w:r>
      <w:r w:rsidR="004925A2">
        <w:t>h</w:t>
      </w:r>
      <w:r>
        <w:t xml:space="preserve">andbook is designed for use by approved Edge Hill external examiners. It is important to note that this is a guide to the work an external examiner will be required to undertake. It may be changed from time to time to meet changing circumstances. Further information about the external </w:t>
      </w:r>
      <w:r>
        <w:lastRenderedPageBreak/>
        <w:t>examiner system, including the process of nomination and engagement of external examiners, is available in Chapter 2 of the Quality Management Handbook</w:t>
      </w:r>
      <w:r w:rsidR="001D0AB0">
        <w:rPr>
          <w:rStyle w:val="FootnoteReference"/>
        </w:rPr>
        <w:footnoteReference w:id="4"/>
      </w:r>
      <w:r>
        <w:t>.</w:t>
      </w:r>
    </w:p>
    <w:p w14:paraId="136B615C" w14:textId="77777777" w:rsidR="00BE61B3" w:rsidRDefault="00B21A03">
      <w:pPr>
        <w:pStyle w:val="Heading1"/>
      </w:pPr>
      <w:bookmarkStart w:id="5" w:name="_Toc152573693"/>
      <w:r>
        <w:t>Roles and Responsibilities</w:t>
      </w:r>
      <w:bookmarkEnd w:id="5"/>
    </w:p>
    <w:p w14:paraId="1982D147" w14:textId="667CFE13" w:rsidR="00BE61B3" w:rsidRDefault="00B21A03">
      <w:r>
        <w:t xml:space="preserve">Typical responsibilities of an Edge Hill University external examiner are indicated below, and the </w:t>
      </w:r>
      <w:r w:rsidR="00C605E9">
        <w:t>Governance, Quality Assurance and Student Casework department</w:t>
      </w:r>
      <w:r>
        <w:t>, Facilities, academic departments and programme teams ensure that appropriate arrangements are in place to support those engaged in discharging them. Programme teams provide their examiners with the information they need to perform their role as and when required (see below).</w:t>
      </w:r>
    </w:p>
    <w:p w14:paraId="4AA355E0" w14:textId="77777777" w:rsidR="00BE61B3" w:rsidRDefault="00B21A03">
      <w:pPr>
        <w:pStyle w:val="Heading2"/>
      </w:pPr>
      <w:bookmarkStart w:id="6" w:name="_Toc152573694"/>
      <w:r>
        <w:t>Primary role of external examiners</w:t>
      </w:r>
      <w:bookmarkEnd w:id="6"/>
    </w:p>
    <w:p w14:paraId="77225E58" w14:textId="77777777" w:rsidR="00BE61B3" w:rsidRDefault="00B21A03">
      <w:r>
        <w:t>The main responsibility of external examiners at Edge Hill University is to confirm that academic standards are appropriately set and maintained and therefore, their principal duties are to:</w:t>
      </w:r>
    </w:p>
    <w:p w14:paraId="7C8A4C5A" w14:textId="05EF1F9E" w:rsidR="00BE61B3" w:rsidRDefault="00B21A03" w:rsidP="004925A2">
      <w:pPr>
        <w:pStyle w:val="ListParagraph"/>
        <w:numPr>
          <w:ilvl w:val="0"/>
          <w:numId w:val="2"/>
        </w:numPr>
        <w:spacing w:after="0"/>
      </w:pPr>
      <w:r>
        <w:t xml:space="preserve">Review and approve examination </w:t>
      </w:r>
      <w:r w:rsidRPr="00894571">
        <w:t>papers</w:t>
      </w:r>
      <w:r w:rsidR="00DB0490" w:rsidRPr="00894571">
        <w:t xml:space="preserve"> in a timely manner</w:t>
      </w:r>
      <w:r w:rsidRPr="00894571">
        <w:t xml:space="preserve"> that</w:t>
      </w:r>
      <w:r>
        <w:t xml:space="preserve"> contribute to a student’s final award and any other assessment material as agreed between the examiner and the programme team.</w:t>
      </w:r>
    </w:p>
    <w:p w14:paraId="60A01899" w14:textId="77777777" w:rsidR="00BE61B3" w:rsidRDefault="00B21A03" w:rsidP="004925A2">
      <w:pPr>
        <w:pStyle w:val="ListParagraph"/>
        <w:numPr>
          <w:ilvl w:val="0"/>
          <w:numId w:val="2"/>
        </w:numPr>
        <w:spacing w:after="0"/>
      </w:pPr>
      <w:r>
        <w:t>Review and approve the content, learning outcomes and assessment of negotiated learning modules leading to the award of Student-Initiated Credit.</w:t>
      </w:r>
    </w:p>
    <w:p w14:paraId="78DC81D1" w14:textId="77777777" w:rsidR="00BE61B3" w:rsidRDefault="00B21A03" w:rsidP="004925A2">
      <w:pPr>
        <w:pStyle w:val="ListParagraph"/>
        <w:numPr>
          <w:ilvl w:val="0"/>
          <w:numId w:val="2"/>
        </w:numPr>
        <w:spacing w:after="0"/>
      </w:pPr>
      <w:r>
        <w:t>Moderate samples of work that have been marked and internally moderated</w:t>
      </w:r>
      <w:r w:rsidR="001D0AB0">
        <w:rPr>
          <w:rStyle w:val="FootnoteReference"/>
        </w:rPr>
        <w:footnoteReference w:id="5"/>
      </w:r>
      <w:r>
        <w:t xml:space="preserve"> in order to be satisfied that students have been graded fairly through the use of marking criteria and in accordance with the University’s Academic Regulations.</w:t>
      </w:r>
    </w:p>
    <w:p w14:paraId="3E6D1FC5" w14:textId="77777777" w:rsidR="00BE61B3" w:rsidRDefault="00B21A03" w:rsidP="004925A2">
      <w:pPr>
        <w:pStyle w:val="ListParagraph"/>
        <w:numPr>
          <w:ilvl w:val="0"/>
          <w:numId w:val="2"/>
        </w:numPr>
        <w:spacing w:after="0"/>
      </w:pPr>
      <w:r>
        <w:t>In their reports:</w:t>
      </w:r>
    </w:p>
    <w:p w14:paraId="7B689152" w14:textId="77777777" w:rsidR="00BE61B3" w:rsidRDefault="00B21A03" w:rsidP="004925A2">
      <w:pPr>
        <w:pStyle w:val="ListParagraph"/>
        <w:numPr>
          <w:ilvl w:val="0"/>
          <w:numId w:val="3"/>
        </w:numPr>
        <w:spacing w:after="0"/>
      </w:pPr>
      <w:r>
        <w:t>Confirm that national threshold standards</w:t>
      </w:r>
      <w:r w:rsidR="001D0AB0">
        <w:rPr>
          <w:rStyle w:val="FootnoteReference"/>
        </w:rPr>
        <w:footnoteReference w:id="6"/>
      </w:r>
      <w:r>
        <w:t xml:space="preserve"> are being met or exceeded and that students have achieved the intended learning outcomes for the award of credit and qualifications.</w:t>
      </w:r>
    </w:p>
    <w:p w14:paraId="759BDEF0" w14:textId="77777777" w:rsidR="00BE61B3" w:rsidRDefault="00B21A03" w:rsidP="004925A2">
      <w:pPr>
        <w:pStyle w:val="ListParagraph"/>
        <w:numPr>
          <w:ilvl w:val="0"/>
          <w:numId w:val="3"/>
        </w:numPr>
        <w:spacing w:after="0"/>
      </w:pPr>
      <w:r>
        <w:t>(Beyond threshold standard) Provide advisory comment on comparability of standards with other higher education programmes of the same subject/</w:t>
      </w:r>
      <w:proofErr w:type="gramStart"/>
      <w:r>
        <w:t>level;</w:t>
      </w:r>
      <w:proofErr w:type="gramEnd"/>
    </w:p>
    <w:p w14:paraId="77C4899B" w14:textId="77777777" w:rsidR="00BE61B3" w:rsidRDefault="00B21A03" w:rsidP="004925A2">
      <w:pPr>
        <w:pStyle w:val="ListParagraph"/>
        <w:numPr>
          <w:ilvl w:val="0"/>
          <w:numId w:val="3"/>
        </w:numPr>
        <w:spacing w:after="0"/>
      </w:pPr>
      <w:r>
        <w:t xml:space="preserve">Provide advisory comment on the standard of marking and moderation and the quality of feedback to students for programme teams, departments and Faculties to act </w:t>
      </w:r>
      <w:proofErr w:type="gramStart"/>
      <w:r>
        <w:t>upon;</w:t>
      </w:r>
      <w:proofErr w:type="gramEnd"/>
    </w:p>
    <w:p w14:paraId="49DFF937" w14:textId="395250EC" w:rsidR="00BE61B3" w:rsidRDefault="00B21A03" w:rsidP="004925A2">
      <w:pPr>
        <w:pStyle w:val="ListParagraph"/>
        <w:numPr>
          <w:ilvl w:val="0"/>
          <w:numId w:val="3"/>
        </w:numPr>
        <w:spacing w:after="0"/>
      </w:pPr>
      <w:r>
        <w:t>Provide advisory comment on assessment processes including the operation of assessment boards for the University to act upon.</w:t>
      </w:r>
    </w:p>
    <w:p w14:paraId="25F743C1" w14:textId="77777777" w:rsidR="004925A2" w:rsidRDefault="004925A2" w:rsidP="004925A2">
      <w:pPr>
        <w:spacing w:after="0"/>
      </w:pPr>
    </w:p>
    <w:p w14:paraId="3068A134" w14:textId="77777777" w:rsidR="00BE61B3" w:rsidRDefault="00B21A03">
      <w:pPr>
        <w:pStyle w:val="Heading2"/>
      </w:pPr>
      <w:bookmarkStart w:id="8" w:name="_Toc152573695"/>
      <w:r>
        <w:t>Secondary Role of external examiners</w:t>
      </w:r>
      <w:bookmarkEnd w:id="8"/>
    </w:p>
    <w:p w14:paraId="38FD02C9" w14:textId="77777777" w:rsidR="00BE61B3" w:rsidRDefault="00B21A03">
      <w:pPr>
        <w:spacing w:after="0"/>
      </w:pPr>
      <w:r>
        <w:t>In addition to their principal duties, external examiners are also expected to assist programme teams and the University by being available to:</w:t>
      </w:r>
    </w:p>
    <w:p w14:paraId="5D60AA04" w14:textId="77777777" w:rsidR="00BE61B3" w:rsidRDefault="00B21A03" w:rsidP="004925A2">
      <w:pPr>
        <w:pStyle w:val="ListParagraph"/>
        <w:numPr>
          <w:ilvl w:val="0"/>
          <w:numId w:val="4"/>
        </w:numPr>
        <w:spacing w:after="0"/>
      </w:pPr>
      <w:r>
        <w:t>Comment and advise upon the content, teaching and assessment of modules and programmes, commenting specifically on the continuing currency of modules</w:t>
      </w:r>
      <w:r w:rsidR="00662B1A">
        <w:rPr>
          <w:rStyle w:val="FootnoteReference"/>
        </w:rPr>
        <w:footnoteReference w:id="7"/>
      </w:r>
      <w:r>
        <w:t>.</w:t>
      </w:r>
    </w:p>
    <w:p w14:paraId="606742DA" w14:textId="77777777" w:rsidR="00BE61B3" w:rsidRDefault="00B21A03" w:rsidP="004925A2">
      <w:pPr>
        <w:pStyle w:val="ListParagraph"/>
        <w:numPr>
          <w:ilvl w:val="0"/>
          <w:numId w:val="4"/>
        </w:numPr>
        <w:spacing w:after="0"/>
      </w:pPr>
      <w:r>
        <w:t>Comment on proposed modifications to, and re-validations of, modules and programmes.</w:t>
      </w:r>
    </w:p>
    <w:p w14:paraId="747C9882" w14:textId="1CD285E5" w:rsidR="00BE61B3" w:rsidRDefault="00B21A03" w:rsidP="004925A2">
      <w:pPr>
        <w:pStyle w:val="ListParagraph"/>
        <w:numPr>
          <w:ilvl w:val="0"/>
          <w:numId w:val="4"/>
        </w:numPr>
        <w:spacing w:after="0"/>
      </w:pPr>
      <w:r>
        <w:lastRenderedPageBreak/>
        <w:t>Be consulted about any proposed changes to the progression and assessment regulations for the provision for which they are responsible.</w:t>
      </w:r>
    </w:p>
    <w:p w14:paraId="53675CB6" w14:textId="77777777" w:rsidR="004925A2" w:rsidRDefault="004925A2" w:rsidP="004925A2">
      <w:pPr>
        <w:spacing w:after="0"/>
      </w:pPr>
    </w:p>
    <w:p w14:paraId="6AF3A1F8" w14:textId="77777777" w:rsidR="00BE61B3" w:rsidRDefault="00B21A03">
      <w:r>
        <w:t xml:space="preserve">The University’s quality assurance system also provides for the commissioning of ad hoc reports to which external examiners may occasionally be asked to contribute, e.g. on the implications of academic, regulatory or market developments that may impact the subject area and/or qualification for which they are responsible. </w:t>
      </w:r>
    </w:p>
    <w:p w14:paraId="1F9992EB" w14:textId="77777777" w:rsidR="00BE61B3" w:rsidRDefault="00B21A03">
      <w:pPr>
        <w:pStyle w:val="Heading2"/>
      </w:pPr>
      <w:bookmarkStart w:id="9" w:name="_Toc152573696"/>
      <w:r>
        <w:t>Allocation and changes to coverage of academic provision</w:t>
      </w:r>
      <w:bookmarkEnd w:id="9"/>
    </w:p>
    <w:p w14:paraId="61A60388" w14:textId="5B4C35BA" w:rsidR="00BE61B3" w:rsidRDefault="00B21A03">
      <w:r>
        <w:t>External examiners are allocated to all Edge Hill University modules that lead to the award of credit at FHEQ level 5 and above</w:t>
      </w:r>
      <w:r w:rsidR="00662B1A">
        <w:rPr>
          <w:rStyle w:val="FootnoteReference"/>
        </w:rPr>
        <w:footnoteReference w:id="8"/>
      </w:r>
      <w:r>
        <w:t xml:space="preserve">. </w:t>
      </w:r>
      <w:proofErr w:type="gramStart"/>
      <w:r>
        <w:t>With the exception of</w:t>
      </w:r>
      <w:proofErr w:type="gramEnd"/>
      <w:r>
        <w:t xml:space="preserve"> dissertation, project and ‘shell’ modules where a range of subject expertise may be required, no module is normally allocated more than one examiner except where the number of students makes sampling too large for a single examiner and in such cases, examiners work together to ensure parity and consistency in moderation. A single programme delivered across multiple sites, e.g. by partner organisations, is normally assigned the same examiner. Changes to the diet of modules covered by external examiners during their term of engagement are negotiated with them.</w:t>
      </w:r>
    </w:p>
    <w:p w14:paraId="38E26128" w14:textId="77777777" w:rsidR="00BE61B3" w:rsidRDefault="00B21A03">
      <w:pPr>
        <w:pStyle w:val="Heading2"/>
      </w:pPr>
      <w:bookmarkStart w:id="10" w:name="_Toc152573697"/>
      <w:r>
        <w:t>Attendance</w:t>
      </w:r>
      <w:bookmarkEnd w:id="10"/>
    </w:p>
    <w:p w14:paraId="5FB612D2" w14:textId="19BD167D" w:rsidR="00BE61B3" w:rsidRDefault="00B21A03">
      <w:r>
        <w:t>Examiners normally visit the University at least once a year to moderate assessed coursework and examination scripts although further mid-year visits may be required for programmes with a performance, practical or professional element or for cohorts with variable/multiple or non-standard completion times. Module examiners attend module assessment boards where the detailed discussion of academic standards takes place. In the Faculty of Arts and Sciences, Award Board Examiners ensure the rigour of the process underpinning the conferment of awards through the application of the Academic Regulations. Chief External Examiners</w:t>
      </w:r>
      <w:r w:rsidR="00EF1FD5">
        <w:t xml:space="preserve"> may also </w:t>
      </w:r>
      <w:r>
        <w:t xml:space="preserve">represent programme examiners at progression and award boards and ensure the rigour of the process underpinning the conferment of awards. In the Faculty of Health and Social Care where module and progression and award boards are combined, all examiners are in attendance and have access to complete student profiles to confirm process and standards at award level. For the Integrated </w:t>
      </w:r>
      <w:proofErr w:type="gramStart"/>
      <w:r>
        <w:t>Masters in Nursing and Social Work</w:t>
      </w:r>
      <w:proofErr w:type="gramEnd"/>
      <w:r>
        <w:t>, a Chief External Examiner coordinates the moderation activities of profession and field-specific examiners as agreed with the relevant professional regulatory bodies. If, for an exceptional reason, examiners are unable to attend any of the assessment boards they are requested to be available by other means such as via teleconference or Skype.</w:t>
      </w:r>
    </w:p>
    <w:p w14:paraId="66FCF394" w14:textId="77777777" w:rsidR="00BE61B3" w:rsidRDefault="00B21A03">
      <w:r>
        <w:t>External examiners of practice-based programmes, typically in Initial Teacher Education, may be required to visit placement settings (schools) to meet with students and mentors. Otherwise, there is no general expectation that examiners will meet with students although they may do so on request. Faculties will determine the arrangements by which examiners may engage directly with students, notifying these formally to the External Examiners Sub-Committee and Academic Quality Enhancement Committee and making sure that examiners are aware of them.</w:t>
      </w:r>
    </w:p>
    <w:p w14:paraId="16983790" w14:textId="77777777" w:rsidR="00BE61B3" w:rsidRDefault="00B21A03">
      <w:pPr>
        <w:pStyle w:val="Heading2"/>
      </w:pPr>
      <w:bookmarkStart w:id="11" w:name="_Toc152573698"/>
      <w:r>
        <w:lastRenderedPageBreak/>
        <w:t>Moderation</w:t>
      </w:r>
      <w:bookmarkEnd w:id="11"/>
    </w:p>
    <w:p w14:paraId="68985FB5" w14:textId="77777777" w:rsidR="00BE61B3" w:rsidRDefault="00B21A03">
      <w:r>
        <w:t xml:space="preserve">In addition to programme and module handbooks, programme teams supply their examiners with examination papers and assignment specifications, marking criteria and a record of marks for each assessment item. </w:t>
      </w:r>
    </w:p>
    <w:p w14:paraId="389C9F23" w14:textId="77777777" w:rsidR="00BE61B3" w:rsidRDefault="00B21A03">
      <w:pPr>
        <w:spacing w:after="0"/>
      </w:pPr>
      <w:r>
        <w:rPr>
          <w:szCs w:val="20"/>
        </w:rPr>
        <w:t>External moderation by external examiners should not replicate internal procedure</w:t>
      </w:r>
      <w:r w:rsidR="003E780F">
        <w:rPr>
          <w:rStyle w:val="FootnoteReference"/>
          <w:szCs w:val="20"/>
        </w:rPr>
        <w:footnoteReference w:id="9"/>
      </w:r>
      <w:r>
        <w:rPr>
          <w:szCs w:val="20"/>
        </w:rPr>
        <w:t xml:space="preserve"> but rather verify that they are operating fairly and consistently such that there may be confidence that threshold academic standards are being achieved or exceeded by students, and that student outcomes (grade classifications) above the threshold are comparable with providers of similar courses. External examiners will be provided with, or have access to, all of the </w:t>
      </w:r>
      <w:proofErr w:type="gramStart"/>
      <w:r>
        <w:rPr>
          <w:szCs w:val="20"/>
        </w:rPr>
        <w:t>internally-moderated</w:t>
      </w:r>
      <w:proofErr w:type="gramEnd"/>
      <w:r>
        <w:rPr>
          <w:szCs w:val="20"/>
        </w:rPr>
        <w:t xml:space="preserve"> work from each module</w:t>
      </w:r>
      <w:r w:rsidR="003E780F">
        <w:rPr>
          <w:rStyle w:val="FootnoteReference"/>
          <w:szCs w:val="20"/>
        </w:rPr>
        <w:footnoteReference w:id="10"/>
      </w:r>
      <w:r>
        <w:rPr>
          <w:szCs w:val="20"/>
        </w:rPr>
        <w:t xml:space="preserve"> to which they are assigned</w:t>
      </w:r>
      <w:r w:rsidR="003E780F">
        <w:rPr>
          <w:rStyle w:val="FootnoteReference"/>
          <w:szCs w:val="20"/>
        </w:rPr>
        <w:footnoteReference w:id="11"/>
      </w:r>
      <w:r>
        <w:rPr>
          <w:b/>
          <w:szCs w:val="20"/>
        </w:rPr>
        <w:t xml:space="preserve"> </w:t>
      </w:r>
      <w:r>
        <w:rPr>
          <w:szCs w:val="20"/>
        </w:rPr>
        <w:t>however it is unnecessary that they review each individual item and rather will ‘</w:t>
      </w:r>
      <w:r w:rsidRPr="00B21A03">
        <w:rPr>
          <w:szCs w:val="20"/>
        </w:rPr>
        <w:t xml:space="preserve">sample the sample’ </w:t>
      </w:r>
      <w:r>
        <w:rPr>
          <w:szCs w:val="20"/>
        </w:rPr>
        <w:t>sufficient to establish that, in their judgement:</w:t>
      </w:r>
    </w:p>
    <w:p w14:paraId="6B91C945" w14:textId="77777777" w:rsidR="00BE61B3" w:rsidRDefault="00B21A03" w:rsidP="004538AC">
      <w:pPr>
        <w:pStyle w:val="ListParagraph"/>
        <w:numPr>
          <w:ilvl w:val="0"/>
          <w:numId w:val="5"/>
        </w:numPr>
        <w:spacing w:after="0"/>
        <w:rPr>
          <w:szCs w:val="20"/>
        </w:rPr>
      </w:pPr>
      <w:r>
        <w:rPr>
          <w:szCs w:val="20"/>
        </w:rPr>
        <w:t xml:space="preserve">Internal moderation, and by extension module marking have been effective and resulted in fair assessment decisions in line with published marking criteria. Other than at the boundaries of grade classifications, a difference of opinion with internal markers/moderators of + or – 2 marks will not normally warrant additional comment. </w:t>
      </w:r>
    </w:p>
    <w:p w14:paraId="52E347D0" w14:textId="77777777" w:rsidR="00BE61B3" w:rsidRDefault="00B21A03" w:rsidP="004538AC">
      <w:pPr>
        <w:pStyle w:val="ListParagraph"/>
        <w:numPr>
          <w:ilvl w:val="0"/>
          <w:numId w:val="5"/>
        </w:numPr>
        <w:rPr>
          <w:szCs w:val="20"/>
        </w:rPr>
      </w:pPr>
      <w:r>
        <w:rPr>
          <w:szCs w:val="20"/>
        </w:rPr>
        <w:t xml:space="preserve">Assessment feedback is of high quality and developmental and aligned with Intended Learning Outcomes and marking criteria and the grades award to students. </w:t>
      </w:r>
    </w:p>
    <w:p w14:paraId="7446D831" w14:textId="77777777" w:rsidR="00BE61B3" w:rsidRDefault="00B21A03">
      <w:pPr>
        <w:rPr>
          <w:szCs w:val="20"/>
        </w:rPr>
      </w:pPr>
      <w:r>
        <w:rPr>
          <w:szCs w:val="20"/>
        </w:rPr>
        <w:t xml:space="preserve">Where the examiner only visits the University for the assessment board, the programme team arranges for them to receive the samples in good time beforehand. Any work likely to be the subject of discussion at a module assessment board should be provided to the examiner in advance of the board, having already been assessed by no fewer than two internal markers. Where there is a significant difference between first and seconder markers, it is expected that programme teams should have taken steps to resolve this internally. Examiners have the right to request additional samples of work where an equity issue has been highlighted. In exceptional cases, examiners may be asked to act as arbitrators on borderline cases or may seek to implement changes to marks, taking due account of the effect of such changes on an entire student cohort. </w:t>
      </w:r>
    </w:p>
    <w:p w14:paraId="5CE0C3A3" w14:textId="77777777" w:rsidR="00BE61B3" w:rsidRDefault="00B21A03">
      <w:pPr>
        <w:rPr>
          <w:szCs w:val="20"/>
        </w:rPr>
      </w:pPr>
      <w:r>
        <w:rPr>
          <w:szCs w:val="20"/>
        </w:rPr>
        <w:t>In specific relation to re-assessment, external moderation of students’ referred work is not routinely necessary, although an external examiner presence is required at re-assessment boards to oversee the application of the Academic Regulations (which may be the Award Board Examiner or Chief Examiner or a representative of the department/subject’s programme examiners).</w:t>
      </w:r>
    </w:p>
    <w:p w14:paraId="35BE3D86" w14:textId="77777777" w:rsidR="00BE61B3" w:rsidRDefault="00B21A03">
      <w:pPr>
        <w:rPr>
          <w:szCs w:val="20"/>
        </w:rPr>
      </w:pPr>
      <w:r>
        <w:rPr>
          <w:szCs w:val="20"/>
        </w:rPr>
        <w:t>Faculties involve external examiners in sampling the assessment of portfolios that accompany claims for Recognition of Prior Experimental Learning (RPEL).</w:t>
      </w:r>
    </w:p>
    <w:p w14:paraId="5E4B1A70" w14:textId="77777777" w:rsidR="00BE61B3" w:rsidRDefault="00B21A03">
      <w:pPr>
        <w:pStyle w:val="Heading2"/>
      </w:pPr>
      <w:bookmarkStart w:id="12" w:name="_Toc152573699"/>
      <w:r>
        <w:t>Annual Reports</w:t>
      </w:r>
      <w:bookmarkEnd w:id="12"/>
    </w:p>
    <w:p w14:paraId="024235F3" w14:textId="5D3DB9B9" w:rsidR="00BE61B3" w:rsidRDefault="00B21A03">
      <w:r>
        <w:t>In producing their annual reports examiners comment on the fairness and consistency of assessment boards’ decisions and their adherence to the Academic Regulations including the use of discretion and treatment of extenuating mitigating circumstances claims and cases of academic malpractice.</w:t>
      </w:r>
    </w:p>
    <w:p w14:paraId="7743D11B" w14:textId="77777777" w:rsidR="00BE61B3" w:rsidRDefault="00B21A03">
      <w:pPr>
        <w:pStyle w:val="Heading1"/>
      </w:pPr>
      <w:bookmarkStart w:id="13" w:name="_Toc152573700"/>
      <w:r>
        <w:lastRenderedPageBreak/>
        <w:t>General Information for External Examiners</w:t>
      </w:r>
      <w:bookmarkEnd w:id="13"/>
    </w:p>
    <w:p w14:paraId="7FB9EBAC" w14:textId="77777777" w:rsidR="00BE61B3" w:rsidRDefault="00B21A03">
      <w:pPr>
        <w:pStyle w:val="Heading2"/>
      </w:pPr>
      <w:bookmarkStart w:id="14" w:name="_Toc152573701"/>
      <w:r>
        <w:t>Period of Engagement</w:t>
      </w:r>
      <w:bookmarkEnd w:id="14"/>
    </w:p>
    <w:p w14:paraId="1A9310DC" w14:textId="77777777" w:rsidR="00BE61B3" w:rsidRDefault="00B21A03">
      <w:r>
        <w:t xml:space="preserve">External examiners are typically placed on the Edge Hill University External Examiners’ Register for a period of four academic sessions. In certain circumstances and in the interests of students, external examiners’ engagement may be extended by a further academic session by mutual agreement. </w:t>
      </w:r>
    </w:p>
    <w:p w14:paraId="16FA86A4" w14:textId="2C93AD31" w:rsidR="00BE61B3" w:rsidRDefault="00B21A03">
      <w:r>
        <w:t xml:space="preserve">Occasionally, a programme may be closed before the end of the expected period of engagement. In such cases the external examiner will be formally notified by the </w:t>
      </w:r>
      <w:r w:rsidR="009B7612">
        <w:t>Academic Quality Officer</w:t>
      </w:r>
      <w:r>
        <w:t xml:space="preserve">. </w:t>
      </w:r>
    </w:p>
    <w:p w14:paraId="240BF654" w14:textId="77777777" w:rsidR="00BE61B3" w:rsidRDefault="00B21A03">
      <w:r>
        <w:t>Where an external examiner ceases to be employed</w:t>
      </w:r>
      <w:r w:rsidR="003E780F">
        <w:rPr>
          <w:rStyle w:val="FootnoteReference"/>
        </w:rPr>
        <w:footnoteReference w:id="12"/>
      </w:r>
      <w:r>
        <w:t xml:space="preserve"> elsewhere, they should notify the University and may continue to engage for a maximum of two further academic sessions if they have not resumed relevant employment</w:t>
      </w:r>
      <w:r w:rsidR="003E780F">
        <w:rPr>
          <w:rStyle w:val="FootnoteReference"/>
        </w:rPr>
        <w:footnoteReference w:id="13"/>
      </w:r>
      <w:r>
        <w:t xml:space="preserve"> in the meantime. </w:t>
      </w:r>
    </w:p>
    <w:p w14:paraId="79F5C98E" w14:textId="77777777" w:rsidR="00BE61B3" w:rsidRDefault="00B21A03">
      <w:pPr>
        <w:pStyle w:val="Heading2"/>
      </w:pPr>
      <w:bookmarkStart w:id="15" w:name="_Toc152573702"/>
      <w:r>
        <w:t>External Examiners’ Induction</w:t>
      </w:r>
      <w:bookmarkEnd w:id="15"/>
    </w:p>
    <w:p w14:paraId="65425301" w14:textId="69FA8D79" w:rsidR="00BE61B3" w:rsidRDefault="00B21A03">
      <w:bookmarkStart w:id="16" w:name="_Hlk528933546"/>
      <w:r>
        <w:t xml:space="preserve">The annual External Examiners’ Induction for new and existing examiners is organised by the </w:t>
      </w:r>
      <w:r w:rsidR="00C605E9">
        <w:t xml:space="preserve">Governance, Quality Assurance and Student Casework department </w:t>
      </w:r>
      <w:r>
        <w:t>and held in January which provides an opportunity to meet with the host departments and network with other examiners. Sessions cover the role of the external examiner in UK higher education</w:t>
      </w:r>
      <w:r w:rsidR="00673090">
        <w:t>, navigating the VLE and</w:t>
      </w:r>
      <w:r>
        <w:t xml:space="preserve"> national reference points (FHEQ and QAA subject benchmarks). This may be </w:t>
      </w:r>
      <w:proofErr w:type="gramStart"/>
      <w:r>
        <w:t>video-recorded</w:t>
      </w:r>
      <w:proofErr w:type="gramEnd"/>
      <w:r>
        <w:t xml:space="preserve"> for subsequent viewing </w:t>
      </w:r>
      <w:r w:rsidR="00D0221C">
        <w:t>upon request</w:t>
      </w:r>
      <w:r>
        <w:t>.</w:t>
      </w:r>
    </w:p>
    <w:p w14:paraId="3C774879" w14:textId="77777777" w:rsidR="00BE61B3" w:rsidRDefault="00B21A03">
      <w:pPr>
        <w:pStyle w:val="Heading2"/>
      </w:pPr>
      <w:bookmarkStart w:id="17" w:name="_Toc152573703"/>
      <w:bookmarkEnd w:id="16"/>
      <w:r>
        <w:t>Data Protection and Confidentiality</w:t>
      </w:r>
      <w:bookmarkEnd w:id="17"/>
    </w:p>
    <w:p w14:paraId="47240E24" w14:textId="77777777" w:rsidR="00BE61B3" w:rsidRDefault="00B21A03">
      <w:r>
        <w:t>It is expected that external examiners will familiarise themselves with and observe the University’s policies on data protection</w:t>
      </w:r>
      <w:r w:rsidR="003E780F">
        <w:rPr>
          <w:rStyle w:val="FootnoteReference"/>
        </w:rPr>
        <w:footnoteReference w:id="14"/>
      </w:r>
      <w:r>
        <w:t xml:space="preserve"> and information securit</w:t>
      </w:r>
      <w:r w:rsidR="003E780F">
        <w:t>y</w:t>
      </w:r>
      <w:r w:rsidR="003E780F">
        <w:rPr>
          <w:rStyle w:val="FootnoteReference"/>
        </w:rPr>
        <w:footnoteReference w:id="15"/>
      </w:r>
      <w:r>
        <w:rPr>
          <w:b/>
        </w:rPr>
        <w:t xml:space="preserve">. </w:t>
      </w:r>
      <w:r>
        <w:t xml:space="preserve">Any information passed between Edge Hill University and external examiners, e.g. student grades, must remain confidential. </w:t>
      </w:r>
    </w:p>
    <w:p w14:paraId="4D3F6028" w14:textId="77777777" w:rsidR="00BE61B3" w:rsidRDefault="00B21A03">
      <w:pPr>
        <w:pStyle w:val="Heading2"/>
      </w:pPr>
      <w:bookmarkStart w:id="18" w:name="_Toc152573704"/>
      <w:r>
        <w:t>Publication of External Examiner details</w:t>
      </w:r>
      <w:bookmarkEnd w:id="18"/>
    </w:p>
    <w:p w14:paraId="1358B9A6" w14:textId="3867FFA0" w:rsidR="00BE61B3" w:rsidRDefault="00B21A03">
      <w:r>
        <w:t>Students are informed</w:t>
      </w:r>
      <w:r w:rsidR="003E780F">
        <w:rPr>
          <w:rStyle w:val="FootnoteReference"/>
        </w:rPr>
        <w:footnoteReference w:id="16"/>
      </w:r>
      <w:r>
        <w:t xml:space="preserve"> of the name, position and home institution of their external examiners but are advised that entering into direct correspondence with examiners is in all circumstances prohibited. If students do make contact, the examiner is advised to redirect this immediately to their departmental contact or the </w:t>
      </w:r>
      <w:r w:rsidR="009B7612">
        <w:t>Academic Quality Officer</w:t>
      </w:r>
      <w:r>
        <w:t xml:space="preserve"> at </w:t>
      </w:r>
      <w:hyperlink r:id="rId11" w:history="1">
        <w:r>
          <w:rPr>
            <w:rStyle w:val="Hyperlink"/>
            <w:color w:val="7030A0"/>
          </w:rPr>
          <w:t>externalexaminers@edgehill.ac.uk</w:t>
        </w:r>
      </w:hyperlink>
      <w:r>
        <w:rPr>
          <w:color w:val="7030A0"/>
        </w:rPr>
        <w:t xml:space="preserve">. </w:t>
      </w:r>
    </w:p>
    <w:p w14:paraId="4DD6C3FC" w14:textId="77777777" w:rsidR="00BE61B3" w:rsidRDefault="00B21A03">
      <w:pPr>
        <w:pStyle w:val="Heading2"/>
      </w:pPr>
      <w:bookmarkStart w:id="19" w:name="_Toc152573705"/>
      <w:r>
        <w:t>Information Management</w:t>
      </w:r>
      <w:bookmarkEnd w:id="19"/>
    </w:p>
    <w:p w14:paraId="43297A9B" w14:textId="73B68E4D" w:rsidR="00BE61B3" w:rsidRDefault="00B21A03">
      <w:r>
        <w:t xml:space="preserve">Our respect for the privacy and security of data is of great importance to the </w:t>
      </w:r>
      <w:r w:rsidR="00C605E9">
        <w:t xml:space="preserve">Governance, Quality Assurance and Student Casework department </w:t>
      </w:r>
      <w:r>
        <w:t>and Edge Hill University. All personal data is held and processed in accordance with the current Data Protection legislation. For further information, please consult our Privacy Notice which is available on the External Examiners’ website</w:t>
      </w:r>
      <w:r w:rsidR="003E780F">
        <w:rPr>
          <w:rStyle w:val="FootnoteReference"/>
        </w:rPr>
        <w:footnoteReference w:id="17"/>
      </w:r>
      <w:r>
        <w:t>.</w:t>
      </w:r>
    </w:p>
    <w:p w14:paraId="295160E8" w14:textId="77777777" w:rsidR="00BE61B3" w:rsidRDefault="00B21A03">
      <w:pPr>
        <w:pStyle w:val="Heading2"/>
      </w:pPr>
      <w:bookmarkStart w:id="20" w:name="_Toc152573706"/>
      <w:r>
        <w:lastRenderedPageBreak/>
        <w:t>Accessibility</w:t>
      </w:r>
      <w:bookmarkEnd w:id="20"/>
    </w:p>
    <w:p w14:paraId="775C21DD" w14:textId="08C67A44" w:rsidR="004925A2" w:rsidRDefault="00B21A03" w:rsidP="004925A2">
      <w:r>
        <w:t xml:space="preserve">If you have a disability or health condition, the University has a duty to make ‘reasonable adjustments’ to ensure you carry out your external examiner duties. Please advise the </w:t>
      </w:r>
      <w:r w:rsidR="004925A2">
        <w:t>Academic Quality Officer</w:t>
      </w:r>
      <w:r>
        <w:t xml:space="preserve"> or your departmental contact if you require any assistance. </w:t>
      </w:r>
    </w:p>
    <w:p w14:paraId="2C40DA5D" w14:textId="663E1944" w:rsidR="00BE61B3" w:rsidRDefault="00B21A03" w:rsidP="004925A2">
      <w:pPr>
        <w:pStyle w:val="Heading2"/>
      </w:pPr>
      <w:bookmarkStart w:id="21" w:name="_Toc152573707"/>
      <w:r>
        <w:t>Changes in employment status and contact details</w:t>
      </w:r>
      <w:bookmarkEnd w:id="21"/>
    </w:p>
    <w:p w14:paraId="4F05FC26" w14:textId="77777777" w:rsidR="00BE61B3" w:rsidRDefault="00B21A03">
      <w:r>
        <w:t xml:space="preserve">Examiners are required to alert the University to any changes to their employment status, PSRB (professional, statutory or regulatory body) registration or contact details as soon as possible by contacting </w:t>
      </w:r>
      <w:r>
        <w:rPr>
          <w:color w:val="7030A0"/>
        </w:rPr>
        <w:t>externalexaminers@edgehill.ac.uk.</w:t>
      </w:r>
    </w:p>
    <w:p w14:paraId="0D429D14" w14:textId="0AAF2ABD" w:rsidR="00E50981" w:rsidRPr="001267FA" w:rsidRDefault="00B21A03" w:rsidP="00E50981">
      <w:pPr>
        <w:pStyle w:val="Heading1"/>
      </w:pPr>
      <w:bookmarkStart w:id="22" w:name="_Toc152573708"/>
      <w:r>
        <w:t>Mentoring</w:t>
      </w:r>
      <w:bookmarkEnd w:id="22"/>
    </w:p>
    <w:p w14:paraId="4F90B513" w14:textId="77777777" w:rsidR="00E50981" w:rsidRPr="007A2170" w:rsidRDefault="00E50981" w:rsidP="00E50981">
      <w:pPr>
        <w:rPr>
          <w:szCs w:val="24"/>
        </w:rPr>
      </w:pPr>
      <w:r w:rsidRPr="007A2170">
        <w:rPr>
          <w:szCs w:val="24"/>
        </w:rPr>
        <w:t xml:space="preserve">At Edge Hill University we believe that all individuals should have the opportunity to become an external examiner. Individuals without previous experience will have a mentor identified at the point of approval. </w:t>
      </w:r>
    </w:p>
    <w:p w14:paraId="7D7F7C32" w14:textId="77777777" w:rsidR="00E50981" w:rsidRPr="007A2170" w:rsidRDefault="00E50981" w:rsidP="002107C6">
      <w:pPr>
        <w:pStyle w:val="Heading2"/>
      </w:pPr>
      <w:bookmarkStart w:id="23" w:name="_Toc152573709"/>
      <w:r w:rsidRPr="007A2170">
        <w:t>Expectations of the mentor</w:t>
      </w:r>
      <w:bookmarkEnd w:id="23"/>
    </w:p>
    <w:p w14:paraId="1ECC8712" w14:textId="77777777" w:rsidR="00E50981" w:rsidRPr="007A2170" w:rsidRDefault="00E50981" w:rsidP="00E50981">
      <w:pPr>
        <w:spacing w:after="0"/>
        <w:rPr>
          <w:szCs w:val="24"/>
        </w:rPr>
      </w:pPr>
      <w:r w:rsidRPr="007A2170">
        <w:rPr>
          <w:szCs w:val="24"/>
        </w:rPr>
        <w:t>The mentor should:</w:t>
      </w:r>
    </w:p>
    <w:p w14:paraId="27668F96" w14:textId="77777777" w:rsidR="00E50981" w:rsidRPr="007A2170" w:rsidRDefault="00E50981" w:rsidP="00E50981">
      <w:pPr>
        <w:pStyle w:val="ListParagraph"/>
        <w:numPr>
          <w:ilvl w:val="0"/>
          <w:numId w:val="43"/>
        </w:numPr>
        <w:spacing w:after="0"/>
      </w:pPr>
      <w:r w:rsidRPr="007A2170">
        <w:t>Discuss relevant University processes and procedures.</w:t>
      </w:r>
    </w:p>
    <w:p w14:paraId="249F435D" w14:textId="77777777" w:rsidR="00E50981" w:rsidRPr="007A2170" w:rsidRDefault="00E50981" w:rsidP="00E50981">
      <w:pPr>
        <w:pStyle w:val="ListParagraph"/>
        <w:numPr>
          <w:ilvl w:val="0"/>
          <w:numId w:val="43"/>
        </w:numPr>
        <w:spacing w:after="0"/>
      </w:pPr>
      <w:r w:rsidRPr="007A2170">
        <w:t>Highlight the approaches to moderation including sampling and consistency of marking.</w:t>
      </w:r>
    </w:p>
    <w:p w14:paraId="0CE80069" w14:textId="77777777" w:rsidR="00E50981" w:rsidRPr="007A2170" w:rsidRDefault="00E50981" w:rsidP="00E50981">
      <w:pPr>
        <w:pStyle w:val="ListParagraph"/>
        <w:numPr>
          <w:ilvl w:val="0"/>
          <w:numId w:val="43"/>
        </w:numPr>
        <w:spacing w:after="0"/>
      </w:pPr>
      <w:r w:rsidRPr="007A2170">
        <w:t>Advise on the Assessment and Award Board procedure and the role of the external examiner within this process.</w:t>
      </w:r>
    </w:p>
    <w:p w14:paraId="3B646368" w14:textId="0E48F6CC" w:rsidR="00E50981" w:rsidRPr="00A81E70" w:rsidRDefault="00E50981" w:rsidP="00E50981">
      <w:pPr>
        <w:pStyle w:val="ListParagraph"/>
        <w:numPr>
          <w:ilvl w:val="0"/>
          <w:numId w:val="43"/>
        </w:numPr>
        <w:spacing w:after="0"/>
      </w:pPr>
      <w:r w:rsidRPr="007A2170">
        <w:t xml:space="preserve">Support familiarisation and understanding of the UK sector-agreed reference points for the setting </w:t>
      </w:r>
      <w:r w:rsidRPr="00A81E70">
        <w:t>and maintenance of academic standards (Framework for Higher Education Qualifications,</w:t>
      </w:r>
      <w:r w:rsidRPr="00A81E70">
        <w:rPr>
          <w:sz w:val="28"/>
          <w:szCs w:val="28"/>
        </w:rPr>
        <w:t xml:space="preserve"> </w:t>
      </w:r>
      <w:r w:rsidRPr="00A81E70">
        <w:t xml:space="preserve">Annex D: Outcome classification descriptions for FHEQ Level 6, Qualification Characteristics Statements and </w:t>
      </w:r>
      <w:r w:rsidR="00A81E70" w:rsidRPr="00A81E70">
        <w:t>S</w:t>
      </w:r>
      <w:r w:rsidRPr="00A81E70">
        <w:t xml:space="preserve">ubject </w:t>
      </w:r>
      <w:r w:rsidR="00A81E70" w:rsidRPr="00A81E70">
        <w:t>B</w:t>
      </w:r>
      <w:r w:rsidRPr="00A81E70">
        <w:t xml:space="preserve">enchmark </w:t>
      </w:r>
      <w:r w:rsidR="00A81E70" w:rsidRPr="00A81E70">
        <w:t>S</w:t>
      </w:r>
      <w:r w:rsidRPr="00A81E70">
        <w:t>tatements)</w:t>
      </w:r>
    </w:p>
    <w:p w14:paraId="15466D84" w14:textId="77777777" w:rsidR="00E50981" w:rsidRPr="00A81E70" w:rsidRDefault="00E50981" w:rsidP="00E50981">
      <w:pPr>
        <w:pStyle w:val="ListParagraph"/>
        <w:numPr>
          <w:ilvl w:val="0"/>
          <w:numId w:val="43"/>
        </w:numPr>
        <w:spacing w:after="0"/>
      </w:pPr>
      <w:r w:rsidRPr="00A81E70">
        <w:t>Provide advice and guidance on writing the annual report and on programme review.</w:t>
      </w:r>
    </w:p>
    <w:p w14:paraId="49E42789" w14:textId="77777777" w:rsidR="00E50981" w:rsidRPr="00A81E70" w:rsidRDefault="00E50981" w:rsidP="00E50981">
      <w:pPr>
        <w:pStyle w:val="ListParagraph"/>
        <w:numPr>
          <w:ilvl w:val="0"/>
          <w:numId w:val="43"/>
        </w:numPr>
        <w:spacing w:after="0"/>
      </w:pPr>
      <w:r w:rsidRPr="00A81E70">
        <w:t>Discuss current issues in Higher Education and the discipline area which may be relevant to external examining.</w:t>
      </w:r>
    </w:p>
    <w:p w14:paraId="50CD90A7" w14:textId="77777777" w:rsidR="00E50981" w:rsidRPr="007A2170" w:rsidRDefault="00E50981" w:rsidP="00E50981">
      <w:pPr>
        <w:spacing w:after="0"/>
        <w:rPr>
          <w:szCs w:val="24"/>
        </w:rPr>
      </w:pPr>
    </w:p>
    <w:p w14:paraId="7933475B" w14:textId="77777777" w:rsidR="00E50981" w:rsidRDefault="00E50981" w:rsidP="00E50981">
      <w:r w:rsidRPr="007A2170">
        <w:t>Mentoring duties would be specific to the actual examining work. All regulatory and procedural issues would continue to be communicated as currently.</w:t>
      </w:r>
    </w:p>
    <w:p w14:paraId="66B7C5AB" w14:textId="77777777" w:rsidR="00E50981" w:rsidRPr="007A2170" w:rsidRDefault="00E50981" w:rsidP="002107C6">
      <w:pPr>
        <w:pStyle w:val="Heading2"/>
      </w:pPr>
      <w:bookmarkStart w:id="24" w:name="_Toc152573710"/>
      <w:r w:rsidRPr="007A2170">
        <w:t>Requirements for a mentor</w:t>
      </w:r>
      <w:bookmarkEnd w:id="24"/>
    </w:p>
    <w:p w14:paraId="33272BDB" w14:textId="77777777" w:rsidR="00E50981" w:rsidRPr="007A2170" w:rsidRDefault="00E50981" w:rsidP="00E50981">
      <w:pPr>
        <w:pStyle w:val="ListParagraph"/>
        <w:numPr>
          <w:ilvl w:val="0"/>
          <w:numId w:val="42"/>
        </w:numPr>
        <w:spacing w:after="0"/>
      </w:pPr>
      <w:r w:rsidRPr="007A2170">
        <w:t xml:space="preserve">Currently be an examiner at the </w:t>
      </w:r>
      <w:proofErr w:type="gramStart"/>
      <w:r w:rsidRPr="007A2170">
        <w:t>University;</w:t>
      </w:r>
      <w:proofErr w:type="gramEnd"/>
      <w:r w:rsidRPr="007A2170">
        <w:t xml:space="preserve"> </w:t>
      </w:r>
    </w:p>
    <w:p w14:paraId="00CA3845" w14:textId="77777777" w:rsidR="00E50981" w:rsidRPr="007A2170" w:rsidRDefault="00E50981" w:rsidP="00E50981">
      <w:pPr>
        <w:pStyle w:val="ListParagraph"/>
        <w:numPr>
          <w:ilvl w:val="0"/>
          <w:numId w:val="42"/>
        </w:numPr>
        <w:spacing w:after="0"/>
      </w:pPr>
      <w:r w:rsidRPr="007A2170">
        <w:t xml:space="preserve">Have submitted at least one annual report to the </w:t>
      </w:r>
      <w:proofErr w:type="gramStart"/>
      <w:r w:rsidRPr="007A2170">
        <w:t>University;</w:t>
      </w:r>
      <w:proofErr w:type="gramEnd"/>
    </w:p>
    <w:p w14:paraId="68DD5C05" w14:textId="77777777" w:rsidR="00E50981" w:rsidRPr="007A2170" w:rsidRDefault="00E50981" w:rsidP="00E50981">
      <w:pPr>
        <w:pStyle w:val="ListParagraph"/>
        <w:numPr>
          <w:ilvl w:val="0"/>
          <w:numId w:val="42"/>
        </w:numPr>
        <w:spacing w:after="0"/>
      </w:pPr>
      <w:r w:rsidRPr="007A2170">
        <w:t>Have recent experience of working in Higher Education in the UK.</w:t>
      </w:r>
    </w:p>
    <w:p w14:paraId="0F202B6C" w14:textId="77777777" w:rsidR="00E50981" w:rsidRDefault="00E50981" w:rsidP="00E50981">
      <w:pPr>
        <w:pStyle w:val="ListParagraph"/>
        <w:numPr>
          <w:ilvl w:val="0"/>
          <w:numId w:val="42"/>
        </w:numPr>
        <w:spacing w:after="0"/>
      </w:pPr>
      <w:r w:rsidRPr="007A2170">
        <w:t>Can mentor up to three mentees</w:t>
      </w:r>
    </w:p>
    <w:p w14:paraId="50189128" w14:textId="77777777" w:rsidR="002107C6" w:rsidRPr="007A2170" w:rsidRDefault="002107C6" w:rsidP="002107C6">
      <w:pPr>
        <w:pStyle w:val="ListParagraph"/>
        <w:spacing w:after="0"/>
      </w:pPr>
    </w:p>
    <w:p w14:paraId="602E99FC" w14:textId="77777777" w:rsidR="00E50981" w:rsidRPr="007A2170" w:rsidRDefault="00E50981" w:rsidP="002107C6">
      <w:pPr>
        <w:pStyle w:val="Heading2"/>
      </w:pPr>
      <w:bookmarkStart w:id="25" w:name="_Toc152573711"/>
      <w:r w:rsidRPr="007A2170">
        <w:t>Mentor arrangements</w:t>
      </w:r>
      <w:bookmarkEnd w:id="25"/>
    </w:p>
    <w:p w14:paraId="76D64AE2" w14:textId="77777777" w:rsidR="00E50981" w:rsidRPr="007A2170" w:rsidRDefault="00E50981" w:rsidP="00E50981">
      <w:r w:rsidRPr="007A2170">
        <w:t xml:space="preserve">A mentor should be indicated at the approval stage of the external examiner nomination process and may be </w:t>
      </w:r>
      <w:proofErr w:type="gramStart"/>
      <w:r w:rsidRPr="007A2170">
        <w:t>referred back</w:t>
      </w:r>
      <w:proofErr w:type="gramEnd"/>
      <w:r w:rsidRPr="007A2170">
        <w:t xml:space="preserve"> to the department if they are not identified. If a nomination form is submitted to the External Examiners Sub-Committee without a named mentor, then it will be a condition of approval and an action will be placed on the </w:t>
      </w:r>
      <w:proofErr w:type="gramStart"/>
      <w:r w:rsidRPr="007A2170">
        <w:t>Faculty</w:t>
      </w:r>
      <w:proofErr w:type="gramEnd"/>
      <w:r w:rsidRPr="007A2170">
        <w:t xml:space="preserve"> to identify a suitable mentor for a new examiner. </w:t>
      </w:r>
    </w:p>
    <w:p w14:paraId="1603C75A" w14:textId="77777777" w:rsidR="00E50981" w:rsidRPr="007A2170" w:rsidRDefault="00E50981" w:rsidP="00E50981">
      <w:r w:rsidRPr="007A2170">
        <w:lastRenderedPageBreak/>
        <w:t xml:space="preserve">Once an appropriate mentor has been chosen, the department will approach them to establish if they are happy to take on the extra responsibility. </w:t>
      </w:r>
      <w:r w:rsidRPr="007A2170">
        <w:rPr>
          <w:b/>
          <w:bCs/>
        </w:rPr>
        <w:t xml:space="preserve">If agreed, the </w:t>
      </w:r>
      <w:r w:rsidRPr="007A2170">
        <w:rPr>
          <w:b/>
          <w:bCs/>
          <w:i/>
          <w:iCs/>
        </w:rPr>
        <w:t>mentee</w:t>
      </w:r>
      <w:r w:rsidRPr="007A2170">
        <w:rPr>
          <w:b/>
          <w:bCs/>
        </w:rPr>
        <w:t xml:space="preserve"> will be provided with the contact information for the </w:t>
      </w:r>
      <w:r w:rsidRPr="007A2170">
        <w:rPr>
          <w:b/>
          <w:bCs/>
          <w:i/>
          <w:iCs/>
        </w:rPr>
        <w:t>mentor</w:t>
      </w:r>
      <w:r w:rsidRPr="007A2170">
        <w:rPr>
          <w:b/>
          <w:bCs/>
        </w:rPr>
        <w:t xml:space="preserve"> and will be expected to initiate contact.</w:t>
      </w:r>
    </w:p>
    <w:p w14:paraId="2A0375EE" w14:textId="77777777" w:rsidR="00E50981" w:rsidRPr="007A2170" w:rsidRDefault="00E50981" w:rsidP="00E50981">
      <w:r w:rsidRPr="007A2170">
        <w:t>The types of queries could include dealing with draft examination papers; moderating and commenting on assessment; offering advice to the Progression and Award Boards; completion of the annual report; as well as general discussions about external examining experiences and common scenarios that may arise. If there are any issues that cannot be answered, the relevant academic department or Academic Quality Officer should be contacted.</w:t>
      </w:r>
    </w:p>
    <w:p w14:paraId="61CFE1B5" w14:textId="77777777" w:rsidR="00E50981" w:rsidRPr="007A2170" w:rsidRDefault="00E50981" w:rsidP="00E50981">
      <w:r w:rsidRPr="007A2170">
        <w:t>The Academic Quality Officer will provide the contact information to the mentee and communication will generally take place via phone, email or videocall.</w:t>
      </w:r>
    </w:p>
    <w:p w14:paraId="7F12CA12" w14:textId="77777777" w:rsidR="00E50981" w:rsidRPr="007A2170" w:rsidRDefault="00E50981" w:rsidP="002107C6">
      <w:pPr>
        <w:pStyle w:val="Heading2"/>
      </w:pPr>
      <w:bookmarkStart w:id="26" w:name="_Toc152573712"/>
      <w:r w:rsidRPr="007A2170">
        <w:t>Feedback</w:t>
      </w:r>
      <w:bookmarkEnd w:id="26"/>
    </w:p>
    <w:p w14:paraId="0EDF1545" w14:textId="77777777" w:rsidR="00E50981" w:rsidRPr="007A2170" w:rsidRDefault="00E50981" w:rsidP="00E50981">
      <w:pPr>
        <w:rPr>
          <w:szCs w:val="24"/>
        </w:rPr>
      </w:pPr>
      <w:r w:rsidRPr="007A2170">
        <w:rPr>
          <w:szCs w:val="24"/>
        </w:rPr>
        <w:t>Feedback will be collected annually to review and enhance the process. Faculties may be asked to provide periodic reports on the mentoring process on request from the University’s External Examiners Sub-Committee.</w:t>
      </w:r>
    </w:p>
    <w:p w14:paraId="77B0D4BD" w14:textId="77777777" w:rsidR="00BE61B3" w:rsidRDefault="00B21A03">
      <w:pPr>
        <w:pStyle w:val="Heading1"/>
      </w:pPr>
      <w:bookmarkStart w:id="27" w:name="_Toc152573713"/>
      <w:r>
        <w:t>Annual Reports</w:t>
      </w:r>
      <w:bookmarkEnd w:id="27"/>
    </w:p>
    <w:p w14:paraId="55DE5045" w14:textId="77777777" w:rsidR="00BE61B3" w:rsidRDefault="00B21A03">
      <w:r>
        <w:t>External examiners’ reports are an important source of direct evidence of academic standards and indirect evidence of the quality of students’ learning opportunities and Edge Hill University gives full and serious consideration to them. External examiners complete an online annual report</w:t>
      </w:r>
      <w:r w:rsidR="003E780F">
        <w:rPr>
          <w:rStyle w:val="FootnoteReference"/>
        </w:rPr>
        <w:footnoteReference w:id="18"/>
      </w:r>
      <w:r>
        <w:t xml:space="preserve"> on the provision for which they are responsible. They confirm that the standards set for modules and programmes are appropriate and are being met by students, and that assessment is being carried out rigorously and fairly. Examiners specify and comment on any modules that, in their view, may benefit from early review and modification or re-validation.</w:t>
      </w:r>
    </w:p>
    <w:p w14:paraId="4CBA396A" w14:textId="77777777" w:rsidR="00BE61B3" w:rsidRDefault="00B21A03">
      <w:r>
        <w:t>Examiners confirm that sufficient information and evidence was made available to them to fulfil their role and that issues raised by them in previous reports, including those of their immediate predecessors, have been responded to. Examiners refrain from identifying individual Edge Hill students and staff in their reports, however references to staff roles, e.g. ‘the programme leader’, are acceptable. Where an examiner’s duties are spread across undergraduate and postgraduate programmes, separate annual reports are requested.</w:t>
      </w:r>
    </w:p>
    <w:p w14:paraId="1F3962E3" w14:textId="64DE5AFA" w:rsidR="00BE61B3" w:rsidRDefault="00B21A03">
      <w:r>
        <w:t xml:space="preserve">Barring mitigating circumstances which should be discussed in advance with the </w:t>
      </w:r>
      <w:r w:rsidR="009B7612">
        <w:t>Academic Quality Officer</w:t>
      </w:r>
      <w:r>
        <w:t>, examiners submit their reports within four weeks of the relevant assessment board.</w:t>
      </w:r>
    </w:p>
    <w:p w14:paraId="41550728" w14:textId="66B77D72" w:rsidR="00C94597" w:rsidRPr="00C94597" w:rsidRDefault="00C94597">
      <w:r w:rsidRPr="00A81E70">
        <w:t xml:space="preserve">External examiners are advised by the Academic Quality Officer when the system is open and how </w:t>
      </w:r>
      <w:r w:rsidR="00A81E70" w:rsidRPr="00A81E70">
        <w:t xml:space="preserve">they </w:t>
      </w:r>
      <w:r w:rsidRPr="00A81E70">
        <w:t>can access the report. To log into the annual reports system, examiner</w:t>
      </w:r>
      <w:r w:rsidR="00A81E70" w:rsidRPr="00A81E70">
        <w:t>s</w:t>
      </w:r>
      <w:r w:rsidRPr="00A81E70">
        <w:t xml:space="preserve"> should enter their username (</w:t>
      </w:r>
      <w:r w:rsidR="00A81E70" w:rsidRPr="00A81E70">
        <w:t>the</w:t>
      </w:r>
      <w:r w:rsidRPr="00A81E70">
        <w:t xml:space="preserve"> email address provided upon appointment) and use the password </w:t>
      </w:r>
      <w:r w:rsidRPr="00A81E70">
        <w:rPr>
          <w:b/>
          <w:bCs/>
        </w:rPr>
        <w:t>edgehill01</w:t>
      </w:r>
      <w:r w:rsidRPr="00A81E70">
        <w:t>.</w:t>
      </w:r>
      <w:r>
        <w:t xml:space="preserve"> </w:t>
      </w:r>
    </w:p>
    <w:p w14:paraId="77936DF6" w14:textId="2D77FF8E" w:rsidR="00BE61B3" w:rsidRDefault="00A81E70">
      <w:pPr>
        <w:pStyle w:val="Heading2"/>
      </w:pPr>
      <w:bookmarkStart w:id="28" w:name="_Toc152573714"/>
      <w:r>
        <w:t>Academic Partnerships</w:t>
      </w:r>
      <w:bookmarkEnd w:id="28"/>
    </w:p>
    <w:p w14:paraId="6DEE6BDA" w14:textId="1203255C" w:rsidR="00BE61B3" w:rsidRDefault="00B21A03">
      <w:r>
        <w:t xml:space="preserve">Where programmes are delivered at more than one site, e.g. at different Edge Hill campuses or by </w:t>
      </w:r>
      <w:r w:rsidR="00A81E70">
        <w:t>a</w:t>
      </w:r>
      <w:r>
        <w:t xml:space="preserve"> partner organisation, examiners differentiate these explicitly to identify issues or good practice pertaining to the specific instance of delivery.</w:t>
      </w:r>
    </w:p>
    <w:p w14:paraId="6EAC8334" w14:textId="77777777" w:rsidR="00BE61B3" w:rsidRDefault="00B21A03">
      <w:pPr>
        <w:pStyle w:val="Heading2"/>
      </w:pPr>
      <w:bookmarkStart w:id="29" w:name="_Toc152573715"/>
      <w:r>
        <w:lastRenderedPageBreak/>
        <w:t>Response to and use made of Annual Reports</w:t>
      </w:r>
      <w:bookmarkEnd w:id="29"/>
    </w:p>
    <w:p w14:paraId="6B324937" w14:textId="77777777" w:rsidR="00BE61B3" w:rsidRDefault="00B21A03">
      <w:r>
        <w:t>Programme teams are required to provide formal and timely responses to external examiners’ reports, outlining any action to be taken as a result of their recommendations (or the reasons for not doing so). Faculties ensure that responses are accurate and of appropriate quality and are consistent with agreed University policies. Responses to external examiner reports are considered for approval at the next available Faculty Board (or delegated committee). Approved responses are despatched to examiners within seven business days or, in the event of referral back to the host department, seven days following Faculty Chair’s Action. Where significant time is expected between receipt of an examiner’s report and the response via Faculty Board or the relevant committee, Faculties contact examiners to advise them of the timeframe for response. External examiner reports and responses are shared with student representatives at the next available Programme Board and are made available to students via the programme area of the University’s Virtual Learning Environment. Annual overviews of generic and programme-specific issues from external examiner reports are considered by Faculties and the External Examiners Sub-Committee which escalates any matters requiring institution-level attention.</w:t>
      </w:r>
    </w:p>
    <w:p w14:paraId="032FAF68" w14:textId="77777777" w:rsidR="00BE61B3" w:rsidRDefault="00B21A03">
      <w:r>
        <w:t xml:space="preserve">Where following appropriate reminders an external examiner’s report has not been received within 12 weeks of the relevant assessment board, alternative arrangements for (re-)moderation will be made. </w:t>
      </w:r>
    </w:p>
    <w:p w14:paraId="5768D5F6" w14:textId="77777777" w:rsidR="00BE61B3" w:rsidRDefault="00B21A03">
      <w:pPr>
        <w:pStyle w:val="Heading2"/>
      </w:pPr>
      <w:bookmarkStart w:id="30" w:name="_Toc152573716"/>
      <w:r>
        <w:t>‘Causes for Concern’ Procedures</w:t>
      </w:r>
      <w:bookmarkEnd w:id="30"/>
    </w:p>
    <w:p w14:paraId="6BE52C83" w14:textId="6D62C843" w:rsidR="00BE61B3" w:rsidRDefault="00B21A03">
      <w:r>
        <w:t xml:space="preserve">External examiners are informed at the start of their engagement of their right to raise any matter of serious concern with the Vice-Chancellor, if </w:t>
      </w:r>
      <w:proofErr w:type="gramStart"/>
      <w:r>
        <w:t>necessary</w:t>
      </w:r>
      <w:proofErr w:type="gramEnd"/>
      <w:r>
        <w:t xml:space="preserve"> through a confidential written report to which a considered and timely response will be provided. </w:t>
      </w:r>
      <w:bookmarkStart w:id="31" w:name="_Hlk148441794"/>
      <w:r w:rsidRPr="000133DF">
        <w:t>Where internal procedures have been exhausted and examiners remain concerned about a potential serious or systemic failure in standards, they may invoke the QAA’s Concerns scheme</w:t>
      </w:r>
      <w:r w:rsidRPr="000133DF">
        <w:rPr>
          <w:rStyle w:val="FootnoteReference"/>
        </w:rPr>
        <w:footnoteReference w:id="19"/>
      </w:r>
      <w:r w:rsidR="000133DF" w:rsidRPr="000133DF">
        <w:t xml:space="preserve">, use the </w:t>
      </w:r>
      <w:proofErr w:type="spellStart"/>
      <w:r w:rsidR="000133DF" w:rsidRPr="000133DF">
        <w:t>OfS</w:t>
      </w:r>
      <w:proofErr w:type="spellEnd"/>
      <w:r w:rsidR="000133DF" w:rsidRPr="000133DF">
        <w:t xml:space="preserve"> notifications process</w:t>
      </w:r>
      <w:r w:rsidR="000133DF" w:rsidRPr="000133DF">
        <w:rPr>
          <w:rStyle w:val="FootnoteReference"/>
        </w:rPr>
        <w:footnoteReference w:id="20"/>
      </w:r>
      <w:r w:rsidRPr="000133DF">
        <w:t xml:space="preserve"> and/ or inform the responsible Professional Statutory and Regulatory Body.</w:t>
      </w:r>
    </w:p>
    <w:p w14:paraId="51E98EE1" w14:textId="77777777" w:rsidR="00BE61B3" w:rsidRDefault="00B21A03">
      <w:pPr>
        <w:pStyle w:val="Heading1"/>
      </w:pPr>
      <w:bookmarkStart w:id="32" w:name="_Toc152573717"/>
      <w:bookmarkEnd w:id="31"/>
      <w:r>
        <w:t>End of Engagement</w:t>
      </w:r>
      <w:bookmarkEnd w:id="32"/>
    </w:p>
    <w:p w14:paraId="081B4028" w14:textId="77777777" w:rsidR="00BE61B3" w:rsidRDefault="00B21A03">
      <w:r>
        <w:t xml:space="preserve">Edge Hill University is committed to the maintenance of its academic quality and standards and therefore reserves the right to make alternative arrangements for external oversight of its academic provision. </w:t>
      </w:r>
    </w:p>
    <w:p w14:paraId="18790005" w14:textId="77777777" w:rsidR="00BE61B3" w:rsidRDefault="00B21A03">
      <w:r>
        <w:t xml:space="preserve">In exceptional circumstances, the University may seek to end its engagement with an external examiner, and in these circumstances normal HR procedures will be followed. </w:t>
      </w:r>
    </w:p>
    <w:p w14:paraId="75029036" w14:textId="77777777" w:rsidR="00BE61B3" w:rsidRDefault="00B21A03">
      <w:pPr>
        <w:spacing w:after="0"/>
      </w:pPr>
      <w:r>
        <w:t xml:space="preserve">While neither exhaustive nor prescriptive, the following are indicative of what may be considered an appropriate reason to end the engagement: </w:t>
      </w:r>
    </w:p>
    <w:p w14:paraId="7E6363FF" w14:textId="77777777" w:rsidR="00BE61B3" w:rsidRDefault="00B21A03" w:rsidP="004538AC">
      <w:pPr>
        <w:pStyle w:val="ListParagraph"/>
        <w:numPr>
          <w:ilvl w:val="0"/>
          <w:numId w:val="6"/>
        </w:numPr>
        <w:spacing w:after="0"/>
      </w:pPr>
      <w:r>
        <w:t xml:space="preserve">Failure by the individual to disclose a relationship, contractual or otherwise, which may impair the integrity of the examination process and their own independence as external examiner. </w:t>
      </w:r>
    </w:p>
    <w:p w14:paraId="46001B8E" w14:textId="77777777" w:rsidR="00D0221C" w:rsidRDefault="00B21A03" w:rsidP="004538AC">
      <w:pPr>
        <w:pStyle w:val="ListParagraph"/>
        <w:numPr>
          <w:ilvl w:val="0"/>
          <w:numId w:val="6"/>
        </w:numPr>
        <w:spacing w:after="0"/>
      </w:pPr>
      <w:r>
        <w:lastRenderedPageBreak/>
        <w:t>Persistent failure to attend meetings and/or present the required reports by the stated deadline without prior agreement, and/or the submission of identical reports and/or failure to return students’ work following moderation.</w:t>
      </w:r>
    </w:p>
    <w:p w14:paraId="0D2E0269" w14:textId="77777777" w:rsidR="00BE61B3" w:rsidRDefault="00B21A03" w:rsidP="004538AC">
      <w:pPr>
        <w:pStyle w:val="ListParagraph"/>
        <w:numPr>
          <w:ilvl w:val="0"/>
          <w:numId w:val="6"/>
        </w:numPr>
        <w:spacing w:after="0"/>
      </w:pPr>
      <w:r>
        <w:t>Persistent and deliberate failure to use the relevant national academic and/ or professional benchmarks to support judgements on academic standards and Edge Hill students’ attainment of them.</w:t>
      </w:r>
    </w:p>
    <w:p w14:paraId="391F383B" w14:textId="77777777" w:rsidR="00BE61B3" w:rsidRDefault="00B21A03" w:rsidP="004538AC">
      <w:pPr>
        <w:pStyle w:val="ListParagraph"/>
        <w:numPr>
          <w:ilvl w:val="0"/>
          <w:numId w:val="6"/>
        </w:numPr>
        <w:spacing w:after="0"/>
      </w:pPr>
      <w:r>
        <w:t>Dismissal by the individual’s main employer for improper conduct in relation to their employment which may impair the integrity of the examination process or their standing as an external examiner.</w:t>
      </w:r>
    </w:p>
    <w:p w14:paraId="7DBD1136" w14:textId="77777777" w:rsidR="00BE61B3" w:rsidRDefault="00B21A03" w:rsidP="004538AC">
      <w:pPr>
        <w:pStyle w:val="ListParagraph"/>
        <w:numPr>
          <w:ilvl w:val="0"/>
          <w:numId w:val="6"/>
        </w:numPr>
        <w:spacing w:after="0"/>
      </w:pPr>
      <w:r>
        <w:t>For clinical and other professional programmes, failure to maintain professional body membership or professional registration where this is a requirement of being an examiner or disbarment from professional practice which may impair the integrity of the examination process or the individual’s standing as an external examiner.</w:t>
      </w:r>
    </w:p>
    <w:p w14:paraId="594A4664" w14:textId="77777777" w:rsidR="00D0221C" w:rsidRDefault="00D0221C" w:rsidP="00D0221C">
      <w:pPr>
        <w:pStyle w:val="ListParagraph"/>
        <w:spacing w:after="0"/>
      </w:pPr>
    </w:p>
    <w:p w14:paraId="0A621289" w14:textId="2C8F9934" w:rsidR="001502E3" w:rsidRDefault="00B21A03" w:rsidP="001502E3">
      <w:pPr>
        <w:rPr>
          <w:szCs w:val="20"/>
        </w:rPr>
      </w:pPr>
      <w:r>
        <w:rPr>
          <w:szCs w:val="20"/>
        </w:rPr>
        <w:t xml:space="preserve">An external examiner may choose to end their engagement by writing to the Pro Vice Chancellor (Student Experience) &amp; University Secretary to advise of their intention. </w:t>
      </w:r>
    </w:p>
    <w:p w14:paraId="3C379C4C" w14:textId="580D9556" w:rsidR="00B3401D" w:rsidRDefault="00B21A03" w:rsidP="001502E3">
      <w:pPr>
        <w:pStyle w:val="Heading1"/>
        <w:pageBreakBefore/>
      </w:pPr>
      <w:bookmarkStart w:id="33" w:name="_Toc152573718"/>
      <w:r>
        <w:lastRenderedPageBreak/>
        <w:t>Fees and Expenses</w:t>
      </w:r>
      <w:r w:rsidR="00B3401D">
        <w:t xml:space="preserve"> Policy</w:t>
      </w:r>
      <w:bookmarkEnd w:id="33"/>
      <w:r w:rsidR="001502E3">
        <w:t xml:space="preserve">     </w:t>
      </w:r>
    </w:p>
    <w:p w14:paraId="3C73DB10" w14:textId="77777777" w:rsidR="00B3401D" w:rsidRPr="00AF382E" w:rsidRDefault="00B3401D" w:rsidP="002107C6">
      <w:pPr>
        <w:pStyle w:val="Heading2"/>
      </w:pPr>
      <w:bookmarkStart w:id="34" w:name="_Toc152573719"/>
      <w:r w:rsidRPr="00AF382E">
        <w:t>Fees</w:t>
      </w:r>
      <w:bookmarkEnd w:id="34"/>
    </w:p>
    <w:p w14:paraId="172E542A" w14:textId="49556B9E" w:rsidR="00B3401D" w:rsidRPr="006B1889" w:rsidRDefault="00B3401D" w:rsidP="00AF382E">
      <w:pPr>
        <w:rPr>
          <w:i/>
          <w:iCs/>
        </w:rPr>
      </w:pPr>
      <w:r w:rsidRPr="006B1889">
        <w:t>External examiners are paid an annual fee of approximately £</w:t>
      </w:r>
      <w:r w:rsidR="006866FF">
        <w:t>604.40</w:t>
      </w:r>
      <w:r w:rsidR="006866FF" w:rsidRPr="00594253">
        <w:t xml:space="preserve"> </w:t>
      </w:r>
      <w:r w:rsidRPr="006B1889">
        <w:t xml:space="preserve">based on the time allocations defined below plus reimbursement of expenses, as appropriate. Total fees may vary slightly dependent on the size of the provision covered by an External Examiner. The production and submission of the annual report is paid at a higher rate of £200 for the full 7.5 hours work. </w:t>
      </w:r>
      <w:r w:rsidRPr="006B1889">
        <w:rPr>
          <w:rStyle w:val="Heading3Char"/>
          <w:rFonts w:asciiTheme="minorHAnsi" w:eastAsia="Calibri" w:hAnsiTheme="minorHAnsi" w:cstheme="minorHAnsi"/>
          <w:sz w:val="22"/>
          <w:szCs w:val="22"/>
        </w:rPr>
        <w:t>All fees are claimed through the claim form when work is completed throughout the academic year, please liaise with the Academic Quality Officer to ensure you are set up on the system.</w:t>
      </w:r>
    </w:p>
    <w:p w14:paraId="675F7BEA" w14:textId="77777777" w:rsidR="00B3401D" w:rsidRPr="006B1889" w:rsidRDefault="00B3401D" w:rsidP="00AF382E">
      <w:r w:rsidRPr="006B1889">
        <w:t xml:space="preserve">The table below shows the typical duties an external examiner may undertake, and the approximate hours allocated for each activity: </w:t>
      </w:r>
    </w:p>
    <w:tbl>
      <w:tblPr>
        <w:tblW w:w="0" w:type="auto"/>
        <w:tblCellMar>
          <w:left w:w="0" w:type="dxa"/>
          <w:right w:w="0" w:type="dxa"/>
        </w:tblCellMar>
        <w:tblLook w:val="04A0" w:firstRow="1" w:lastRow="0" w:firstColumn="1" w:lastColumn="0" w:noHBand="0" w:noVBand="1"/>
      </w:tblPr>
      <w:tblGrid>
        <w:gridCol w:w="3959"/>
        <w:gridCol w:w="1843"/>
        <w:gridCol w:w="1701"/>
        <w:gridCol w:w="1503"/>
      </w:tblGrid>
      <w:tr w:rsidR="00B3401D" w:rsidRPr="006B1889" w14:paraId="10384492" w14:textId="77777777" w:rsidTr="006D43B5">
        <w:trPr>
          <w:tblHeader/>
        </w:trPr>
        <w:tc>
          <w:tcPr>
            <w:tcW w:w="395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521A3BD" w14:textId="77777777" w:rsidR="00B3401D" w:rsidRPr="006B1889" w:rsidRDefault="00B3401D" w:rsidP="00AF382E">
            <w:r w:rsidRPr="006B1889">
              <w:rPr>
                <w:i/>
                <w:iCs/>
              </w:rPr>
              <w:t xml:space="preserve">Activity </w:t>
            </w:r>
          </w:p>
        </w:tc>
        <w:tc>
          <w:tcPr>
            <w:tcW w:w="1843"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6935A70" w14:textId="77777777" w:rsidR="00B3401D" w:rsidRPr="006B1889" w:rsidRDefault="00B3401D" w:rsidP="00AF382E">
            <w:r w:rsidRPr="006B1889">
              <w:rPr>
                <w:i/>
                <w:iCs/>
              </w:rPr>
              <w:t>No days</w:t>
            </w:r>
          </w:p>
        </w:tc>
        <w:tc>
          <w:tcPr>
            <w:tcW w:w="1701"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E0126D2" w14:textId="77777777" w:rsidR="00B3401D" w:rsidRPr="006B1889" w:rsidRDefault="00B3401D" w:rsidP="00AF382E">
            <w:r w:rsidRPr="006B1889">
              <w:rPr>
                <w:i/>
                <w:iCs/>
              </w:rPr>
              <w:t>No decimal hrs</w:t>
            </w:r>
          </w:p>
        </w:tc>
        <w:tc>
          <w:tcPr>
            <w:tcW w:w="1503"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D3B1F9A" w14:textId="77777777" w:rsidR="00B3401D" w:rsidRPr="006B1889" w:rsidRDefault="00B3401D" w:rsidP="00AF382E">
            <w:r w:rsidRPr="006B1889">
              <w:rPr>
                <w:i/>
                <w:iCs/>
              </w:rPr>
              <w:t>Total</w:t>
            </w:r>
          </w:p>
        </w:tc>
      </w:tr>
      <w:tr w:rsidR="00B3401D" w:rsidRPr="006B1889" w14:paraId="06E891C3" w14:textId="77777777" w:rsidTr="00AF382E">
        <w:tc>
          <w:tcPr>
            <w:tcW w:w="395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9AB3E9F" w14:textId="77777777" w:rsidR="00B3401D" w:rsidRPr="006B1889" w:rsidRDefault="00B3401D" w:rsidP="00AF382E">
            <w:r w:rsidRPr="006B1889">
              <w:rPr>
                <w:i/>
                <w:iCs/>
              </w:rPr>
              <w:t>Moderation</w:t>
            </w:r>
          </w:p>
        </w:tc>
        <w:tc>
          <w:tcPr>
            <w:tcW w:w="1843" w:type="dxa"/>
            <w:tcBorders>
              <w:top w:val="nil"/>
              <w:left w:val="nil"/>
              <w:bottom w:val="single" w:sz="8" w:space="0" w:color="BFBFBF"/>
              <w:right w:val="single" w:sz="8" w:space="0" w:color="BFBFBF"/>
            </w:tcBorders>
            <w:tcMar>
              <w:top w:w="0" w:type="dxa"/>
              <w:left w:w="108" w:type="dxa"/>
              <w:bottom w:w="0" w:type="dxa"/>
              <w:right w:w="108" w:type="dxa"/>
            </w:tcMar>
            <w:hideMark/>
          </w:tcPr>
          <w:p w14:paraId="198E52B3" w14:textId="77777777" w:rsidR="00B3401D" w:rsidRPr="006B1889" w:rsidRDefault="00B3401D" w:rsidP="00AF382E">
            <w:r w:rsidRPr="006B1889">
              <w:rPr>
                <w:i/>
                <w:iCs/>
              </w:rPr>
              <w:t>2.0</w:t>
            </w:r>
          </w:p>
        </w:tc>
        <w:tc>
          <w:tcPr>
            <w:tcW w:w="1701" w:type="dxa"/>
            <w:tcBorders>
              <w:top w:val="nil"/>
              <w:left w:val="nil"/>
              <w:bottom w:val="single" w:sz="8" w:space="0" w:color="BFBFBF"/>
              <w:right w:val="single" w:sz="8" w:space="0" w:color="BFBFBF"/>
            </w:tcBorders>
            <w:tcMar>
              <w:top w:w="0" w:type="dxa"/>
              <w:left w:w="108" w:type="dxa"/>
              <w:bottom w:w="0" w:type="dxa"/>
              <w:right w:w="108" w:type="dxa"/>
            </w:tcMar>
            <w:hideMark/>
          </w:tcPr>
          <w:p w14:paraId="040756F3" w14:textId="77777777" w:rsidR="00B3401D" w:rsidRPr="006B1889" w:rsidRDefault="00B3401D" w:rsidP="00AF382E">
            <w:r w:rsidRPr="006B1889">
              <w:rPr>
                <w:i/>
                <w:iCs/>
              </w:rPr>
              <w:t>15</w:t>
            </w:r>
          </w:p>
        </w:tc>
        <w:tc>
          <w:tcPr>
            <w:tcW w:w="1503" w:type="dxa"/>
            <w:tcBorders>
              <w:top w:val="nil"/>
              <w:left w:val="nil"/>
              <w:bottom w:val="single" w:sz="8" w:space="0" w:color="BFBFBF"/>
              <w:right w:val="single" w:sz="8" w:space="0" w:color="BFBFBF"/>
            </w:tcBorders>
            <w:tcMar>
              <w:top w:w="0" w:type="dxa"/>
              <w:left w:w="108" w:type="dxa"/>
              <w:bottom w:w="0" w:type="dxa"/>
              <w:right w:w="108" w:type="dxa"/>
            </w:tcMar>
            <w:hideMark/>
          </w:tcPr>
          <w:p w14:paraId="289F6B6A" w14:textId="1BF51BC0" w:rsidR="00B3401D" w:rsidRPr="006B1889" w:rsidRDefault="00B3401D" w:rsidP="00AF382E">
            <w:r w:rsidRPr="006B1889">
              <w:rPr>
                <w:i/>
                <w:iCs/>
              </w:rPr>
              <w:t>£</w:t>
            </w:r>
            <w:r w:rsidR="006866FF">
              <w:rPr>
                <w:i/>
                <w:iCs/>
              </w:rPr>
              <w:t>202.20</w:t>
            </w:r>
          </w:p>
        </w:tc>
      </w:tr>
      <w:tr w:rsidR="00B3401D" w:rsidRPr="006B1889" w14:paraId="1125AE61" w14:textId="77777777" w:rsidTr="00AF382E">
        <w:tc>
          <w:tcPr>
            <w:tcW w:w="395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32C878F" w14:textId="77777777" w:rsidR="00B3401D" w:rsidRPr="006B1889" w:rsidRDefault="00B3401D" w:rsidP="00AF382E">
            <w:r w:rsidRPr="006B1889">
              <w:rPr>
                <w:i/>
                <w:iCs/>
              </w:rPr>
              <w:t>Attendance at Board</w:t>
            </w:r>
          </w:p>
        </w:tc>
        <w:tc>
          <w:tcPr>
            <w:tcW w:w="1843" w:type="dxa"/>
            <w:tcBorders>
              <w:top w:val="nil"/>
              <w:left w:val="nil"/>
              <w:bottom w:val="single" w:sz="8" w:space="0" w:color="BFBFBF"/>
              <w:right w:val="single" w:sz="8" w:space="0" w:color="BFBFBF"/>
            </w:tcBorders>
            <w:tcMar>
              <w:top w:w="0" w:type="dxa"/>
              <w:left w:w="108" w:type="dxa"/>
              <w:bottom w:w="0" w:type="dxa"/>
              <w:right w:w="108" w:type="dxa"/>
            </w:tcMar>
            <w:hideMark/>
          </w:tcPr>
          <w:p w14:paraId="7E5948BF" w14:textId="77777777" w:rsidR="00B3401D" w:rsidRPr="006B1889" w:rsidRDefault="00B3401D" w:rsidP="00AF382E">
            <w:r w:rsidRPr="006B1889">
              <w:rPr>
                <w:i/>
                <w:iCs/>
              </w:rPr>
              <w:t>1.0</w:t>
            </w:r>
          </w:p>
        </w:tc>
        <w:tc>
          <w:tcPr>
            <w:tcW w:w="1701" w:type="dxa"/>
            <w:tcBorders>
              <w:top w:val="nil"/>
              <w:left w:val="nil"/>
              <w:bottom w:val="single" w:sz="8" w:space="0" w:color="BFBFBF"/>
              <w:right w:val="single" w:sz="8" w:space="0" w:color="BFBFBF"/>
            </w:tcBorders>
            <w:tcMar>
              <w:top w:w="0" w:type="dxa"/>
              <w:left w:w="108" w:type="dxa"/>
              <w:bottom w:w="0" w:type="dxa"/>
              <w:right w:w="108" w:type="dxa"/>
            </w:tcMar>
            <w:hideMark/>
          </w:tcPr>
          <w:p w14:paraId="4248B262" w14:textId="77777777" w:rsidR="00B3401D" w:rsidRPr="006B1889" w:rsidRDefault="00B3401D" w:rsidP="00AF382E">
            <w:r w:rsidRPr="006B1889">
              <w:rPr>
                <w:i/>
                <w:iCs/>
              </w:rPr>
              <w:t>7.5</w:t>
            </w:r>
          </w:p>
        </w:tc>
        <w:tc>
          <w:tcPr>
            <w:tcW w:w="1503" w:type="dxa"/>
            <w:tcBorders>
              <w:top w:val="nil"/>
              <w:left w:val="nil"/>
              <w:bottom w:val="single" w:sz="8" w:space="0" w:color="BFBFBF"/>
              <w:right w:val="single" w:sz="8" w:space="0" w:color="BFBFBF"/>
            </w:tcBorders>
            <w:tcMar>
              <w:top w:w="0" w:type="dxa"/>
              <w:left w:w="108" w:type="dxa"/>
              <w:bottom w:w="0" w:type="dxa"/>
              <w:right w:w="108" w:type="dxa"/>
            </w:tcMar>
            <w:hideMark/>
          </w:tcPr>
          <w:p w14:paraId="79F04220" w14:textId="5A9E0C56" w:rsidR="00B3401D" w:rsidRPr="006B1889" w:rsidRDefault="00B3401D" w:rsidP="00AF382E">
            <w:r w:rsidRPr="006B1889">
              <w:rPr>
                <w:i/>
                <w:iCs/>
              </w:rPr>
              <w:t>£</w:t>
            </w:r>
            <w:r w:rsidR="006866FF">
              <w:rPr>
                <w:i/>
                <w:iCs/>
              </w:rPr>
              <w:t>101.10</w:t>
            </w:r>
          </w:p>
        </w:tc>
      </w:tr>
      <w:tr w:rsidR="00B3401D" w:rsidRPr="006B1889" w14:paraId="297A7F14" w14:textId="77777777" w:rsidTr="00AF382E">
        <w:tc>
          <w:tcPr>
            <w:tcW w:w="395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D9F7050" w14:textId="77777777" w:rsidR="00B3401D" w:rsidRPr="006B1889" w:rsidRDefault="00B3401D" w:rsidP="00AF382E">
            <w:r w:rsidRPr="006B1889">
              <w:rPr>
                <w:i/>
                <w:iCs/>
              </w:rPr>
              <w:t>Report</w:t>
            </w:r>
          </w:p>
        </w:tc>
        <w:tc>
          <w:tcPr>
            <w:tcW w:w="1843" w:type="dxa"/>
            <w:tcBorders>
              <w:top w:val="nil"/>
              <w:left w:val="nil"/>
              <w:bottom w:val="single" w:sz="8" w:space="0" w:color="BFBFBF"/>
              <w:right w:val="single" w:sz="8" w:space="0" w:color="BFBFBF"/>
            </w:tcBorders>
            <w:tcMar>
              <w:top w:w="0" w:type="dxa"/>
              <w:left w:w="108" w:type="dxa"/>
              <w:bottom w:w="0" w:type="dxa"/>
              <w:right w:w="108" w:type="dxa"/>
            </w:tcMar>
            <w:hideMark/>
          </w:tcPr>
          <w:p w14:paraId="18A4AC4B" w14:textId="77777777" w:rsidR="00B3401D" w:rsidRPr="006B1889" w:rsidRDefault="00B3401D" w:rsidP="00AF382E">
            <w:r w:rsidRPr="006B1889">
              <w:rPr>
                <w:i/>
                <w:iCs/>
              </w:rPr>
              <w:t>1.0</w:t>
            </w:r>
          </w:p>
        </w:tc>
        <w:tc>
          <w:tcPr>
            <w:tcW w:w="1701" w:type="dxa"/>
            <w:tcBorders>
              <w:top w:val="nil"/>
              <w:left w:val="nil"/>
              <w:bottom w:val="single" w:sz="8" w:space="0" w:color="BFBFBF"/>
              <w:right w:val="single" w:sz="8" w:space="0" w:color="BFBFBF"/>
            </w:tcBorders>
            <w:tcMar>
              <w:top w:w="0" w:type="dxa"/>
              <w:left w:w="108" w:type="dxa"/>
              <w:bottom w:w="0" w:type="dxa"/>
              <w:right w:w="108" w:type="dxa"/>
            </w:tcMar>
            <w:hideMark/>
          </w:tcPr>
          <w:p w14:paraId="00727D36" w14:textId="77777777" w:rsidR="00B3401D" w:rsidRPr="006B1889" w:rsidRDefault="00B3401D" w:rsidP="00AF382E">
            <w:r w:rsidRPr="006B1889">
              <w:rPr>
                <w:i/>
                <w:iCs/>
              </w:rPr>
              <w:t>7.5</w:t>
            </w:r>
          </w:p>
        </w:tc>
        <w:tc>
          <w:tcPr>
            <w:tcW w:w="1503" w:type="dxa"/>
            <w:tcBorders>
              <w:top w:val="nil"/>
              <w:left w:val="nil"/>
              <w:bottom w:val="single" w:sz="8" w:space="0" w:color="BFBFBF"/>
              <w:right w:val="single" w:sz="8" w:space="0" w:color="BFBFBF"/>
            </w:tcBorders>
            <w:tcMar>
              <w:top w:w="0" w:type="dxa"/>
              <w:left w:w="108" w:type="dxa"/>
              <w:bottom w:w="0" w:type="dxa"/>
              <w:right w:w="108" w:type="dxa"/>
            </w:tcMar>
            <w:hideMark/>
          </w:tcPr>
          <w:p w14:paraId="433A2A6D" w14:textId="0286F2EF" w:rsidR="00B3401D" w:rsidRPr="006B1889" w:rsidRDefault="00B3401D" w:rsidP="00AF382E">
            <w:r w:rsidRPr="006B1889">
              <w:rPr>
                <w:i/>
                <w:iCs/>
              </w:rPr>
              <w:t>£200</w:t>
            </w:r>
            <w:r w:rsidR="001F21E9">
              <w:rPr>
                <w:i/>
                <w:iCs/>
              </w:rPr>
              <w:t>.00</w:t>
            </w:r>
          </w:p>
        </w:tc>
      </w:tr>
      <w:tr w:rsidR="00B3401D" w:rsidRPr="006B1889" w14:paraId="27F9821F" w14:textId="77777777" w:rsidTr="00AF382E">
        <w:tc>
          <w:tcPr>
            <w:tcW w:w="395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B69DB49" w14:textId="77777777" w:rsidR="00B3401D" w:rsidRPr="006B1889" w:rsidRDefault="00B3401D" w:rsidP="00AF382E">
            <w:r w:rsidRPr="006B1889">
              <w:rPr>
                <w:i/>
                <w:iCs/>
              </w:rPr>
              <w:t>Mentoring External Examiners</w:t>
            </w:r>
          </w:p>
        </w:tc>
        <w:tc>
          <w:tcPr>
            <w:tcW w:w="1843" w:type="dxa"/>
            <w:tcBorders>
              <w:top w:val="nil"/>
              <w:left w:val="nil"/>
              <w:bottom w:val="single" w:sz="8" w:space="0" w:color="BFBFBF"/>
              <w:right w:val="single" w:sz="8" w:space="0" w:color="BFBFBF"/>
            </w:tcBorders>
            <w:tcMar>
              <w:top w:w="0" w:type="dxa"/>
              <w:left w:w="108" w:type="dxa"/>
              <w:bottom w:w="0" w:type="dxa"/>
              <w:right w:w="108" w:type="dxa"/>
            </w:tcMar>
            <w:hideMark/>
          </w:tcPr>
          <w:p w14:paraId="070E6221" w14:textId="77777777" w:rsidR="00B3401D" w:rsidRPr="006B1889" w:rsidRDefault="00B3401D" w:rsidP="00AF382E">
            <w:r w:rsidRPr="006B1889">
              <w:rPr>
                <w:i/>
                <w:iCs/>
              </w:rPr>
              <w:t>1.0</w:t>
            </w:r>
          </w:p>
        </w:tc>
        <w:tc>
          <w:tcPr>
            <w:tcW w:w="1701" w:type="dxa"/>
            <w:tcBorders>
              <w:top w:val="nil"/>
              <w:left w:val="nil"/>
              <w:bottom w:val="single" w:sz="8" w:space="0" w:color="BFBFBF"/>
              <w:right w:val="single" w:sz="8" w:space="0" w:color="BFBFBF"/>
            </w:tcBorders>
            <w:tcMar>
              <w:top w:w="0" w:type="dxa"/>
              <w:left w:w="108" w:type="dxa"/>
              <w:bottom w:w="0" w:type="dxa"/>
              <w:right w:w="108" w:type="dxa"/>
            </w:tcMar>
            <w:hideMark/>
          </w:tcPr>
          <w:p w14:paraId="4DD740F6" w14:textId="77777777" w:rsidR="00B3401D" w:rsidRPr="006B1889" w:rsidRDefault="00B3401D" w:rsidP="00AF382E">
            <w:r w:rsidRPr="006B1889">
              <w:rPr>
                <w:i/>
                <w:iCs/>
              </w:rPr>
              <w:t>7.5</w:t>
            </w:r>
          </w:p>
        </w:tc>
        <w:tc>
          <w:tcPr>
            <w:tcW w:w="1503" w:type="dxa"/>
            <w:tcBorders>
              <w:top w:val="nil"/>
              <w:left w:val="nil"/>
              <w:bottom w:val="single" w:sz="8" w:space="0" w:color="BFBFBF"/>
              <w:right w:val="single" w:sz="8" w:space="0" w:color="BFBFBF"/>
            </w:tcBorders>
            <w:tcMar>
              <w:top w:w="0" w:type="dxa"/>
              <w:left w:w="108" w:type="dxa"/>
              <w:bottom w:w="0" w:type="dxa"/>
              <w:right w:w="108" w:type="dxa"/>
            </w:tcMar>
            <w:hideMark/>
          </w:tcPr>
          <w:p w14:paraId="55E40751" w14:textId="58529AFB" w:rsidR="00B3401D" w:rsidRPr="006B1889" w:rsidRDefault="00B3401D" w:rsidP="00AF382E">
            <w:r w:rsidRPr="006B1889">
              <w:rPr>
                <w:i/>
                <w:iCs/>
              </w:rPr>
              <w:t>£</w:t>
            </w:r>
            <w:r w:rsidR="006866FF">
              <w:rPr>
                <w:i/>
                <w:iCs/>
              </w:rPr>
              <w:t>101.10</w:t>
            </w:r>
          </w:p>
        </w:tc>
      </w:tr>
      <w:tr w:rsidR="00B3401D" w:rsidRPr="006B1889" w14:paraId="50E79DA2" w14:textId="77777777" w:rsidTr="00AF382E">
        <w:tc>
          <w:tcPr>
            <w:tcW w:w="395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A01B4FB" w14:textId="77777777" w:rsidR="00B3401D" w:rsidRPr="006B1889" w:rsidRDefault="00B3401D" w:rsidP="00AF382E">
            <w:r w:rsidRPr="006B1889">
              <w:rPr>
                <w:b/>
                <w:bCs/>
                <w:i/>
                <w:iCs/>
              </w:rPr>
              <w:t>Total</w:t>
            </w:r>
          </w:p>
        </w:tc>
        <w:tc>
          <w:tcPr>
            <w:tcW w:w="1843" w:type="dxa"/>
            <w:tcBorders>
              <w:top w:val="nil"/>
              <w:left w:val="nil"/>
              <w:bottom w:val="single" w:sz="8" w:space="0" w:color="BFBFBF"/>
              <w:right w:val="single" w:sz="8" w:space="0" w:color="BFBFBF"/>
            </w:tcBorders>
            <w:tcMar>
              <w:top w:w="0" w:type="dxa"/>
              <w:left w:w="108" w:type="dxa"/>
              <w:bottom w:w="0" w:type="dxa"/>
              <w:right w:w="108" w:type="dxa"/>
            </w:tcMar>
            <w:hideMark/>
          </w:tcPr>
          <w:p w14:paraId="1E88D33C" w14:textId="77777777" w:rsidR="00B3401D" w:rsidRPr="006B1889" w:rsidRDefault="00B3401D" w:rsidP="00AF382E">
            <w:r w:rsidRPr="006B1889">
              <w:rPr>
                <w:b/>
                <w:bCs/>
                <w:i/>
                <w:iCs/>
              </w:rPr>
              <w:t>5.0</w:t>
            </w:r>
          </w:p>
        </w:tc>
        <w:tc>
          <w:tcPr>
            <w:tcW w:w="1701" w:type="dxa"/>
            <w:tcBorders>
              <w:top w:val="nil"/>
              <w:left w:val="nil"/>
              <w:bottom w:val="single" w:sz="8" w:space="0" w:color="BFBFBF"/>
              <w:right w:val="single" w:sz="8" w:space="0" w:color="BFBFBF"/>
            </w:tcBorders>
            <w:tcMar>
              <w:top w:w="0" w:type="dxa"/>
              <w:left w:w="108" w:type="dxa"/>
              <w:bottom w:w="0" w:type="dxa"/>
              <w:right w:w="108" w:type="dxa"/>
            </w:tcMar>
            <w:hideMark/>
          </w:tcPr>
          <w:p w14:paraId="021C544E" w14:textId="77777777" w:rsidR="00B3401D" w:rsidRPr="006B1889" w:rsidRDefault="00B3401D" w:rsidP="00AF382E">
            <w:r w:rsidRPr="006B1889">
              <w:rPr>
                <w:b/>
                <w:bCs/>
                <w:i/>
                <w:iCs/>
              </w:rPr>
              <w:t>37.5</w:t>
            </w:r>
          </w:p>
        </w:tc>
        <w:tc>
          <w:tcPr>
            <w:tcW w:w="1503" w:type="dxa"/>
            <w:tcBorders>
              <w:top w:val="nil"/>
              <w:left w:val="nil"/>
              <w:bottom w:val="single" w:sz="8" w:space="0" w:color="BFBFBF"/>
              <w:right w:val="single" w:sz="8" w:space="0" w:color="BFBFBF"/>
            </w:tcBorders>
            <w:tcMar>
              <w:top w:w="0" w:type="dxa"/>
              <w:left w:w="108" w:type="dxa"/>
              <w:bottom w:w="0" w:type="dxa"/>
              <w:right w:w="108" w:type="dxa"/>
            </w:tcMar>
            <w:hideMark/>
          </w:tcPr>
          <w:p w14:paraId="13DAEDF5" w14:textId="7C382BE2" w:rsidR="00B3401D" w:rsidRPr="006B1889" w:rsidRDefault="00B3401D" w:rsidP="00AF382E">
            <w:r w:rsidRPr="006B1889">
              <w:rPr>
                <w:b/>
                <w:bCs/>
                <w:i/>
                <w:iCs/>
              </w:rPr>
              <w:t>£</w:t>
            </w:r>
            <w:r w:rsidR="006866FF">
              <w:rPr>
                <w:b/>
                <w:bCs/>
                <w:i/>
                <w:iCs/>
              </w:rPr>
              <w:t>604.40</w:t>
            </w:r>
          </w:p>
        </w:tc>
      </w:tr>
    </w:tbl>
    <w:p w14:paraId="60972139" w14:textId="7620FEDD" w:rsidR="00B3401D" w:rsidRPr="00AF382E" w:rsidRDefault="00B3401D" w:rsidP="00AF382E">
      <w:pPr>
        <w:spacing w:after="0"/>
      </w:pPr>
      <w:r w:rsidRPr="006B1889">
        <w:t>These figures are correct as of *</w:t>
      </w:r>
      <w:r w:rsidR="006866FF" w:rsidRPr="006866FF">
        <w:rPr>
          <w:b/>
          <w:bCs/>
        </w:rPr>
        <w:t>Nov</w:t>
      </w:r>
      <w:r w:rsidRPr="006B1889">
        <w:rPr>
          <w:b/>
          <w:bCs/>
        </w:rPr>
        <w:t xml:space="preserve"> 2023</w:t>
      </w:r>
      <w:r w:rsidRPr="006B1889">
        <w:t>*.</w:t>
      </w:r>
    </w:p>
    <w:p w14:paraId="20E26B97" w14:textId="77777777" w:rsidR="00B3401D" w:rsidRDefault="00B3401D" w:rsidP="00B3401D">
      <w:pPr>
        <w:pStyle w:val="Heading3"/>
      </w:pPr>
    </w:p>
    <w:p w14:paraId="05E6ED26" w14:textId="15D36AC3" w:rsidR="00B3401D" w:rsidRPr="00AF382E" w:rsidRDefault="00B3401D" w:rsidP="00AF382E">
      <w:r>
        <w:t xml:space="preserve">Any claims that exceed the time allocated for each activity will be reviewed and ascertained by the Head of Academic Governance and Quality Assurance. We regret that travel time to/from Edge Hill may not be claimed. </w:t>
      </w:r>
    </w:p>
    <w:p w14:paraId="07247E82" w14:textId="77777777" w:rsidR="00B3401D" w:rsidRPr="008D4188" w:rsidRDefault="00B3401D" w:rsidP="00B3401D">
      <w:pPr>
        <w:jc w:val="center"/>
        <w:rPr>
          <w:rFonts w:cs="Calibri"/>
          <w:b/>
        </w:rPr>
      </w:pPr>
      <w:r w:rsidRPr="008D4188">
        <w:rPr>
          <w:rFonts w:cs="Calibri"/>
          <w:b/>
        </w:rPr>
        <w:t>Fees and expenses should normally be claimed within 30 days of any external examiner duties undertaken.</w:t>
      </w:r>
    </w:p>
    <w:p w14:paraId="1E160171" w14:textId="77777777" w:rsidR="00B3401D" w:rsidRPr="002107C6" w:rsidRDefault="00B3401D" w:rsidP="002107C6">
      <w:pPr>
        <w:pStyle w:val="Heading2"/>
      </w:pPr>
      <w:bookmarkStart w:id="35" w:name="_Toc152573720"/>
      <w:r w:rsidRPr="002107C6">
        <w:t>Annual Reports</w:t>
      </w:r>
      <w:bookmarkEnd w:id="35"/>
    </w:p>
    <w:p w14:paraId="7BC8E39D" w14:textId="7BCDE135" w:rsidR="00B3401D" w:rsidRPr="00EA4CDB" w:rsidRDefault="00B3401D" w:rsidP="00B3401D">
      <w:pPr>
        <w:pStyle w:val="ListParagraph"/>
        <w:numPr>
          <w:ilvl w:val="0"/>
          <w:numId w:val="41"/>
        </w:numPr>
        <w:spacing w:after="0"/>
      </w:pPr>
      <w:r>
        <w:t xml:space="preserve">Writing and submission of the annual report is allocated 7.5 hours. This includes all preparatory activity such as the production of interim or module reports completed during the academic session/year. </w:t>
      </w:r>
    </w:p>
    <w:p w14:paraId="64D0E596" w14:textId="77777777" w:rsidR="00B3401D" w:rsidRPr="002107C6" w:rsidRDefault="00B3401D" w:rsidP="002107C6">
      <w:pPr>
        <w:pStyle w:val="Heading2"/>
      </w:pPr>
      <w:bookmarkStart w:id="36" w:name="_Toc152573721"/>
      <w:r w:rsidRPr="002107C6">
        <w:t>Moderation</w:t>
      </w:r>
      <w:bookmarkEnd w:id="36"/>
      <w:r w:rsidRPr="002107C6">
        <w:t xml:space="preserve"> </w:t>
      </w:r>
    </w:p>
    <w:p w14:paraId="3D048688" w14:textId="2F2D5489" w:rsidR="00B3401D" w:rsidRDefault="00B3401D" w:rsidP="00AF382E">
      <w:pPr>
        <w:pStyle w:val="ListParagraph"/>
        <w:numPr>
          <w:ilvl w:val="0"/>
          <w:numId w:val="26"/>
        </w:numPr>
        <w:spacing w:after="0"/>
      </w:pPr>
      <w:r>
        <w:t xml:space="preserve">External examiners are allocated 15 hours for moderation of assessed work per academic year. This allowance is based on the typical volume of moderation per external examiner which is confirmed by the External Examiners Sub-Committee at the point of engagement. </w:t>
      </w:r>
    </w:p>
    <w:p w14:paraId="71A9DD7B" w14:textId="77777777" w:rsidR="00B3401D" w:rsidRPr="00AF382E" w:rsidRDefault="00B3401D" w:rsidP="00AF382E">
      <w:pPr>
        <w:pStyle w:val="ListParagraph"/>
        <w:numPr>
          <w:ilvl w:val="0"/>
          <w:numId w:val="26"/>
        </w:numPr>
        <w:spacing w:after="0"/>
        <w:rPr>
          <w:i/>
        </w:rPr>
      </w:pPr>
      <w:r>
        <w:t>If an external examiner accepts additional moderation responsibilities during their engagement which significantly increases their workload, then additional hours can be claimed for. If this is queried by the Head of Academic Governance and Quality Assurance, the department will need to provide evidence of this.</w:t>
      </w:r>
    </w:p>
    <w:p w14:paraId="4D5DD177" w14:textId="77777777" w:rsidR="00AF382E" w:rsidRDefault="00B3401D" w:rsidP="00AF382E">
      <w:pPr>
        <w:pStyle w:val="ListParagraph"/>
        <w:numPr>
          <w:ilvl w:val="0"/>
          <w:numId w:val="26"/>
        </w:numPr>
        <w:spacing w:after="0"/>
        <w:rPr>
          <w:i/>
        </w:rPr>
      </w:pPr>
      <w:r w:rsidRPr="00EA4CDB">
        <w:lastRenderedPageBreak/>
        <w:t>External examiners may claim hourly for “real-time” moderation activities e.g. live performances, Observed Structural Clinical Examinations and observed teaching practice in schools</w:t>
      </w:r>
      <w:r w:rsidRPr="00AF382E">
        <w:rPr>
          <w:i/>
        </w:rPr>
        <w:t>.</w:t>
      </w:r>
    </w:p>
    <w:p w14:paraId="79DAB1DD" w14:textId="233996C0" w:rsidR="00B3401D" w:rsidRPr="00AF382E" w:rsidRDefault="00B3401D" w:rsidP="00AF382E">
      <w:pPr>
        <w:pStyle w:val="ListParagraph"/>
        <w:numPr>
          <w:ilvl w:val="0"/>
          <w:numId w:val="26"/>
        </w:numPr>
        <w:spacing w:after="0"/>
        <w:rPr>
          <w:iCs/>
        </w:rPr>
      </w:pPr>
      <w:r w:rsidRPr="00AF382E">
        <w:rPr>
          <w:rFonts w:cs="Calibri"/>
          <w:iCs/>
        </w:rPr>
        <w:t>Where a programme is non-modular, the programme team will review the moderation and assessment workload to ensure that it remains within the workload model.</w:t>
      </w:r>
    </w:p>
    <w:p w14:paraId="73591964" w14:textId="77777777" w:rsidR="00AF382E" w:rsidRPr="00AF382E" w:rsidRDefault="00AF382E" w:rsidP="00AF382E">
      <w:pPr>
        <w:spacing w:after="0"/>
        <w:ind w:left="360"/>
        <w:rPr>
          <w:i/>
        </w:rPr>
      </w:pPr>
    </w:p>
    <w:p w14:paraId="55E66917" w14:textId="77777777" w:rsidR="00B3401D" w:rsidRDefault="00B3401D" w:rsidP="00AF382E">
      <w:pPr>
        <w:spacing w:after="0"/>
      </w:pPr>
      <w:r>
        <w:rPr>
          <w:b/>
        </w:rPr>
        <w:t>Moderation by external examiners should not replicate internal marking and moderation</w:t>
      </w:r>
      <w:r>
        <w:rPr>
          <w:rStyle w:val="FootnoteReference"/>
          <w:b/>
        </w:rPr>
        <w:footnoteReference w:id="21"/>
      </w:r>
      <w:r>
        <w:rPr>
          <w:b/>
        </w:rPr>
        <w:t xml:space="preserve"> </w:t>
      </w:r>
      <w:r>
        <w:t>but rather verify that these are operating fairly and consistently such that there may be confidence that threshold academic standards are being achieve or exceeded by students, and that student outcomes (grades) above threshold are comparable with other providers of similar courses. External examiners are provided with, or have access to</w:t>
      </w:r>
      <w:r>
        <w:rPr>
          <w:rStyle w:val="FootnoteReference"/>
        </w:rPr>
        <w:footnoteReference w:id="22"/>
      </w:r>
      <w:r>
        <w:t xml:space="preserve">, all the </w:t>
      </w:r>
      <w:proofErr w:type="gramStart"/>
      <w:r>
        <w:t>internally-moderated</w:t>
      </w:r>
      <w:proofErr w:type="gramEnd"/>
      <w:r>
        <w:t xml:space="preserve"> work from each module</w:t>
      </w:r>
      <w:r>
        <w:rPr>
          <w:rStyle w:val="FootnoteReference"/>
        </w:rPr>
        <w:footnoteReference w:id="23"/>
      </w:r>
      <w:r>
        <w:t xml:space="preserve"> </w:t>
      </w:r>
      <w:r>
        <w:rPr>
          <w:b/>
        </w:rPr>
        <w:t>as the basis to conduct their own sampling</w:t>
      </w:r>
      <w:r>
        <w:t xml:space="preserve"> sufficient to establish that, in their expert judgement:</w:t>
      </w:r>
    </w:p>
    <w:p w14:paraId="035A704D" w14:textId="77777777" w:rsidR="00B3401D" w:rsidRDefault="00B3401D" w:rsidP="00AF382E">
      <w:pPr>
        <w:pStyle w:val="ListParagraph"/>
        <w:numPr>
          <w:ilvl w:val="0"/>
          <w:numId w:val="40"/>
        </w:numPr>
        <w:spacing w:after="0"/>
      </w:pPr>
      <w:r w:rsidRPr="00AF382E">
        <w:rPr>
          <w:b/>
        </w:rPr>
        <w:t xml:space="preserve">Internal moderation, and by extension first marking are broadly effective and results in fair assessment decisions in line with published marking criteria </w:t>
      </w:r>
      <w:r>
        <w:softHyphen/>
        <w:t xml:space="preserve"> other than at the boundaries of grade classifications, a difference of opinion with internal markers/moderators of + or – 2 marks will not normally warrant specific comment.</w:t>
      </w:r>
    </w:p>
    <w:p w14:paraId="3F92DE63" w14:textId="77777777" w:rsidR="00B3401D" w:rsidRDefault="00B3401D" w:rsidP="00AF382E">
      <w:pPr>
        <w:pStyle w:val="ListParagraph"/>
        <w:numPr>
          <w:ilvl w:val="0"/>
          <w:numId w:val="40"/>
        </w:numPr>
        <w:spacing w:after="0"/>
      </w:pPr>
      <w:r>
        <w:t>Assessment feedback is of a high quality and developmental, and is aligned with Intended Learning Outcomes, the marking criteria and the grades awarded to the students.</w:t>
      </w:r>
    </w:p>
    <w:p w14:paraId="006A6073" w14:textId="77777777" w:rsidR="00B3401D" w:rsidRDefault="00B3401D" w:rsidP="00B3401D">
      <w:pPr>
        <w:pStyle w:val="Heading3"/>
      </w:pPr>
    </w:p>
    <w:p w14:paraId="0C02BF26" w14:textId="77777777" w:rsidR="00B3401D" w:rsidRPr="002107C6" w:rsidRDefault="00B3401D" w:rsidP="002107C6">
      <w:pPr>
        <w:pStyle w:val="Heading2"/>
      </w:pPr>
      <w:bookmarkStart w:id="37" w:name="_Toc152573722"/>
      <w:r w:rsidRPr="002107C6">
        <w:t>Attendance at assessment boards and induction activities</w:t>
      </w:r>
      <w:bookmarkEnd w:id="37"/>
    </w:p>
    <w:p w14:paraId="606BBE17" w14:textId="77777777" w:rsidR="00B3401D" w:rsidRDefault="00B3401D" w:rsidP="00AF382E">
      <w:pPr>
        <w:pStyle w:val="ListParagraph"/>
        <w:numPr>
          <w:ilvl w:val="0"/>
          <w:numId w:val="39"/>
        </w:numPr>
        <w:spacing w:after="0"/>
      </w:pPr>
      <w:r>
        <w:t>Attendance at assessment and award boards may be claimed hourly dependant on the precise length of time of the activity.</w:t>
      </w:r>
    </w:p>
    <w:p w14:paraId="206860EC" w14:textId="77777777" w:rsidR="00B3401D" w:rsidRDefault="00B3401D" w:rsidP="00AF382E">
      <w:pPr>
        <w:pStyle w:val="ListParagraph"/>
        <w:numPr>
          <w:ilvl w:val="0"/>
          <w:numId w:val="39"/>
        </w:numPr>
        <w:spacing w:after="0"/>
      </w:pPr>
      <w:r>
        <w:t>External examiners may claim up to 7.5 hours academic year for their attendance at the institutional External Examiners Induction.</w:t>
      </w:r>
    </w:p>
    <w:p w14:paraId="5F5AF062" w14:textId="77777777" w:rsidR="00B3401D" w:rsidRDefault="00B3401D" w:rsidP="00AF382E">
      <w:pPr>
        <w:spacing w:after="0"/>
      </w:pPr>
    </w:p>
    <w:p w14:paraId="3EC4D7B6" w14:textId="77777777" w:rsidR="00B3401D" w:rsidRDefault="00B3401D" w:rsidP="00B3401D">
      <w:pPr>
        <w:pStyle w:val="Heading2"/>
      </w:pPr>
      <w:bookmarkStart w:id="38" w:name="_Toc152573723"/>
      <w:r>
        <w:t>Other duties</w:t>
      </w:r>
      <w:bookmarkEnd w:id="38"/>
    </w:p>
    <w:p w14:paraId="2094417A" w14:textId="77777777" w:rsidR="00B3401D" w:rsidRDefault="00B3401D" w:rsidP="00AF382E">
      <w:pPr>
        <w:pStyle w:val="ListParagraph"/>
        <w:numPr>
          <w:ilvl w:val="0"/>
          <w:numId w:val="38"/>
        </w:numPr>
        <w:spacing w:after="0"/>
      </w:pPr>
      <w:r>
        <w:t>You may claim up to 7.5 hours per academic year for mentoring a new external examiner at the formal request of the university. You will be notified of this arrangement by the Department.</w:t>
      </w:r>
    </w:p>
    <w:p w14:paraId="72A0AF6C" w14:textId="77777777" w:rsidR="00B3401D" w:rsidRPr="00AF382E" w:rsidRDefault="00B3401D" w:rsidP="00AF382E">
      <w:pPr>
        <w:pStyle w:val="ListParagraph"/>
        <w:numPr>
          <w:ilvl w:val="0"/>
          <w:numId w:val="38"/>
        </w:numPr>
        <w:spacing w:after="0"/>
        <w:rPr>
          <w:szCs w:val="20"/>
        </w:rPr>
      </w:pPr>
      <w:r w:rsidRPr="00AF382E">
        <w:rPr>
          <w:rFonts w:asciiTheme="minorHAnsi" w:hAnsiTheme="minorHAnsi" w:cstheme="minorHAnsi"/>
          <w:szCs w:val="20"/>
        </w:rPr>
        <w:t xml:space="preserve">Where there are several external examiners covering different aspects of an award, you may be asked to act as the chief external examiner for the programme. You may claim up to 7.5 hours per academic year for this.  </w:t>
      </w:r>
    </w:p>
    <w:p w14:paraId="1976B4BA" w14:textId="77777777" w:rsidR="00B3401D" w:rsidRDefault="00B3401D" w:rsidP="00AF382E">
      <w:pPr>
        <w:pStyle w:val="ListParagraph"/>
        <w:numPr>
          <w:ilvl w:val="0"/>
          <w:numId w:val="38"/>
        </w:numPr>
        <w:spacing w:after="0"/>
      </w:pPr>
      <w:r>
        <w:t xml:space="preserve">You may claim hourly for any external verification of draft coursework briefs and/or examination papers contributing to a student’ final award, typically at FHEQ level 5 and above. </w:t>
      </w:r>
    </w:p>
    <w:p w14:paraId="7A000C06" w14:textId="77777777" w:rsidR="00B3401D" w:rsidRDefault="00B3401D" w:rsidP="00AF382E">
      <w:pPr>
        <w:pStyle w:val="ListParagraph"/>
        <w:numPr>
          <w:ilvl w:val="0"/>
          <w:numId w:val="38"/>
        </w:numPr>
        <w:spacing w:after="0"/>
      </w:pPr>
      <w:r>
        <w:t>You may claim hourly providing written comments on proposals for new modules, or module/programme modifications.</w:t>
      </w:r>
    </w:p>
    <w:p w14:paraId="6EDA34D1" w14:textId="6DA257FE" w:rsidR="00B3401D" w:rsidRPr="00B42F67" w:rsidRDefault="00B3401D" w:rsidP="00AF382E">
      <w:pPr>
        <w:pStyle w:val="ListParagraph"/>
        <w:numPr>
          <w:ilvl w:val="0"/>
          <w:numId w:val="38"/>
        </w:numPr>
        <w:spacing w:after="0"/>
        <w:rPr>
          <w:rFonts w:asciiTheme="minorHAnsi" w:hAnsiTheme="minorHAnsi" w:cstheme="minorHAnsi"/>
          <w:szCs w:val="20"/>
        </w:rPr>
      </w:pPr>
      <w:r w:rsidRPr="00B42F67">
        <w:rPr>
          <w:rFonts w:asciiTheme="minorHAnsi" w:hAnsiTheme="minorHAnsi" w:cstheme="minorHAnsi"/>
          <w:szCs w:val="20"/>
        </w:rPr>
        <w:t>You may claim hourly for the completion of Form A and Form B.</w:t>
      </w:r>
    </w:p>
    <w:p w14:paraId="7B8FE76C" w14:textId="4DD6EDA9" w:rsidR="00B3401D" w:rsidRPr="00131DEE" w:rsidRDefault="002C0D42" w:rsidP="00B3401D">
      <w:pPr>
        <w:pStyle w:val="ListParagraph"/>
        <w:numPr>
          <w:ilvl w:val="0"/>
          <w:numId w:val="38"/>
        </w:numPr>
        <w:suppressAutoHyphens w:val="0"/>
        <w:autoSpaceDN/>
        <w:contextualSpacing/>
        <w:textAlignment w:val="auto"/>
        <w:rPr>
          <w:rFonts w:asciiTheme="minorHAnsi" w:hAnsiTheme="minorHAnsi" w:cstheme="minorHAnsi"/>
          <w:sz w:val="24"/>
        </w:rPr>
      </w:pPr>
      <w:r w:rsidRPr="00B42F67">
        <w:rPr>
          <w:rFonts w:asciiTheme="minorHAnsi" w:hAnsiTheme="minorHAnsi" w:cstheme="minorHAnsi"/>
        </w:rPr>
        <w:lastRenderedPageBreak/>
        <w:t>External examiners of practice-based programmes, typically in Initial Teacher Education are requested to visit placement settings (schools) to meet with students and mentors for which this time is allocated and can be claimed for at the hourly rate.</w:t>
      </w:r>
    </w:p>
    <w:p w14:paraId="5AAE1677" w14:textId="77777777" w:rsidR="00B3401D" w:rsidRDefault="00B3401D" w:rsidP="002107C6">
      <w:pPr>
        <w:pStyle w:val="Heading2"/>
      </w:pPr>
      <w:bookmarkStart w:id="39" w:name="_Toc152573724"/>
      <w:r>
        <w:t>Expenses</w:t>
      </w:r>
      <w:bookmarkEnd w:id="39"/>
    </w:p>
    <w:p w14:paraId="63A0B35D" w14:textId="77777777" w:rsidR="00B3401D" w:rsidRDefault="00B3401D" w:rsidP="00AF382E">
      <w:pPr>
        <w:spacing w:after="0"/>
      </w:pPr>
      <w:r>
        <w:t>Edge Hill will reimburse expenditure in accordance with the maximum rates specified below. The university reserves the right to amend or withdraw this policy at any time. All expense claims are subject to the institution’s usual audit procedures in accordance with its financial regulations.</w:t>
      </w:r>
    </w:p>
    <w:p w14:paraId="270DD259" w14:textId="77777777" w:rsidR="00B3401D" w:rsidRDefault="00B3401D" w:rsidP="00AF382E">
      <w:pPr>
        <w:spacing w:after="0"/>
      </w:pPr>
    </w:p>
    <w:p w14:paraId="584B78D2" w14:textId="77777777" w:rsidR="00B3401D" w:rsidRDefault="00B3401D" w:rsidP="00AF382E">
      <w:pPr>
        <w:spacing w:after="0"/>
        <w:rPr>
          <w:b/>
          <w:i/>
        </w:rPr>
      </w:pPr>
      <w:r>
        <w:rPr>
          <w:b/>
          <w:i/>
        </w:rPr>
        <w:t xml:space="preserve">Reimbursement for all expenses will only be paid on production of receipts. If receipts are not attached to the claim form, then this may be queried with the external examiner and payment for this expense may be deducted. Please note that non-itemised receipts or statements are not acceptable as proof of purchase. </w:t>
      </w:r>
    </w:p>
    <w:p w14:paraId="6266FDFB" w14:textId="77777777" w:rsidR="00B3401D" w:rsidRDefault="00B3401D" w:rsidP="00AF382E">
      <w:pPr>
        <w:spacing w:after="0"/>
      </w:pPr>
    </w:p>
    <w:p w14:paraId="242A8364" w14:textId="77777777" w:rsidR="00B3401D" w:rsidRDefault="00B3401D" w:rsidP="00AF382E">
      <w:pPr>
        <w:spacing w:after="0"/>
      </w:pPr>
      <w:r>
        <w:t>Expenses are paid on the following basis:</w:t>
      </w:r>
    </w:p>
    <w:p w14:paraId="0DFF5AD0" w14:textId="77777777" w:rsidR="00B3401D" w:rsidRDefault="00B3401D" w:rsidP="00B3401D">
      <w:pPr>
        <w:pStyle w:val="Heading2"/>
      </w:pPr>
      <w:bookmarkStart w:id="40" w:name="_Toc152573725"/>
      <w:r>
        <w:t>Travel:</w:t>
      </w:r>
      <w:bookmarkEnd w:id="40"/>
    </w:p>
    <w:p w14:paraId="184B9BFB" w14:textId="77777777" w:rsidR="00B3401D" w:rsidRDefault="00B3401D" w:rsidP="00AF382E">
      <w:pPr>
        <w:pStyle w:val="ListParagraph"/>
        <w:numPr>
          <w:ilvl w:val="0"/>
          <w:numId w:val="36"/>
        </w:numPr>
        <w:spacing w:after="0"/>
      </w:pPr>
      <w:r>
        <w:t>Car</w:t>
      </w:r>
    </w:p>
    <w:p w14:paraId="27ABAB6D" w14:textId="77777777" w:rsidR="00B3401D" w:rsidRDefault="00B3401D" w:rsidP="00AF382E">
      <w:pPr>
        <w:spacing w:after="0"/>
      </w:pPr>
      <w:r>
        <w:t xml:space="preserve">Mileage allowance is paid at 45p per mile. Car parking fees paid during the course of external examiner duties will be reimbursed upon producing proof of purchase. </w:t>
      </w:r>
    </w:p>
    <w:p w14:paraId="7FDC33C2" w14:textId="77777777" w:rsidR="00B3401D" w:rsidRDefault="00B3401D" w:rsidP="00AF382E">
      <w:pPr>
        <w:pStyle w:val="ListParagraph"/>
        <w:numPr>
          <w:ilvl w:val="0"/>
          <w:numId w:val="36"/>
        </w:numPr>
        <w:spacing w:after="0"/>
      </w:pPr>
      <w:r>
        <w:t>Public transport</w:t>
      </w:r>
    </w:p>
    <w:p w14:paraId="3DBA9E66" w14:textId="77777777" w:rsidR="00B3401D" w:rsidRDefault="00B3401D" w:rsidP="00AF382E">
      <w:pPr>
        <w:pStyle w:val="ListParagraph"/>
        <w:numPr>
          <w:ilvl w:val="0"/>
          <w:numId w:val="37"/>
        </w:numPr>
        <w:spacing w:after="0"/>
      </w:pPr>
      <w:r>
        <w:t>Bus and underground fares will be refunded as incurred.</w:t>
      </w:r>
    </w:p>
    <w:p w14:paraId="3B5B91E3" w14:textId="77777777" w:rsidR="00B3401D" w:rsidRDefault="00B3401D" w:rsidP="00AF382E">
      <w:pPr>
        <w:pStyle w:val="ListParagraph"/>
        <w:numPr>
          <w:ilvl w:val="0"/>
          <w:numId w:val="37"/>
        </w:numPr>
        <w:spacing w:after="0"/>
      </w:pPr>
      <w:r>
        <w:t>Standard class rail tickets will be refunded.</w:t>
      </w:r>
    </w:p>
    <w:p w14:paraId="42F87B58" w14:textId="77777777" w:rsidR="00B3401D" w:rsidRPr="00EB3CD2" w:rsidRDefault="00B3401D" w:rsidP="00AF382E">
      <w:pPr>
        <w:pStyle w:val="ListParagraph"/>
        <w:numPr>
          <w:ilvl w:val="0"/>
          <w:numId w:val="37"/>
        </w:numPr>
      </w:pPr>
      <w:r>
        <w:t xml:space="preserve">Air travel will be by economy class or equivalent and is authorised where significant savings can be achieved in time. Where a higher class of travel is unavoidable the cost will be met provided this has been cleared with the Academic Quality Officer prior to booking. </w:t>
      </w:r>
    </w:p>
    <w:p w14:paraId="51A0BC8E" w14:textId="77777777" w:rsidR="00B3401D" w:rsidRDefault="00B3401D" w:rsidP="00582581">
      <w:pPr>
        <w:pStyle w:val="ListParagraph"/>
        <w:numPr>
          <w:ilvl w:val="0"/>
          <w:numId w:val="36"/>
        </w:numPr>
      </w:pPr>
      <w:r>
        <w:t>Taxi</w:t>
      </w:r>
    </w:p>
    <w:p w14:paraId="1E6E6868" w14:textId="77777777" w:rsidR="00B3401D" w:rsidRDefault="00B3401D" w:rsidP="00B3401D">
      <w:pPr>
        <w:pStyle w:val="PlainText"/>
      </w:pPr>
      <w:r>
        <w:t xml:space="preserve">Costs will be refunded only where public transport is unavailable or to save time. We would recommend using </w:t>
      </w:r>
      <w:proofErr w:type="spellStart"/>
      <w:r w:rsidRPr="00AC3EC4">
        <w:rPr>
          <w:b/>
          <w:bCs/>
          <w:i/>
          <w:iCs/>
        </w:rPr>
        <w:t>Skem</w:t>
      </w:r>
      <w:proofErr w:type="spellEnd"/>
      <w:r w:rsidRPr="00AC3EC4">
        <w:rPr>
          <w:b/>
          <w:bCs/>
          <w:i/>
          <w:iCs/>
        </w:rPr>
        <w:t xml:space="preserve"> Express on 01695 50005</w:t>
      </w:r>
      <w:r>
        <w:t xml:space="preserve"> and quote Edge Hill, please keep the receipts and send them to us with the attached form for a refund. Taxis should not be asked to wait whilst external examining duties are undertaken. </w:t>
      </w:r>
    </w:p>
    <w:p w14:paraId="0CA828F0" w14:textId="77777777" w:rsidR="00B3401D" w:rsidRDefault="00B3401D" w:rsidP="00B3401D">
      <w:pPr>
        <w:spacing w:after="0"/>
      </w:pPr>
    </w:p>
    <w:p w14:paraId="2A3739C8" w14:textId="77777777" w:rsidR="00B3401D" w:rsidRDefault="00B3401D" w:rsidP="00B3401D">
      <w:pPr>
        <w:pStyle w:val="Heading2"/>
      </w:pPr>
      <w:bookmarkStart w:id="41" w:name="_Toc152573726"/>
      <w:r>
        <w:t>Hotels</w:t>
      </w:r>
      <w:bookmarkEnd w:id="41"/>
    </w:p>
    <w:p w14:paraId="23B08925" w14:textId="77777777" w:rsidR="00B3401D" w:rsidRDefault="00B3401D" w:rsidP="00AF382E">
      <w:pPr>
        <w:pStyle w:val="ListParagraph"/>
        <w:numPr>
          <w:ilvl w:val="0"/>
          <w:numId w:val="31"/>
        </w:numPr>
        <w:spacing w:after="0"/>
      </w:pPr>
      <w:r>
        <w:t xml:space="preserve">The university has a selection of approved hotels which are used depending on the location of the business activity being undertaken. </w:t>
      </w:r>
      <w:r w:rsidRPr="00AF382E">
        <w:rPr>
          <w:b/>
        </w:rPr>
        <w:t xml:space="preserve">Overnight accommodation will be arranged by the Governance, Quality Assurance and Student Casework team on request to </w:t>
      </w:r>
      <w:hyperlink r:id="rId12" w:history="1">
        <w:r w:rsidRPr="00CC194F">
          <w:rPr>
            <w:rStyle w:val="Hyperlink"/>
          </w:rPr>
          <w:t>externalexaminers@edgehill.ac.uk</w:t>
        </w:r>
      </w:hyperlink>
      <w:r w:rsidRPr="00AF382E">
        <w:rPr>
          <w:b/>
        </w:rPr>
        <w:t xml:space="preserve">. </w:t>
      </w:r>
      <w:r>
        <w:t xml:space="preserve">In exceptional cases we may approve examiners to book their own accommodation up to a maximum cost of £100 inclusive of VAT and in such circumstances the </w:t>
      </w:r>
      <w:r w:rsidRPr="00AF382E">
        <w:rPr>
          <w:bCs/>
        </w:rPr>
        <w:t>Governance, Quality Assurance and Student Casework team</w:t>
      </w:r>
      <w:r w:rsidRPr="00AF382E">
        <w:rPr>
          <w:b/>
        </w:rPr>
        <w:t xml:space="preserve"> </w:t>
      </w:r>
      <w:r>
        <w:t xml:space="preserve">should be notified beforehand. </w:t>
      </w:r>
    </w:p>
    <w:p w14:paraId="3C45CC2F" w14:textId="29327C78" w:rsidR="00B3401D" w:rsidRPr="00635F43" w:rsidRDefault="00B3401D" w:rsidP="00B3401D">
      <w:pPr>
        <w:pStyle w:val="ListParagraph"/>
        <w:numPr>
          <w:ilvl w:val="0"/>
          <w:numId w:val="31"/>
        </w:numPr>
        <w:spacing w:after="0"/>
      </w:pPr>
      <w:r>
        <w:t xml:space="preserve">Edge Hill will directly invoice the hotel for the bed and breakfast rate only. External examiners are required to submit a claim form for any expenses incurred during their stay. </w:t>
      </w:r>
    </w:p>
    <w:p w14:paraId="5CB6FD8A" w14:textId="77777777" w:rsidR="00B3401D" w:rsidRDefault="00B3401D" w:rsidP="00B3401D">
      <w:pPr>
        <w:pStyle w:val="Heading2"/>
      </w:pPr>
      <w:bookmarkStart w:id="42" w:name="_Toc152573727"/>
      <w:r>
        <w:lastRenderedPageBreak/>
        <w:t>Subsistence</w:t>
      </w:r>
      <w:bookmarkEnd w:id="42"/>
    </w:p>
    <w:p w14:paraId="7329887F" w14:textId="77777777" w:rsidR="00B3401D" w:rsidRDefault="00B3401D" w:rsidP="00AF382E">
      <w:r>
        <w:t>The purpose of subsistence payment is to reimburse the extra costs of meals and refreshments whilst undertaking external examiner duties</w:t>
      </w:r>
      <w:r w:rsidRPr="00E54826">
        <w:t xml:space="preserve"> </w:t>
      </w:r>
      <w:r>
        <w:t xml:space="preserve">away from home. There is a maximum amount per day that can be claimed, taking into account the circumstances and the </w:t>
      </w:r>
      <w:proofErr w:type="gramStart"/>
      <w:r>
        <w:t>amount</w:t>
      </w:r>
      <w:proofErr w:type="gramEnd"/>
      <w:r>
        <w:t xml:space="preserve"> of hours spent away from home (this includes time spent travelling):</w:t>
      </w:r>
    </w:p>
    <w:p w14:paraId="1B666986" w14:textId="77777777" w:rsidR="00B3401D" w:rsidRDefault="00B3401D" w:rsidP="00AF382E">
      <w:pPr>
        <w:pStyle w:val="ListParagraph"/>
        <w:numPr>
          <w:ilvl w:val="0"/>
          <w:numId w:val="35"/>
        </w:numPr>
        <w:spacing w:after="0"/>
      </w:pPr>
      <w:r>
        <w:t>Where overnight accommodation is booked for that evening, a maximum of £25 per day can be claimed including an evening meal.</w:t>
      </w:r>
    </w:p>
    <w:p w14:paraId="42EAF70C" w14:textId="77777777" w:rsidR="00B3401D" w:rsidRDefault="00B3401D" w:rsidP="00AF382E">
      <w:pPr>
        <w:pStyle w:val="ListParagraph"/>
        <w:numPr>
          <w:ilvl w:val="0"/>
          <w:numId w:val="35"/>
        </w:numPr>
        <w:spacing w:after="0"/>
      </w:pPr>
      <w:r>
        <w:t>Where overnight accommodation is not booked but time away from the office/home exceeds 5 hours, a maximum of £5 can be claimed.</w:t>
      </w:r>
    </w:p>
    <w:p w14:paraId="4B145822" w14:textId="77777777" w:rsidR="00B3401D" w:rsidRDefault="00B3401D" w:rsidP="00AF382E">
      <w:pPr>
        <w:pStyle w:val="ListParagraph"/>
        <w:numPr>
          <w:ilvl w:val="0"/>
          <w:numId w:val="35"/>
        </w:numPr>
        <w:spacing w:after="0"/>
      </w:pPr>
      <w:r>
        <w:t>Where overnight accommodation is not booked but time away from the office/home exceeds 10 hours, a maximum of £10 can be claimed.</w:t>
      </w:r>
    </w:p>
    <w:p w14:paraId="6685E2D8" w14:textId="77777777" w:rsidR="00B3401D" w:rsidRDefault="00B3401D" w:rsidP="00AF382E">
      <w:pPr>
        <w:pStyle w:val="ListParagraph"/>
        <w:numPr>
          <w:ilvl w:val="0"/>
          <w:numId w:val="35"/>
        </w:numPr>
        <w:spacing w:after="0"/>
      </w:pPr>
      <w:r>
        <w:t>It is anticipated that during full day visits to Edge Hill, a lunch will be provided.</w:t>
      </w:r>
    </w:p>
    <w:p w14:paraId="395C7826" w14:textId="77777777" w:rsidR="00B3401D" w:rsidRDefault="00B3401D" w:rsidP="00AF382E">
      <w:pPr>
        <w:pStyle w:val="ListParagraph"/>
        <w:numPr>
          <w:ilvl w:val="0"/>
          <w:numId w:val="35"/>
        </w:numPr>
        <w:spacing w:after="0"/>
      </w:pPr>
      <w:r w:rsidRPr="00AF382E">
        <w:rPr>
          <w:b/>
        </w:rPr>
        <w:t>Itemised receipts must be provided</w:t>
      </w:r>
      <w:r>
        <w:t xml:space="preserve"> for all claims and reimbursement is for the actual amount spent.</w:t>
      </w:r>
    </w:p>
    <w:p w14:paraId="04ED62B1" w14:textId="678DA2D7" w:rsidR="00B3401D" w:rsidRDefault="00B3401D" w:rsidP="00AF382E">
      <w:pPr>
        <w:pStyle w:val="ListParagraph"/>
        <w:numPr>
          <w:ilvl w:val="0"/>
          <w:numId w:val="35"/>
        </w:numPr>
        <w:spacing w:after="0"/>
      </w:pPr>
      <w:r>
        <w:t>Alcoholic drinks cannot be claimed for.</w:t>
      </w:r>
    </w:p>
    <w:p w14:paraId="3FAD0EDD" w14:textId="77777777" w:rsidR="00AF382E" w:rsidRDefault="00AF382E" w:rsidP="00AF382E">
      <w:pPr>
        <w:pStyle w:val="ListParagraph"/>
        <w:spacing w:after="0"/>
      </w:pPr>
    </w:p>
    <w:p w14:paraId="067A238A" w14:textId="6D1FF851" w:rsidR="00B3401D" w:rsidRPr="00AF382E" w:rsidRDefault="00B3401D" w:rsidP="00AF382E">
      <w:pPr>
        <w:rPr>
          <w:i/>
        </w:rPr>
      </w:pPr>
      <w:r>
        <w:rPr>
          <w:i/>
        </w:rPr>
        <w:t xml:space="preserve">For example, if an examiner travelled to Briars Hall the evening before an assessment board, a maximum claim of £25 could be made for an evening meal at the hotel and refreshments taken during the journey. For the day of the assessment board and subsequent travel home, this would exceed 10 hours and therefore a maximum of £10 could be claimed for subsistence taken during that day.  </w:t>
      </w:r>
    </w:p>
    <w:p w14:paraId="16B227E6" w14:textId="77777777" w:rsidR="00B3401D" w:rsidRDefault="00B3401D" w:rsidP="00B3401D">
      <w:pPr>
        <w:pStyle w:val="Heading2"/>
      </w:pPr>
      <w:bookmarkStart w:id="43" w:name="_Toc152573728"/>
      <w:r>
        <w:t>Telephone calls and postage</w:t>
      </w:r>
      <w:bookmarkEnd w:id="43"/>
    </w:p>
    <w:p w14:paraId="4BB14FF6" w14:textId="77777777" w:rsidR="00B3401D" w:rsidRDefault="00B3401D" w:rsidP="00B3401D">
      <w:r>
        <w:t>Postage incurred as part of external examining duties, including sending right to work documentation, may be claimed on expenses.</w:t>
      </w:r>
    </w:p>
    <w:p w14:paraId="24458003" w14:textId="539AE27F" w:rsidR="00B3401D" w:rsidRPr="00DA02C8" w:rsidRDefault="00B3401D" w:rsidP="00B3401D">
      <w:r>
        <w:t xml:space="preserve">All claims for telephone calls must be supported by an itemised call listing and claims will only apply to work-related calls. When staying overnight, a single telephone call lasting up to 10 minutes may also be claimed. </w:t>
      </w:r>
    </w:p>
    <w:p w14:paraId="0BEE203E" w14:textId="3F866C7E" w:rsidR="002107C6" w:rsidRPr="00582581" w:rsidRDefault="00B3401D" w:rsidP="00582581">
      <w:pPr>
        <w:rPr>
          <w:b/>
          <w:bCs/>
        </w:rPr>
      </w:pPr>
      <w:r w:rsidRPr="00582581">
        <w:rPr>
          <w:b/>
          <w:bCs/>
        </w:rPr>
        <w:t>Edge Hill reserves the right to withhold payments for claims that significantly exceed to the above.</w:t>
      </w:r>
      <w:r w:rsidR="002107C6" w:rsidRPr="00582581">
        <w:rPr>
          <w:b/>
          <w:bCs/>
        </w:rPr>
        <w:br/>
      </w:r>
    </w:p>
    <w:p w14:paraId="44CB4EFD" w14:textId="4E7F7D13" w:rsidR="00B3401D" w:rsidRDefault="00B3401D" w:rsidP="002107C6">
      <w:pPr>
        <w:pStyle w:val="Heading2"/>
      </w:pPr>
      <w:bookmarkStart w:id="44" w:name="_Toc152573729"/>
      <w:r>
        <w:t>Submitting fees and expenses claims</w:t>
      </w:r>
      <w:bookmarkEnd w:id="44"/>
    </w:p>
    <w:p w14:paraId="5512FD4A" w14:textId="1CE91969" w:rsidR="00B3401D" w:rsidRDefault="00B3401D" w:rsidP="00B3401D">
      <w:r>
        <w:t>Please note that payment for any duties carried out as an external examiner for Edge Hill University is contingent on the submission of the appropriate fees and expenses claim forms. Fees and expense claims are submitted as they are incurred on a monthly basis.</w:t>
      </w:r>
    </w:p>
    <w:p w14:paraId="16966414" w14:textId="7461C9C7" w:rsidR="00B3401D" w:rsidRPr="00AF382E" w:rsidRDefault="00B3401D" w:rsidP="00AF382E">
      <w:r>
        <w:t xml:space="preserve">During the personnel stage of engaging an external examiner, a new payee form is completed to ensure the examiner is registered for payment by the university. </w:t>
      </w:r>
      <w:r w:rsidRPr="005767E3">
        <w:rPr>
          <w:b/>
        </w:rPr>
        <w:t>Claims must be submitted on the External Examiner</w:t>
      </w:r>
      <w:r>
        <w:rPr>
          <w:b/>
        </w:rPr>
        <w:t xml:space="preserve"> – Fee and Expense Claim form</w:t>
      </w:r>
      <w:r>
        <w:t>. After you have received your first payment, please include your pay reference number which can be found on your payslip, on any future forms.</w:t>
      </w:r>
    </w:p>
    <w:p w14:paraId="23935FCF" w14:textId="0AEC0E31" w:rsidR="00B3401D" w:rsidRDefault="00B3401D" w:rsidP="00B3401D">
      <w:r>
        <w:t xml:space="preserve">All fee and expense claims including receipts must be submitted on the appropriate form to the Academic Quality Officer in the </w:t>
      </w:r>
      <w:r>
        <w:rPr>
          <w:rFonts w:asciiTheme="minorHAnsi" w:hAnsiTheme="minorHAnsi" w:cstheme="minorHAnsi"/>
          <w:bCs/>
        </w:rPr>
        <w:t>Governance, Quality Assurance and Student Casework team</w:t>
      </w:r>
      <w:r>
        <w:t xml:space="preserve"> at Edge Hill University: </w:t>
      </w:r>
    </w:p>
    <w:p w14:paraId="67CF5E11" w14:textId="77777777" w:rsidR="00B3401D" w:rsidRDefault="00B3401D" w:rsidP="00B3401D">
      <w:pPr>
        <w:spacing w:after="0"/>
      </w:pPr>
      <w:r>
        <w:lastRenderedPageBreak/>
        <w:t xml:space="preserve">Academic Quality Officer </w:t>
      </w:r>
    </w:p>
    <w:p w14:paraId="19589229" w14:textId="77777777" w:rsidR="00B3401D" w:rsidRDefault="00B3401D" w:rsidP="00B3401D">
      <w:pPr>
        <w:spacing w:after="0"/>
      </w:pPr>
      <w:r>
        <w:t>Student Administration Centre</w:t>
      </w:r>
    </w:p>
    <w:p w14:paraId="75EBFC84" w14:textId="77777777" w:rsidR="00B3401D" w:rsidRDefault="00B3401D" w:rsidP="00B3401D">
      <w:pPr>
        <w:spacing w:after="0"/>
      </w:pPr>
      <w:r>
        <w:t>Edge Hill University</w:t>
      </w:r>
    </w:p>
    <w:p w14:paraId="79435B0C" w14:textId="77777777" w:rsidR="00B3401D" w:rsidRDefault="00B3401D" w:rsidP="00B3401D">
      <w:pPr>
        <w:spacing w:after="0"/>
      </w:pPr>
      <w:r>
        <w:t xml:space="preserve"> St Helens Road </w:t>
      </w:r>
    </w:p>
    <w:p w14:paraId="2808C862" w14:textId="77777777" w:rsidR="00B3401D" w:rsidRDefault="00B3401D" w:rsidP="00B3401D">
      <w:pPr>
        <w:spacing w:after="0"/>
      </w:pPr>
      <w:r>
        <w:t xml:space="preserve">Ormskirk L39 4QP </w:t>
      </w:r>
    </w:p>
    <w:p w14:paraId="28EB3CCD" w14:textId="58E37FE7" w:rsidR="00B3401D" w:rsidRDefault="001F324B" w:rsidP="00B3401D">
      <w:pPr>
        <w:spacing w:after="0"/>
        <w:rPr>
          <w:u w:val="single" w:color="000000"/>
        </w:rPr>
      </w:pPr>
      <w:hyperlink r:id="rId13" w:history="1">
        <w:r w:rsidR="00B3401D" w:rsidRPr="00CC194F">
          <w:rPr>
            <w:rStyle w:val="Hyperlink"/>
          </w:rPr>
          <w:t>externalexaminers@edgehill.ac.uk</w:t>
        </w:r>
      </w:hyperlink>
      <w:r w:rsidR="00B3401D">
        <w:rPr>
          <w:u w:val="single" w:color="000000"/>
        </w:rPr>
        <w:t xml:space="preserve"> </w:t>
      </w:r>
    </w:p>
    <w:p w14:paraId="2AAEB1E9" w14:textId="77777777" w:rsidR="00B3401D" w:rsidRPr="00B3401D" w:rsidRDefault="00B3401D" w:rsidP="00B3401D">
      <w:pPr>
        <w:spacing w:after="0"/>
        <w:rPr>
          <w:u w:val="single" w:color="000000"/>
        </w:rPr>
      </w:pPr>
    </w:p>
    <w:p w14:paraId="7C6130BD" w14:textId="3BC18425" w:rsidR="00B3401D" w:rsidRDefault="00B3401D" w:rsidP="00B3401D">
      <w:r>
        <w:t>The claim form templates can be found on the External Examiners website</w:t>
      </w:r>
      <w:r w:rsidR="00B42F67">
        <w:rPr>
          <w:rStyle w:val="FootnoteReference"/>
        </w:rPr>
        <w:footnoteReference w:id="24"/>
      </w:r>
      <w:r>
        <w:t xml:space="preserve"> at </w:t>
      </w:r>
      <w:r w:rsidRPr="00F5034C">
        <w:t>External examiners - Edge Hill University</w:t>
      </w:r>
      <w:r>
        <w:t xml:space="preserve">. Upon submission of the annual report via the online system, a copy of the claim form is automatically sent to external examiners to prompt the claim for that portion of your fee. </w:t>
      </w:r>
      <w:r w:rsidRPr="00956E7C">
        <w:rPr>
          <w:b/>
        </w:rPr>
        <w:t xml:space="preserve">Please note </w:t>
      </w:r>
      <w:r>
        <w:rPr>
          <w:b/>
        </w:rPr>
        <w:t xml:space="preserve">we can only accept a typed signature if we receive written confirmation that you are happy for us to process the form. </w:t>
      </w:r>
      <w:r w:rsidRPr="00956E7C">
        <w:rPr>
          <w:b/>
        </w:rPr>
        <w:t xml:space="preserve"> </w:t>
      </w:r>
    </w:p>
    <w:p w14:paraId="3797BC6B" w14:textId="77777777" w:rsidR="00B3401D" w:rsidRDefault="00B3401D" w:rsidP="00B3401D">
      <w:pPr>
        <w:pStyle w:val="Heading2"/>
      </w:pPr>
      <w:bookmarkStart w:id="45" w:name="_Toc152573730"/>
      <w:r>
        <w:t>Payment</w:t>
      </w:r>
      <w:bookmarkEnd w:id="45"/>
      <w:r>
        <w:t xml:space="preserve"> </w:t>
      </w:r>
    </w:p>
    <w:p w14:paraId="53243527" w14:textId="1C4A5F73" w:rsidR="00B3401D" w:rsidRPr="005767E3" w:rsidRDefault="00B3401D" w:rsidP="00B3401D">
      <w:r w:rsidRPr="005767E3">
        <w:t xml:space="preserve">All fee claims are subject to tax and National Insurance deductions in line with HMRC requirements.  Any fee/expenses that are claimed are paid directly into a building society or bank account on the last working day of the month as detailed on the claim form. </w:t>
      </w:r>
      <w:r>
        <w:t>T</w:t>
      </w:r>
      <w:r w:rsidRPr="005767E3">
        <w:t xml:space="preserve">o receive payment, claim forms must be received by the </w:t>
      </w:r>
      <w:r>
        <w:t>Academic Quality Officer</w:t>
      </w:r>
      <w:r w:rsidRPr="005767E3">
        <w:t xml:space="preserve"> prior to the last working day of the previous month e.g. to receive payment on the 28th February 20</w:t>
      </w:r>
      <w:r w:rsidR="00F5034C">
        <w:t>23</w:t>
      </w:r>
      <w:r w:rsidRPr="005767E3">
        <w:t>, claim forms must be received by the 31st January 20</w:t>
      </w:r>
      <w:r w:rsidR="00F5034C">
        <w:t>23</w:t>
      </w:r>
      <w:r w:rsidRPr="005767E3">
        <w:t xml:space="preserve">. Any claims received after the last working day will roll over into the next claim period and be paid the following month. </w:t>
      </w:r>
      <w:r w:rsidRPr="00DA02C8">
        <w:rPr>
          <w:u w:val="single"/>
        </w:rPr>
        <w:t>Please note that there may be earlier deadlines in December and July due to Christmas holidays and financial year end.</w:t>
      </w:r>
    </w:p>
    <w:p w14:paraId="377BE82D" w14:textId="77777777" w:rsidR="00BE61B3" w:rsidRDefault="00B21A03">
      <w:pPr>
        <w:pStyle w:val="Heading1"/>
      </w:pPr>
      <w:bookmarkStart w:id="46" w:name="_Toc152573731"/>
      <w:r>
        <w:t>Role and Remit of Edge Hill University Assessment Boards</w:t>
      </w:r>
      <w:bookmarkEnd w:id="46"/>
    </w:p>
    <w:p w14:paraId="2786CBA8" w14:textId="77777777" w:rsidR="00BE61B3" w:rsidRDefault="00B21A03" w:rsidP="004538AC">
      <w:pPr>
        <w:pStyle w:val="Heading2"/>
        <w:numPr>
          <w:ilvl w:val="0"/>
          <w:numId w:val="7"/>
        </w:numPr>
      </w:pPr>
      <w:bookmarkStart w:id="47" w:name="_Toc152573732"/>
      <w:r>
        <w:t>Assessment Board System:</w:t>
      </w:r>
      <w:bookmarkEnd w:id="47"/>
    </w:p>
    <w:p w14:paraId="4F3C18F6" w14:textId="0B321994" w:rsidR="00F5034C" w:rsidRPr="00F5034C" w:rsidRDefault="00F5034C" w:rsidP="00F5034C">
      <w:r w:rsidRPr="00F5034C">
        <w:t>Edge Hill University operates a two-tier assessment board system for the determination of marks and results. 1st Tier: Module/block year Assessment Boards consider module performance. 2nd Tier: Progression and Award Boards consider end of session results. Combined Tier Assessment Boards may be convened where appropriate within programmes/courses to assume the responsibilities of both Module/block year Assessment Boards and Progression/Award Boards. Combined Tier Boards operate with 1st Tier (Module/block year Assessment Boards) and 2nd Tier (Progression and Award Boards) conflated into one meeting. They assume the responsibilities of both Module/block year Assessment Boards and Progression or Award Boards and they reflect the same membership, role and remit.</w:t>
      </w:r>
    </w:p>
    <w:p w14:paraId="0B95F792" w14:textId="28C01EB6" w:rsidR="00BE61B3" w:rsidRDefault="00B21A03" w:rsidP="004538AC">
      <w:pPr>
        <w:pStyle w:val="Heading2"/>
        <w:numPr>
          <w:ilvl w:val="0"/>
          <w:numId w:val="7"/>
        </w:numPr>
      </w:pPr>
      <w:bookmarkStart w:id="48" w:name="_Toc152573733"/>
      <w:r>
        <w:t>Membership</w:t>
      </w:r>
      <w:bookmarkEnd w:id="48"/>
    </w:p>
    <w:p w14:paraId="13474853" w14:textId="77777777" w:rsidR="00BE61B3" w:rsidRDefault="00B21A03">
      <w:pPr>
        <w:pStyle w:val="Heading3"/>
      </w:pPr>
      <w:bookmarkStart w:id="49" w:name="_Toc152573734"/>
      <w:r>
        <w:t>2.1 Constitution</w:t>
      </w:r>
      <w:bookmarkEnd w:id="49"/>
    </w:p>
    <w:p w14:paraId="467E2461" w14:textId="41F968EF" w:rsidR="00F5034C" w:rsidRPr="00F5034C" w:rsidRDefault="00F5034C" w:rsidP="00F5034C">
      <w:r w:rsidRPr="00F5034C">
        <w:t xml:space="preserve">The regulations pertaining to membership are set out in the Academic Regulations under H9. On an annual basis the Faculty Assistant Registrar will submit an approved constitution for Assessment Boards to Academic Registry. External examiners are required to attend appropriate Assessment Board meetings, but the University is conscious that, within a tiered Assessment Board system, it may not be possible for external examiners to attend at both Module/block year and Programme level. The University’s general position is that subject external examiners should attend at the </w:t>
      </w:r>
      <w:r w:rsidRPr="00F5034C">
        <w:lastRenderedPageBreak/>
        <w:t>Module/block year Board Level with specifically designated examiners attending at the 2nd Tier stage. Where the operation of combined Boards means that external examiners can attend both Module/block year and Progression and Award Boards there is no requirement to designate individuals to have an oversight of the 2nd Tier stage. It is important to stress that whilst the University stipulates a minimum requirement for attendance at Assessment Boards, external examiners have a right, and are welcome, to attend all Assessment Boards they are associated with at any level</w:t>
      </w:r>
      <w:r>
        <w:t>.</w:t>
      </w:r>
    </w:p>
    <w:p w14:paraId="3CE98A53" w14:textId="30357AC8" w:rsidR="002A590B" w:rsidRDefault="002A590B" w:rsidP="002A590B">
      <w:pPr>
        <w:pStyle w:val="Heading3"/>
      </w:pPr>
      <w:bookmarkStart w:id="50" w:name="_Toc152573735"/>
      <w:r>
        <w:t>2.2 Absence</w:t>
      </w:r>
      <w:bookmarkEnd w:id="50"/>
      <w:r>
        <w:t xml:space="preserve"> </w:t>
      </w:r>
    </w:p>
    <w:p w14:paraId="6B990474" w14:textId="0D01B64C" w:rsidR="0086076F" w:rsidRDefault="002A590B" w:rsidP="0086076F">
      <w:pPr>
        <w:spacing w:after="0"/>
      </w:pPr>
      <w:r w:rsidRPr="002A590B">
        <w:rPr>
          <w:u w:val="single"/>
        </w:rPr>
        <w:t>2.2.1 Internal Examiners</w:t>
      </w:r>
    </w:p>
    <w:p w14:paraId="393DD15D" w14:textId="19798EC4" w:rsidR="00F5034C" w:rsidRDefault="00F5034C" w:rsidP="0086076F">
      <w:pPr>
        <w:spacing w:after="0"/>
      </w:pPr>
      <w:r w:rsidRPr="00F5034C">
        <w:t>In the event that an internal examiner is unable to attend, it is expected that they will either nominate an appropriate alternate to attend on their behalf or provide a suitable briefing to an existing member of the Board. Attendance by substitutes will only be permitted where the substitute has had substantial involvement in the relevant assessment process and where this has been agreed by the Head of Department in advance. If an examiner is present virtually, this will be accepted as them attending the meeting and not considered absence.</w:t>
      </w:r>
    </w:p>
    <w:p w14:paraId="72A59D1F" w14:textId="77777777" w:rsidR="00F5034C" w:rsidRDefault="00F5034C" w:rsidP="0086076F">
      <w:pPr>
        <w:spacing w:after="0"/>
      </w:pPr>
    </w:p>
    <w:p w14:paraId="17A39933" w14:textId="41B3E2EE" w:rsidR="00F5034C" w:rsidRDefault="002A590B" w:rsidP="00F5034C">
      <w:pPr>
        <w:spacing w:after="0"/>
      </w:pPr>
      <w:r w:rsidRPr="002A590B">
        <w:rPr>
          <w:u w:val="single"/>
        </w:rPr>
        <w:t>2.2.2 External Examiners</w:t>
      </w:r>
    </w:p>
    <w:p w14:paraId="35829F7F" w14:textId="5855021A" w:rsidR="00F5034C" w:rsidRPr="00F5034C" w:rsidRDefault="00F5034C" w:rsidP="00F5034C">
      <w:r>
        <w:t>Should an external examiner be unable to attend a Module/block year Assessment Board, a written report may be accepted in lieu of attendance. This notification should provide the Board with an assurance that the external examiner has fulfilled their duties in relation to the Modules/year of study concerned and that the Board can proceed with confidence in the marks presented. It is expected that there will be at least one external examiner in attendance at the Award stage. In exceptional cases an Award Board may proceed in the absence of an external examiner provided that this is approved in advance by the Dean of Faculty and the Head of Academic Registry. In such exceptional cases it would be preferable for the external examiner to view the Award Board papers in advance of the meeting. In cases where it is judged that an Award Board should not proceed without the presence of an external examiner, the meeting will be postponed. If an examiner is present virtually, this will be accepted as them attending the meeting and not considered absence.</w:t>
      </w:r>
    </w:p>
    <w:p w14:paraId="06D38352" w14:textId="38252C9F" w:rsidR="00BE61B3" w:rsidRDefault="00B21A03">
      <w:pPr>
        <w:pStyle w:val="Heading3"/>
      </w:pPr>
      <w:bookmarkStart w:id="51" w:name="_Toc152573736"/>
      <w:r>
        <w:t>2.3 Quoracy</w:t>
      </w:r>
      <w:bookmarkEnd w:id="51"/>
    </w:p>
    <w:p w14:paraId="3BB941C1" w14:textId="7BBE4A26" w:rsidR="00F5034C" w:rsidRDefault="00F5034C" w:rsidP="002A590B">
      <w:r>
        <w:t>One third of members are required for an Assessment Board to be deemed quorate. In the unusual event that a meeting would not be quorate, the Chair of the Board, in consultation with the Head of Academic Registry, will make a judgement on the extent to which the Board is equipped to discharge its responsibilities. In cases where it is the view of the Chair that the Board is unable to proceed, the meeting will be postponed. Where, in the view of the Chair, the Board can make the appropriate judgements soundly, the meeting may proceed. 6 In cases where a Board is conducted with less than one third of members the Chair must submit a written report to the Head of Academic Registry which provides an assurance that the Board was able to discharge its responsibility properly.</w:t>
      </w:r>
    </w:p>
    <w:p w14:paraId="10D9A80D" w14:textId="497B22D3" w:rsidR="00BE61B3" w:rsidRDefault="00B21A03" w:rsidP="00347AE0">
      <w:pPr>
        <w:pStyle w:val="Heading2"/>
        <w:numPr>
          <w:ilvl w:val="0"/>
          <w:numId w:val="7"/>
        </w:numPr>
      </w:pPr>
      <w:bookmarkStart w:id="52" w:name="_Toc152573737"/>
      <w:r>
        <w:t>Remit</w:t>
      </w:r>
      <w:bookmarkEnd w:id="52"/>
    </w:p>
    <w:p w14:paraId="7D5F1E44" w14:textId="77777777" w:rsidR="002A590B" w:rsidRDefault="002A590B" w:rsidP="002A590B">
      <w:pPr>
        <w:pStyle w:val="Heading3"/>
      </w:pPr>
      <w:bookmarkStart w:id="53" w:name="_Toc152573738"/>
      <w:r w:rsidRPr="002A590B">
        <w:t>3.1 Module/block year Assessment Boards</w:t>
      </w:r>
      <w:bookmarkEnd w:id="53"/>
      <w:r w:rsidRPr="002A590B">
        <w:t xml:space="preserve"> </w:t>
      </w:r>
    </w:p>
    <w:p w14:paraId="5B2B9129" w14:textId="77777777" w:rsidR="00F5034C" w:rsidRDefault="00F5034C" w:rsidP="002A590B">
      <w:r>
        <w:t xml:space="preserve">Module/block year Assessment Boards are responsible </w:t>
      </w:r>
      <w:proofErr w:type="gramStart"/>
      <w:r>
        <w:t>for;</w:t>
      </w:r>
      <w:proofErr w:type="gramEnd"/>
      <w:r>
        <w:t xml:space="preserve"> </w:t>
      </w:r>
    </w:p>
    <w:p w14:paraId="61EA591B" w14:textId="7270DA09" w:rsidR="00347AE0" w:rsidRDefault="00347AE0" w:rsidP="00347AE0">
      <w:pPr>
        <w:pStyle w:val="ListParagraph"/>
        <w:numPr>
          <w:ilvl w:val="0"/>
          <w:numId w:val="45"/>
        </w:numPr>
        <w:spacing w:after="0"/>
      </w:pPr>
      <w:r>
        <w:t xml:space="preserve">Confirming the marks to be awarded to individual candidates for each module/year they are studying in that </w:t>
      </w:r>
      <w:proofErr w:type="gramStart"/>
      <w:r>
        <w:t>subject;</w:t>
      </w:r>
      <w:proofErr w:type="gramEnd"/>
    </w:p>
    <w:p w14:paraId="76695399" w14:textId="657F9E22" w:rsidR="00347AE0" w:rsidRDefault="00347AE0" w:rsidP="00347AE0">
      <w:pPr>
        <w:pStyle w:val="ListParagraph"/>
        <w:numPr>
          <w:ilvl w:val="0"/>
          <w:numId w:val="45"/>
        </w:numPr>
        <w:spacing w:after="0"/>
      </w:pPr>
      <w:r>
        <w:lastRenderedPageBreak/>
        <w:t xml:space="preserve">Confirming any scaling of marks across a cohort where this has been approved by the external </w:t>
      </w:r>
      <w:proofErr w:type="gramStart"/>
      <w:r>
        <w:t>examiner;</w:t>
      </w:r>
      <w:proofErr w:type="gramEnd"/>
    </w:p>
    <w:p w14:paraId="41B8F8E9" w14:textId="63B7E5A9" w:rsidR="00347AE0" w:rsidRDefault="00347AE0" w:rsidP="00347AE0">
      <w:pPr>
        <w:pStyle w:val="ListParagraph"/>
        <w:numPr>
          <w:ilvl w:val="0"/>
          <w:numId w:val="45"/>
        </w:numPr>
        <w:spacing w:after="0"/>
      </w:pPr>
      <w:r>
        <w:t>Making recommendations on failures, special cases and deferred assessment to the Progression or Award Board.</w:t>
      </w:r>
    </w:p>
    <w:p w14:paraId="26067CB1" w14:textId="77777777" w:rsidR="00347AE0" w:rsidRDefault="00347AE0" w:rsidP="002A590B"/>
    <w:p w14:paraId="31A209F3" w14:textId="74616A03" w:rsidR="00F5034C" w:rsidRDefault="00F5034C" w:rsidP="00F5034C">
      <w:r>
        <w:t>Marks determined by Module/block year Assessment Boards shall not be subject to revision by other Assessment Boards.</w:t>
      </w:r>
    </w:p>
    <w:p w14:paraId="19CEC68A" w14:textId="77777777" w:rsidR="002A590B" w:rsidRDefault="002A590B" w:rsidP="002A590B">
      <w:pPr>
        <w:pStyle w:val="Heading3"/>
      </w:pPr>
      <w:bookmarkStart w:id="54" w:name="_Toc152573739"/>
      <w:r w:rsidRPr="002A590B">
        <w:t>3.2 Progression and Award Boards</w:t>
      </w:r>
      <w:bookmarkEnd w:id="54"/>
      <w:r w:rsidRPr="002A590B">
        <w:t xml:space="preserve"> </w:t>
      </w:r>
    </w:p>
    <w:p w14:paraId="4601BB1D" w14:textId="77777777" w:rsidR="00347AE0" w:rsidRDefault="00347AE0" w:rsidP="00347AE0">
      <w:pPr>
        <w:spacing w:after="0"/>
      </w:pPr>
      <w:r>
        <w:t xml:space="preserve">Progression and Award Boards are responsible for: </w:t>
      </w:r>
    </w:p>
    <w:p w14:paraId="7E23B04C" w14:textId="77777777" w:rsidR="00347AE0" w:rsidRDefault="00347AE0" w:rsidP="00347AE0">
      <w:pPr>
        <w:pStyle w:val="ListParagraph"/>
        <w:numPr>
          <w:ilvl w:val="0"/>
          <w:numId w:val="45"/>
        </w:numPr>
        <w:spacing w:after="0"/>
      </w:pPr>
      <w:r>
        <w:t xml:space="preserve">Confirming the results for each student in relation to their progression or award having regard to the recommendations from Module Assessment </w:t>
      </w:r>
      <w:proofErr w:type="gramStart"/>
      <w:r>
        <w:t>Boards;</w:t>
      </w:r>
      <w:proofErr w:type="gramEnd"/>
    </w:p>
    <w:p w14:paraId="397B9AC3" w14:textId="77777777" w:rsidR="00347AE0" w:rsidRDefault="00347AE0" w:rsidP="00347AE0">
      <w:pPr>
        <w:pStyle w:val="ListParagraph"/>
        <w:numPr>
          <w:ilvl w:val="0"/>
          <w:numId w:val="45"/>
        </w:numPr>
        <w:spacing w:after="0"/>
      </w:pPr>
      <w:r>
        <w:t xml:space="preserve">Confirming any RPL </w:t>
      </w:r>
      <w:proofErr w:type="gramStart"/>
      <w:r>
        <w:t>recommendations;</w:t>
      </w:r>
      <w:proofErr w:type="gramEnd"/>
      <w:r>
        <w:t xml:space="preserve"> </w:t>
      </w:r>
    </w:p>
    <w:p w14:paraId="24316A5B" w14:textId="78BB0354" w:rsidR="00347AE0" w:rsidRDefault="00347AE0" w:rsidP="00347AE0">
      <w:pPr>
        <w:pStyle w:val="ListParagraph"/>
        <w:numPr>
          <w:ilvl w:val="0"/>
          <w:numId w:val="45"/>
        </w:numPr>
        <w:spacing w:after="0"/>
      </w:pPr>
      <w:r>
        <w:t xml:space="preserve">Determining condonements, referrals and deferrals having regard to Module/block year Board </w:t>
      </w:r>
      <w:proofErr w:type="gramStart"/>
      <w:r>
        <w:t>recommendations;</w:t>
      </w:r>
      <w:proofErr w:type="gramEnd"/>
    </w:p>
    <w:p w14:paraId="1E23B361" w14:textId="5AA54357" w:rsidR="00347AE0" w:rsidRDefault="00347AE0" w:rsidP="00347AE0">
      <w:pPr>
        <w:pStyle w:val="ListParagraph"/>
        <w:numPr>
          <w:ilvl w:val="0"/>
          <w:numId w:val="45"/>
        </w:numPr>
        <w:spacing w:after="0"/>
      </w:pPr>
      <w:r>
        <w:t xml:space="preserve">Ensuring that the Module/year of study components of a candidate’s programme of study entitle the candidate to the specified named </w:t>
      </w:r>
      <w:proofErr w:type="gramStart"/>
      <w:r>
        <w:t>award;</w:t>
      </w:r>
      <w:proofErr w:type="gramEnd"/>
      <w:r>
        <w:t xml:space="preserve"> </w:t>
      </w:r>
    </w:p>
    <w:p w14:paraId="33B357B4" w14:textId="77777777" w:rsidR="00347AE0" w:rsidRDefault="00347AE0" w:rsidP="00347AE0">
      <w:pPr>
        <w:pStyle w:val="ListParagraph"/>
        <w:numPr>
          <w:ilvl w:val="0"/>
          <w:numId w:val="45"/>
        </w:numPr>
        <w:spacing w:after="0"/>
      </w:pPr>
      <w:r>
        <w:t>Making recommendations in relation to Qualified Teacher Status (QTS</w:t>
      </w:r>
      <w:proofErr w:type="gramStart"/>
      <w:r>
        <w:t>);</w:t>
      </w:r>
      <w:proofErr w:type="gramEnd"/>
      <w:r>
        <w:t xml:space="preserve"> </w:t>
      </w:r>
    </w:p>
    <w:p w14:paraId="1E4F5141" w14:textId="1DD5F20B" w:rsidR="00F5034C" w:rsidRDefault="00347AE0" w:rsidP="00347AE0">
      <w:pPr>
        <w:pStyle w:val="ListParagraph"/>
        <w:numPr>
          <w:ilvl w:val="0"/>
          <w:numId w:val="45"/>
        </w:numPr>
        <w:spacing w:after="0"/>
      </w:pPr>
      <w:r>
        <w:t>Recommending Aegrotat awards where appropriate.</w:t>
      </w:r>
    </w:p>
    <w:p w14:paraId="24B6C5CB" w14:textId="77777777" w:rsidR="00347AE0" w:rsidRDefault="00347AE0" w:rsidP="00347AE0">
      <w:pPr>
        <w:spacing w:after="0"/>
      </w:pPr>
    </w:p>
    <w:p w14:paraId="44722D8B" w14:textId="08D6B53B" w:rsidR="0086076F" w:rsidRDefault="0086076F" w:rsidP="00347AE0">
      <w:pPr>
        <w:pStyle w:val="Heading2"/>
        <w:numPr>
          <w:ilvl w:val="0"/>
          <w:numId w:val="7"/>
        </w:numPr>
      </w:pPr>
      <w:bookmarkStart w:id="55" w:name="_Toc152573740"/>
      <w:r w:rsidRPr="0086076F">
        <w:t>Delegation of Functions</w:t>
      </w:r>
      <w:bookmarkEnd w:id="55"/>
      <w:r w:rsidRPr="0086076F">
        <w:t xml:space="preserve"> </w:t>
      </w:r>
    </w:p>
    <w:p w14:paraId="13868EB7" w14:textId="110F87B1" w:rsidR="0086076F" w:rsidRDefault="0086076F" w:rsidP="00347AE0">
      <w:pPr>
        <w:pStyle w:val="Heading3"/>
        <w:numPr>
          <w:ilvl w:val="0"/>
          <w:numId w:val="46"/>
        </w:numPr>
      </w:pPr>
      <w:bookmarkStart w:id="56" w:name="_Toc152573741"/>
      <w:r w:rsidRPr="0086076F">
        <w:t>Subsidiary Panels</w:t>
      </w:r>
      <w:bookmarkEnd w:id="56"/>
    </w:p>
    <w:p w14:paraId="3E8F578F" w14:textId="77777777" w:rsidR="00347AE0" w:rsidRDefault="00347AE0" w:rsidP="0086076F">
      <w:pPr>
        <w:spacing w:after="0"/>
      </w:pPr>
      <w:r>
        <w:t xml:space="preserve">As articulated in the Academic Regulations, Progression and Award Boards have delegated power to subsidiary panels to consider business in the following areas: </w:t>
      </w:r>
    </w:p>
    <w:p w14:paraId="0F92096D" w14:textId="19E67952" w:rsidR="00347AE0" w:rsidRDefault="00347AE0" w:rsidP="00347AE0">
      <w:pPr>
        <w:pStyle w:val="ListParagraph"/>
        <w:numPr>
          <w:ilvl w:val="0"/>
          <w:numId w:val="45"/>
        </w:numPr>
        <w:spacing w:after="0"/>
      </w:pPr>
      <w:r>
        <w:t>Personal Circumstances (see Appendix 7)</w:t>
      </w:r>
    </w:p>
    <w:p w14:paraId="70805C88" w14:textId="18EEF52F" w:rsidR="00347AE0" w:rsidRDefault="00347AE0" w:rsidP="00347AE0">
      <w:pPr>
        <w:pStyle w:val="ListParagraph"/>
        <w:numPr>
          <w:ilvl w:val="0"/>
          <w:numId w:val="45"/>
        </w:numPr>
        <w:spacing w:after="0"/>
      </w:pPr>
      <w:r>
        <w:t>Investigations in relation to Academic Malpractice (see Appendix 8)</w:t>
      </w:r>
    </w:p>
    <w:p w14:paraId="15FFA47B" w14:textId="77777777" w:rsidR="00347AE0" w:rsidRDefault="00347AE0" w:rsidP="0086076F">
      <w:pPr>
        <w:spacing w:after="0"/>
      </w:pPr>
    </w:p>
    <w:p w14:paraId="4470ADA7" w14:textId="31C2AABF" w:rsidR="0086076F" w:rsidRDefault="0086076F" w:rsidP="00347AE0">
      <w:pPr>
        <w:pStyle w:val="Heading3"/>
        <w:numPr>
          <w:ilvl w:val="0"/>
          <w:numId w:val="46"/>
        </w:numPr>
      </w:pPr>
      <w:bookmarkStart w:id="57" w:name="_Toc152573742"/>
      <w:r w:rsidRPr="0086076F">
        <w:t>Chair’s Action</w:t>
      </w:r>
      <w:bookmarkEnd w:id="57"/>
      <w:r w:rsidRPr="0086076F">
        <w:t xml:space="preserve"> </w:t>
      </w:r>
    </w:p>
    <w:p w14:paraId="05565A17" w14:textId="77777777" w:rsidR="00347AE0" w:rsidRDefault="00347AE0" w:rsidP="0086076F">
      <w:r>
        <w:t xml:space="preserve">It is expected that marks will be presented on time and inputted to the Student Records System in line with the schedule published by the relevant Faculty Assistant Registrar. </w:t>
      </w:r>
    </w:p>
    <w:p w14:paraId="6D341EA1" w14:textId="77777777" w:rsidR="00347AE0" w:rsidRDefault="00347AE0" w:rsidP="0086076F">
      <w:r>
        <w:t xml:space="preserve">Subsequent to the Module/block year Board, marks may only be amended under the following circumstances - </w:t>
      </w:r>
      <w:proofErr w:type="gramStart"/>
      <w:r>
        <w:t>if;</w:t>
      </w:r>
      <w:proofErr w:type="gramEnd"/>
    </w:p>
    <w:p w14:paraId="4C4B61B0" w14:textId="02EF7847" w:rsidR="00347AE0" w:rsidRDefault="00347AE0" w:rsidP="00347AE0">
      <w:pPr>
        <w:pStyle w:val="ListParagraph"/>
        <w:numPr>
          <w:ilvl w:val="0"/>
          <w:numId w:val="47"/>
        </w:numPr>
      </w:pPr>
      <w:r>
        <w:t xml:space="preserve">Chair’s Action was granted at the Module/block year </w:t>
      </w:r>
      <w:proofErr w:type="gramStart"/>
      <w:r>
        <w:t>Board;</w:t>
      </w:r>
      <w:proofErr w:type="gramEnd"/>
      <w:r>
        <w:t xml:space="preserve"> </w:t>
      </w:r>
    </w:p>
    <w:p w14:paraId="3112E5D3" w14:textId="77777777" w:rsidR="00347AE0" w:rsidRDefault="00347AE0" w:rsidP="00347AE0">
      <w:pPr>
        <w:pStyle w:val="ListParagraph"/>
        <w:numPr>
          <w:ilvl w:val="0"/>
          <w:numId w:val="47"/>
        </w:numPr>
      </w:pPr>
      <w:r>
        <w:t xml:space="preserve">A Mark Amendment Form has been signed by the chair of the Module/block year </w:t>
      </w:r>
      <w:proofErr w:type="gramStart"/>
      <w:r>
        <w:t>Board;</w:t>
      </w:r>
      <w:proofErr w:type="gramEnd"/>
      <w:r>
        <w:t xml:space="preserve"> </w:t>
      </w:r>
    </w:p>
    <w:p w14:paraId="675A96D6" w14:textId="77777777" w:rsidR="00347AE0" w:rsidRDefault="00347AE0" w:rsidP="00347AE0">
      <w:pPr>
        <w:pStyle w:val="ListParagraph"/>
        <w:numPr>
          <w:ilvl w:val="0"/>
          <w:numId w:val="47"/>
        </w:numPr>
      </w:pPr>
      <w:r>
        <w:t xml:space="preserve">iii) Consent from the Chair has been obtained in advance of the meeting to verbally report the mark at the Progression/Award Board. </w:t>
      </w:r>
    </w:p>
    <w:p w14:paraId="11A4337B" w14:textId="77777777" w:rsidR="00347AE0" w:rsidRDefault="00347AE0" w:rsidP="00347AE0">
      <w:r>
        <w:t xml:space="preserve">It is acknowledged that in certain cases, normally relating to ongoing Malpractice investigations or the impact of delayed placements, marks may not be available in time for an Assessment Board meeting. In such cases where a decision cannot be made at the scheduled Board the Module/block year and Profile will be recorded as ‘Subject to Chair’s Action’. </w:t>
      </w:r>
    </w:p>
    <w:p w14:paraId="36CA6701" w14:textId="77777777" w:rsidR="00347AE0" w:rsidRDefault="00347AE0" w:rsidP="00347AE0">
      <w:r>
        <w:lastRenderedPageBreak/>
        <w:t xml:space="preserve">In these exceptional circumstances, the Chair of the Board will be responsible for confirming the final outcome. It is at the discretion of the Chair to make a judgement on whether the volume and nature of such activity would warrant the Board to be reconvened in order to consider the updated profile(s). </w:t>
      </w:r>
    </w:p>
    <w:p w14:paraId="62B5688D" w14:textId="044102BA" w:rsidR="0086076F" w:rsidRDefault="00347AE0" w:rsidP="00347AE0">
      <w:r>
        <w:t xml:space="preserve">All proceedings that are authorised by the Chair outside of the main meeting will be reported to the Board at the next available opportunity via the standing agenda item ‘Matters Arising from the Previous Meeting’. </w:t>
      </w:r>
    </w:p>
    <w:p w14:paraId="11218B5D" w14:textId="0DDE67AF" w:rsidR="0086076F" w:rsidRDefault="0086076F" w:rsidP="00347AE0">
      <w:pPr>
        <w:pStyle w:val="Heading2"/>
        <w:numPr>
          <w:ilvl w:val="0"/>
          <w:numId w:val="7"/>
        </w:numPr>
      </w:pPr>
      <w:bookmarkStart w:id="58" w:name="_Toc152573743"/>
      <w:r w:rsidRPr="0086076F">
        <w:t>The application of the Academic Regulations</w:t>
      </w:r>
      <w:bookmarkEnd w:id="58"/>
      <w:r w:rsidRPr="0086076F">
        <w:t xml:space="preserve"> </w:t>
      </w:r>
    </w:p>
    <w:p w14:paraId="554FB28A" w14:textId="77777777" w:rsidR="00347AE0" w:rsidRDefault="00347AE0" w:rsidP="0086076F">
      <w:r>
        <w:t>Progression and Award Boards operate with delegated authority from Academic Board for ensuring the parity of treatment for students in the interpretation of regulations and precedents across different subjects or different programmes of study.</w:t>
      </w:r>
    </w:p>
    <w:p w14:paraId="46370858" w14:textId="77777777" w:rsidR="00347AE0" w:rsidRDefault="00347AE0" w:rsidP="0086076F">
      <w:r>
        <w:t xml:space="preserve">It is expected that all Board members will act with impartiality and prior to the consideration of candidates the Chair will formally provide an opportunity for the declaration of any close personal or business relationship with a candidate being considered that could reasonably question the impartiality of the examining/assessment process. In cases where a declaration is made, the Chair will make an appropriate response, which will normally be to request that the Board member abstains from any discussion about the individual cited. </w:t>
      </w:r>
    </w:p>
    <w:p w14:paraId="322A2558" w14:textId="77777777" w:rsidR="00044F33" w:rsidRDefault="00347AE0" w:rsidP="0086076F">
      <w:r>
        <w:t xml:space="preserve">Within defined conditions, as expressed under Appendix 12, Progression and Award Boards hold the power to exercise discretion in some circumstances. When exercising discretion, the Board may consult with the subject representatives for pedagogic advice on the appropriateness of any recommendation. However, the Board should not request, nor consider, any comments on an individual’s conduct or mitigating circumstances that are not substantiated through the </w:t>
      </w:r>
      <w:proofErr w:type="spellStart"/>
      <w:r>
        <w:t>markbook</w:t>
      </w:r>
      <w:proofErr w:type="spellEnd"/>
      <w:r>
        <w:t xml:space="preserve">/ board papers. </w:t>
      </w:r>
    </w:p>
    <w:p w14:paraId="426C4A5A" w14:textId="29C62946" w:rsidR="00347AE0" w:rsidRDefault="00347AE0" w:rsidP="0086076F">
      <w:r>
        <w:t>Every effort shall be made to reach a decision by consensus, however, in exceptional cases where voting upon a matter is deemed to be necessary, a decision shall be determined by a simple majority of members of the Board and the Chair shall have a casting vote in the case of a split decision.</w:t>
      </w:r>
    </w:p>
    <w:p w14:paraId="059A4356" w14:textId="77777777" w:rsidR="0086076F" w:rsidRDefault="0086076F" w:rsidP="00044F33">
      <w:pPr>
        <w:pStyle w:val="Heading2"/>
        <w:numPr>
          <w:ilvl w:val="0"/>
          <w:numId w:val="7"/>
        </w:numPr>
      </w:pPr>
      <w:bookmarkStart w:id="59" w:name="_Toc152573744"/>
      <w:r w:rsidRPr="0086076F">
        <w:t>Recording Outcomes</w:t>
      </w:r>
      <w:bookmarkEnd w:id="59"/>
      <w:r w:rsidRPr="0086076F">
        <w:t xml:space="preserve"> </w:t>
      </w:r>
    </w:p>
    <w:p w14:paraId="46FBB9D7" w14:textId="2EAA4706" w:rsidR="0086076F" w:rsidRPr="0086076F" w:rsidRDefault="00044F33" w:rsidP="0086076F">
      <w:r>
        <w:t>The business of all meetings will be recorded via minutes that are prepared by the Secretary and approved by members at the next meeting of the Board.</w:t>
      </w:r>
    </w:p>
    <w:p w14:paraId="153763E0" w14:textId="3469BFC7" w:rsidR="00E0524B" w:rsidRDefault="00EC7BB8" w:rsidP="00E0524B">
      <w:pPr>
        <w:pStyle w:val="Heading1"/>
      </w:pPr>
      <w:bookmarkStart w:id="60" w:name="_Toc152573745"/>
      <w:r>
        <w:t>Contact List</w:t>
      </w:r>
      <w:bookmarkEnd w:id="60"/>
    </w:p>
    <w:p w14:paraId="6972B28D" w14:textId="77777777" w:rsidR="00900AFD" w:rsidRPr="00900AFD" w:rsidRDefault="00900AFD" w:rsidP="00900AFD"/>
    <w:tbl>
      <w:tblPr>
        <w:tblStyle w:val="TableGrid"/>
        <w:tblpPr w:leftFromText="180" w:rightFromText="180" w:vertAnchor="text" w:horzAnchor="margin" w:tblpY="11"/>
        <w:tblOverlap w:val="never"/>
        <w:tblW w:w="0" w:type="auto"/>
        <w:tblLook w:val="04A0" w:firstRow="1" w:lastRow="0" w:firstColumn="1" w:lastColumn="0" w:noHBand="0" w:noVBand="1"/>
      </w:tblPr>
      <w:tblGrid>
        <w:gridCol w:w="2853"/>
        <w:gridCol w:w="2859"/>
        <w:gridCol w:w="3304"/>
      </w:tblGrid>
      <w:tr w:rsidR="00232EDA" w14:paraId="286B30C7" w14:textId="77777777" w:rsidTr="006D43B5">
        <w:trPr>
          <w:trHeight w:val="416"/>
          <w:tblHeader/>
        </w:trPr>
        <w:tc>
          <w:tcPr>
            <w:tcW w:w="2853" w:type="dxa"/>
          </w:tcPr>
          <w:p w14:paraId="6B3169C9" w14:textId="782EA256" w:rsidR="00232EDA" w:rsidRPr="00232EDA" w:rsidRDefault="00232EDA" w:rsidP="00232EDA">
            <w:pPr>
              <w:rPr>
                <w:b/>
                <w:bCs/>
                <w:iCs/>
              </w:rPr>
            </w:pPr>
            <w:r w:rsidRPr="00232EDA">
              <w:rPr>
                <w:b/>
                <w:bCs/>
                <w:iCs/>
              </w:rPr>
              <w:t>Name</w:t>
            </w:r>
          </w:p>
        </w:tc>
        <w:tc>
          <w:tcPr>
            <w:tcW w:w="2859" w:type="dxa"/>
          </w:tcPr>
          <w:p w14:paraId="61B43D2D" w14:textId="275F234A" w:rsidR="00232EDA" w:rsidRPr="00232EDA" w:rsidRDefault="00232EDA" w:rsidP="00232EDA">
            <w:pPr>
              <w:rPr>
                <w:b/>
                <w:bCs/>
                <w:iCs/>
              </w:rPr>
            </w:pPr>
            <w:r w:rsidRPr="00232EDA">
              <w:rPr>
                <w:b/>
                <w:bCs/>
                <w:iCs/>
              </w:rPr>
              <w:t>Query</w:t>
            </w:r>
          </w:p>
        </w:tc>
        <w:tc>
          <w:tcPr>
            <w:tcW w:w="3304" w:type="dxa"/>
          </w:tcPr>
          <w:p w14:paraId="5A9BDC9C" w14:textId="3F639C37" w:rsidR="00232EDA" w:rsidRPr="00232EDA" w:rsidRDefault="00232EDA" w:rsidP="00232EDA">
            <w:pPr>
              <w:rPr>
                <w:b/>
                <w:bCs/>
                <w:iCs/>
              </w:rPr>
            </w:pPr>
            <w:r w:rsidRPr="00232EDA">
              <w:rPr>
                <w:b/>
                <w:bCs/>
                <w:iCs/>
              </w:rPr>
              <w:t>Details</w:t>
            </w:r>
          </w:p>
        </w:tc>
      </w:tr>
      <w:tr w:rsidR="00232EDA" w14:paraId="26037FB0" w14:textId="77777777" w:rsidTr="006D53FB">
        <w:trPr>
          <w:trHeight w:val="659"/>
        </w:trPr>
        <w:tc>
          <w:tcPr>
            <w:tcW w:w="2853" w:type="dxa"/>
          </w:tcPr>
          <w:p w14:paraId="3DD6720C" w14:textId="04B918E3" w:rsidR="00232EDA" w:rsidRDefault="00232EDA" w:rsidP="00232EDA">
            <w:pPr>
              <w:rPr>
                <w:i/>
              </w:rPr>
            </w:pPr>
            <w:r w:rsidRPr="00232EDA">
              <w:rPr>
                <w:b/>
                <w:bCs/>
                <w:i/>
              </w:rPr>
              <w:t>Kelly Hand</w:t>
            </w:r>
            <w:r>
              <w:rPr>
                <w:i/>
              </w:rPr>
              <w:t xml:space="preserve"> – Head of Academic Governance and Quality Assurance</w:t>
            </w:r>
          </w:p>
        </w:tc>
        <w:tc>
          <w:tcPr>
            <w:tcW w:w="2859" w:type="dxa"/>
          </w:tcPr>
          <w:p w14:paraId="66E21478" w14:textId="5A5BCE21" w:rsidR="00232EDA" w:rsidRDefault="00232EDA" w:rsidP="00232EDA">
            <w:pPr>
              <w:rPr>
                <w:i/>
              </w:rPr>
            </w:pPr>
            <w:r>
              <w:t>Strategic or quality-related queries.</w:t>
            </w:r>
          </w:p>
        </w:tc>
        <w:tc>
          <w:tcPr>
            <w:tcW w:w="3304" w:type="dxa"/>
          </w:tcPr>
          <w:p w14:paraId="7F9AF3FE" w14:textId="77777777" w:rsidR="00C605E9" w:rsidRDefault="00C605E9" w:rsidP="00C605E9">
            <w:pPr>
              <w:rPr>
                <w:color w:val="7030A0"/>
              </w:rPr>
            </w:pPr>
            <w:r>
              <w:t xml:space="preserve">Governance, Quality Assurance and Student Casework </w:t>
            </w:r>
          </w:p>
          <w:p w14:paraId="434CA9E7" w14:textId="77777777" w:rsidR="00232EDA" w:rsidRDefault="00232EDA" w:rsidP="00232EDA">
            <w:pPr>
              <w:rPr>
                <w:color w:val="7030A0"/>
              </w:rPr>
            </w:pPr>
            <w:r>
              <w:rPr>
                <w:color w:val="7030A0"/>
              </w:rPr>
              <w:t>01695 657167</w:t>
            </w:r>
          </w:p>
          <w:p w14:paraId="0A381ED5" w14:textId="6F1EECDD" w:rsidR="00232EDA" w:rsidRDefault="001F324B" w:rsidP="00232EDA">
            <w:pPr>
              <w:rPr>
                <w:i/>
              </w:rPr>
            </w:pPr>
            <w:hyperlink r:id="rId14" w:history="1">
              <w:r w:rsidR="00232EDA" w:rsidRPr="007B28EB">
                <w:rPr>
                  <w:rStyle w:val="Hyperlink"/>
                </w:rPr>
                <w:t>kelly.hand@edgehill.ac.uk</w:t>
              </w:r>
            </w:hyperlink>
          </w:p>
        </w:tc>
      </w:tr>
      <w:tr w:rsidR="00232EDA" w14:paraId="5B2DD61B" w14:textId="77777777" w:rsidTr="006D53FB">
        <w:trPr>
          <w:trHeight w:val="697"/>
        </w:trPr>
        <w:tc>
          <w:tcPr>
            <w:tcW w:w="2853" w:type="dxa"/>
          </w:tcPr>
          <w:p w14:paraId="6F464027" w14:textId="3E46DE44" w:rsidR="00232EDA" w:rsidRPr="00232EDA" w:rsidRDefault="00232EDA" w:rsidP="00232EDA">
            <w:pPr>
              <w:rPr>
                <w:i/>
              </w:rPr>
            </w:pPr>
            <w:r>
              <w:rPr>
                <w:b/>
                <w:bCs/>
                <w:i/>
              </w:rPr>
              <w:t xml:space="preserve">Christopher Bill </w:t>
            </w:r>
            <w:r>
              <w:rPr>
                <w:i/>
              </w:rPr>
              <w:t>– Senior Registrar</w:t>
            </w:r>
            <w:r w:rsidR="00EC7BB8">
              <w:rPr>
                <w:i/>
              </w:rPr>
              <w:t>:</w:t>
            </w:r>
            <w:r>
              <w:rPr>
                <w:i/>
              </w:rPr>
              <w:t xml:space="preserve"> Assessment &amp; Awards</w:t>
            </w:r>
          </w:p>
        </w:tc>
        <w:tc>
          <w:tcPr>
            <w:tcW w:w="2859" w:type="dxa"/>
          </w:tcPr>
          <w:p w14:paraId="7518015D" w14:textId="0EFF9F95" w:rsidR="00232EDA" w:rsidRDefault="00232EDA" w:rsidP="00232EDA">
            <w:pPr>
              <w:rPr>
                <w:i/>
              </w:rPr>
            </w:pPr>
            <w:r>
              <w:t>Award &amp; Progression Boards – dates &amp; papers.</w:t>
            </w:r>
          </w:p>
        </w:tc>
        <w:tc>
          <w:tcPr>
            <w:tcW w:w="3304" w:type="dxa"/>
          </w:tcPr>
          <w:p w14:paraId="081A829C" w14:textId="77777777" w:rsidR="00232EDA" w:rsidRPr="00232EDA" w:rsidRDefault="00232EDA" w:rsidP="00232EDA">
            <w:pPr>
              <w:rPr>
                <w:iCs/>
              </w:rPr>
            </w:pPr>
            <w:r w:rsidRPr="00232EDA">
              <w:rPr>
                <w:iCs/>
              </w:rPr>
              <w:t xml:space="preserve">Academic Registry </w:t>
            </w:r>
          </w:p>
          <w:p w14:paraId="7C1141EE" w14:textId="7FDEE258" w:rsidR="00232EDA" w:rsidRDefault="00232EDA" w:rsidP="00232EDA">
            <w:pPr>
              <w:rPr>
                <w:color w:val="7030A0"/>
              </w:rPr>
            </w:pPr>
            <w:r>
              <w:rPr>
                <w:color w:val="7030A0"/>
              </w:rPr>
              <w:t xml:space="preserve">01695 </w:t>
            </w:r>
            <w:r w:rsidR="00EC7BB8" w:rsidRPr="00EC7BB8">
              <w:rPr>
                <w:rFonts w:cstheme="minorHAnsi"/>
                <w:color w:val="7030A0"/>
              </w:rPr>
              <w:t>584581</w:t>
            </w:r>
          </w:p>
          <w:p w14:paraId="34F94DE3" w14:textId="3D1B4E8F" w:rsidR="00232EDA" w:rsidRDefault="001F324B" w:rsidP="00232EDA">
            <w:pPr>
              <w:rPr>
                <w:i/>
              </w:rPr>
            </w:pPr>
            <w:hyperlink r:id="rId15" w:history="1">
              <w:r w:rsidR="00232EDA">
                <w:rPr>
                  <w:rStyle w:val="Hyperlink"/>
                </w:rPr>
                <w:t>christopher.bill@edgehill.ac.uk</w:t>
              </w:r>
            </w:hyperlink>
          </w:p>
        </w:tc>
      </w:tr>
      <w:tr w:rsidR="00232EDA" w14:paraId="79140178" w14:textId="77777777" w:rsidTr="006D53FB">
        <w:trPr>
          <w:trHeight w:val="659"/>
        </w:trPr>
        <w:tc>
          <w:tcPr>
            <w:tcW w:w="2853" w:type="dxa"/>
          </w:tcPr>
          <w:p w14:paraId="087B9F15" w14:textId="445F8433" w:rsidR="00232EDA" w:rsidRPr="00232EDA" w:rsidRDefault="00232EDA" w:rsidP="00232EDA">
            <w:pPr>
              <w:rPr>
                <w:iCs/>
              </w:rPr>
            </w:pPr>
            <w:r>
              <w:rPr>
                <w:b/>
                <w:bCs/>
                <w:iCs/>
              </w:rPr>
              <w:lastRenderedPageBreak/>
              <w:t xml:space="preserve">Gillian Ledgerton </w:t>
            </w:r>
            <w:r>
              <w:rPr>
                <w:iCs/>
              </w:rPr>
              <w:t>–</w:t>
            </w:r>
            <w:r w:rsidR="00EC7BB8">
              <w:rPr>
                <w:iCs/>
              </w:rPr>
              <w:t xml:space="preserve"> </w:t>
            </w:r>
            <w:r w:rsidR="00EC7BB8" w:rsidRPr="00EC7BB8">
              <w:rPr>
                <w:i/>
              </w:rPr>
              <w:t>Head of</w:t>
            </w:r>
            <w:r w:rsidR="00EC7BB8">
              <w:rPr>
                <w:iCs/>
              </w:rPr>
              <w:t xml:space="preserve"> </w:t>
            </w:r>
            <w:r>
              <w:rPr>
                <w:i/>
              </w:rPr>
              <w:t>Academic Registr</w:t>
            </w:r>
            <w:r w:rsidR="00EC7BB8">
              <w:rPr>
                <w:i/>
              </w:rPr>
              <w:t>y</w:t>
            </w:r>
          </w:p>
        </w:tc>
        <w:tc>
          <w:tcPr>
            <w:tcW w:w="2859" w:type="dxa"/>
          </w:tcPr>
          <w:p w14:paraId="099290DE" w14:textId="2AB7DB2D" w:rsidR="00232EDA" w:rsidRPr="00232EDA" w:rsidRDefault="00232EDA" w:rsidP="00232EDA">
            <w:pPr>
              <w:rPr>
                <w:iCs/>
              </w:rPr>
            </w:pPr>
            <w:r>
              <w:rPr>
                <w:iCs/>
              </w:rPr>
              <w:t>Academic Regulation</w:t>
            </w:r>
          </w:p>
        </w:tc>
        <w:tc>
          <w:tcPr>
            <w:tcW w:w="3304" w:type="dxa"/>
          </w:tcPr>
          <w:p w14:paraId="4A74008D" w14:textId="77777777" w:rsidR="00EC7BB8" w:rsidRPr="00232EDA" w:rsidRDefault="00EC7BB8" w:rsidP="00EC7BB8">
            <w:pPr>
              <w:rPr>
                <w:iCs/>
              </w:rPr>
            </w:pPr>
            <w:r w:rsidRPr="00232EDA">
              <w:rPr>
                <w:iCs/>
              </w:rPr>
              <w:t xml:space="preserve">Academic Registry </w:t>
            </w:r>
          </w:p>
          <w:p w14:paraId="5F45F2D1" w14:textId="77777777" w:rsidR="00EC7BB8" w:rsidRDefault="00EC7BB8" w:rsidP="00EC7BB8">
            <w:pPr>
              <w:rPr>
                <w:color w:val="7030A0"/>
              </w:rPr>
            </w:pPr>
            <w:r>
              <w:rPr>
                <w:color w:val="7030A0"/>
              </w:rPr>
              <w:t xml:space="preserve">01695 </w:t>
            </w:r>
            <w:r w:rsidRPr="00EC7BB8">
              <w:rPr>
                <w:rFonts w:cstheme="minorHAnsi"/>
                <w:color w:val="7030A0"/>
              </w:rPr>
              <w:t>584581</w:t>
            </w:r>
          </w:p>
          <w:p w14:paraId="56CC5CE1" w14:textId="67C735F8" w:rsidR="00232EDA" w:rsidRPr="00EC7BB8" w:rsidRDefault="001F324B" w:rsidP="00232EDA">
            <w:pPr>
              <w:rPr>
                <w:iCs/>
              </w:rPr>
            </w:pPr>
            <w:hyperlink r:id="rId16" w:history="1">
              <w:r w:rsidR="00EC7BB8" w:rsidRPr="00EC7BB8">
                <w:rPr>
                  <w:rStyle w:val="Hyperlink"/>
                  <w:lang w:eastAsia="en-GB"/>
                </w:rPr>
                <w:t>gillian.ledgerton@edgehill.ac.uk</w:t>
              </w:r>
            </w:hyperlink>
          </w:p>
        </w:tc>
      </w:tr>
    </w:tbl>
    <w:p w14:paraId="20DD1706" w14:textId="0D1763AD" w:rsidR="00900AFD" w:rsidRDefault="00900AFD" w:rsidP="00900AFD">
      <w:pPr>
        <w:pStyle w:val="Heading1"/>
      </w:pPr>
      <w:bookmarkStart w:id="61" w:name="_Toc152573746"/>
      <w:r>
        <w:t>Links to useful documents and websites</w:t>
      </w:r>
      <w:bookmarkEnd w:id="61"/>
    </w:p>
    <w:p w14:paraId="4B8F55D4" w14:textId="5B2AE665" w:rsidR="00900AFD" w:rsidRDefault="00900AFD" w:rsidP="00900AFD">
      <w:pPr>
        <w:pStyle w:val="Heading1"/>
        <w:rPr>
          <w:rFonts w:asciiTheme="minorHAnsi" w:hAnsiTheme="minorHAnsi" w:cstheme="minorHAnsi"/>
          <w:szCs w:val="28"/>
        </w:rPr>
      </w:pPr>
    </w:p>
    <w:tbl>
      <w:tblPr>
        <w:tblpPr w:leftFromText="181" w:rightFromText="181" w:topFromText="567" w:bottomFromText="567" w:vertAnchor="text" w:horzAnchor="margin" w:tblpY="1"/>
        <w:tblOverlap w:val="never"/>
        <w:tblW w:w="9903" w:type="dxa"/>
        <w:tblCellMar>
          <w:left w:w="10" w:type="dxa"/>
          <w:right w:w="10" w:type="dxa"/>
        </w:tblCellMar>
        <w:tblLook w:val="04A0" w:firstRow="1" w:lastRow="0" w:firstColumn="1" w:lastColumn="0" w:noHBand="0" w:noVBand="1"/>
      </w:tblPr>
      <w:tblGrid>
        <w:gridCol w:w="3367"/>
        <w:gridCol w:w="6536"/>
      </w:tblGrid>
      <w:tr w:rsidR="00F83A0C" w14:paraId="3D5BD46E" w14:textId="77777777" w:rsidTr="006C65DB">
        <w:trPr>
          <w:trHeight w:val="416"/>
          <w:tblHeader/>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CB93F" w14:textId="7D788CAF" w:rsidR="00F83A0C" w:rsidRPr="00F83A0C" w:rsidRDefault="001F324B" w:rsidP="001F324B">
            <w:pPr>
              <w:spacing w:after="0" w:line="240" w:lineRule="auto"/>
              <w:jc w:val="center"/>
              <w:rPr>
                <w:b/>
                <w:bCs/>
              </w:rPr>
            </w:pPr>
            <w:r>
              <w:rPr>
                <w:b/>
                <w:bCs/>
              </w:rPr>
              <w:t>Document/website</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A4BD" w14:textId="7DE21F6F" w:rsidR="00F83A0C" w:rsidRPr="00F83A0C" w:rsidRDefault="00F83A0C" w:rsidP="001F324B">
            <w:pPr>
              <w:spacing w:after="0" w:line="240" w:lineRule="auto"/>
              <w:jc w:val="center"/>
              <w:rPr>
                <w:b/>
                <w:bCs/>
              </w:rPr>
            </w:pPr>
            <w:r w:rsidRPr="00F83A0C">
              <w:rPr>
                <w:b/>
                <w:bCs/>
              </w:rPr>
              <w:t>Link</w:t>
            </w:r>
          </w:p>
        </w:tc>
      </w:tr>
      <w:tr w:rsidR="00B03B96" w14:paraId="0BF27CDC" w14:textId="77777777" w:rsidTr="006C65DB">
        <w:trPr>
          <w:trHeight w:val="720"/>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DAE86" w14:textId="77777777" w:rsidR="00B03B96" w:rsidRDefault="00B03B96" w:rsidP="00900AFD">
            <w:pPr>
              <w:spacing w:after="0" w:line="240" w:lineRule="auto"/>
              <w:jc w:val="center"/>
            </w:pPr>
            <w:r>
              <w:t>EHU Strategies and Policies, including Academic Regulations</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0CD8" w14:textId="77777777" w:rsidR="00B03B96" w:rsidRDefault="001F324B" w:rsidP="00900AFD">
            <w:pPr>
              <w:spacing w:after="0" w:line="240" w:lineRule="auto"/>
              <w:jc w:val="center"/>
            </w:pPr>
            <w:hyperlink r:id="rId17" w:history="1">
              <w:r w:rsidR="00B03B96" w:rsidRPr="00701519">
                <w:rPr>
                  <w:rStyle w:val="Hyperlink"/>
                </w:rPr>
                <w:t>https://www.edgehill.ac.uk/corporate-information/strategies-policies/</w:t>
              </w:r>
            </w:hyperlink>
          </w:p>
        </w:tc>
      </w:tr>
      <w:tr w:rsidR="00B03B96" w14:paraId="7E96C9AC" w14:textId="77777777" w:rsidTr="006C65DB">
        <w:trPr>
          <w:trHeight w:val="703"/>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CB4D9" w14:textId="77777777" w:rsidR="00B03B96" w:rsidRPr="00C605E9" w:rsidRDefault="00B03B96" w:rsidP="00900AFD">
            <w:pPr>
              <w:spacing w:after="0"/>
              <w:jc w:val="center"/>
              <w:rPr>
                <w:color w:val="7030A0"/>
              </w:rPr>
            </w:pPr>
            <w:r>
              <w:t>Governance, Quality Assurance and Student Casework</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2DA20" w14:textId="77777777" w:rsidR="00B03B96" w:rsidRDefault="001F324B" w:rsidP="00900AFD">
            <w:pPr>
              <w:spacing w:after="0" w:line="240" w:lineRule="auto"/>
              <w:jc w:val="center"/>
            </w:pPr>
            <w:hyperlink r:id="rId18" w:history="1">
              <w:r w:rsidR="00B03B96" w:rsidRPr="00F519C7">
                <w:rPr>
                  <w:rStyle w:val="Hyperlink"/>
                </w:rPr>
                <w:t>https://www.edgehill.ac.uk/gqasc/agqa/</w:t>
              </w:r>
            </w:hyperlink>
            <w:r w:rsidR="00B03B96">
              <w:t xml:space="preserve"> </w:t>
            </w:r>
          </w:p>
        </w:tc>
      </w:tr>
      <w:tr w:rsidR="00B03B96" w14:paraId="73B5836E" w14:textId="77777777" w:rsidTr="006C65DB">
        <w:trPr>
          <w:trHeight w:val="752"/>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3D9B2" w14:textId="77777777" w:rsidR="00B03B96" w:rsidRDefault="00B03B96" w:rsidP="00900AFD">
            <w:pPr>
              <w:spacing w:after="0" w:line="240" w:lineRule="auto"/>
              <w:jc w:val="center"/>
            </w:pPr>
            <w:r>
              <w:t xml:space="preserve">The Higher Education Academy: </w:t>
            </w:r>
            <w:r>
              <w:rPr>
                <w:i/>
              </w:rPr>
              <w:t>A Handbook for External Examining</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37893" w14:textId="77777777" w:rsidR="00B03B96" w:rsidRDefault="001F324B" w:rsidP="00900AFD">
            <w:pPr>
              <w:spacing w:after="0" w:line="240" w:lineRule="auto"/>
              <w:jc w:val="center"/>
            </w:pPr>
            <w:hyperlink r:id="rId19" w:history="1">
              <w:r w:rsidR="00B03B96" w:rsidRPr="00701519">
                <w:rPr>
                  <w:rStyle w:val="Hyperlink"/>
                </w:rPr>
                <w:t>https://www.advance-he.ac.uk/knowledge-hub/external-examining</w:t>
              </w:r>
            </w:hyperlink>
            <w:r w:rsidR="00B03B96">
              <w:t xml:space="preserve"> </w:t>
            </w:r>
          </w:p>
        </w:tc>
      </w:tr>
      <w:tr w:rsidR="00B03B96" w14:paraId="761B6520" w14:textId="77777777" w:rsidTr="006C65DB">
        <w:trPr>
          <w:trHeight w:val="646"/>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FFF9C" w14:textId="77777777" w:rsidR="00B03B96" w:rsidRDefault="00B03B96" w:rsidP="00900AFD">
            <w:pPr>
              <w:spacing w:after="0" w:line="240" w:lineRule="auto"/>
              <w:jc w:val="center"/>
            </w:pPr>
            <w:r>
              <w:t>External Examiners Website</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C5D5" w14:textId="77777777" w:rsidR="00B03B96" w:rsidRDefault="001F324B" w:rsidP="00900AFD">
            <w:pPr>
              <w:spacing w:after="0" w:line="240" w:lineRule="auto"/>
              <w:jc w:val="center"/>
            </w:pPr>
            <w:hyperlink r:id="rId20" w:history="1">
              <w:r w:rsidR="00B03B96">
                <w:rPr>
                  <w:rStyle w:val="Hyperlink"/>
                </w:rPr>
                <w:t>External examiners - Edge Hill University</w:t>
              </w:r>
            </w:hyperlink>
            <w:r w:rsidR="00B03B96">
              <w:t xml:space="preserve"> </w:t>
            </w:r>
          </w:p>
        </w:tc>
      </w:tr>
      <w:tr w:rsidR="00B03B96" w14:paraId="408EE2EA" w14:textId="77777777" w:rsidTr="006C65DB">
        <w:trPr>
          <w:trHeight w:val="646"/>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37A48" w14:textId="77777777" w:rsidR="00B03B96" w:rsidRDefault="00B03B96" w:rsidP="00900AFD">
            <w:pPr>
              <w:spacing w:after="0" w:line="240" w:lineRule="auto"/>
              <w:jc w:val="center"/>
            </w:pPr>
            <w:r>
              <w:t>VLE Access</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6E728" w14:textId="77777777" w:rsidR="00B03B96" w:rsidRDefault="001F324B" w:rsidP="00900AFD">
            <w:pPr>
              <w:spacing w:after="0" w:line="240" w:lineRule="auto"/>
              <w:jc w:val="center"/>
            </w:pPr>
            <w:hyperlink r:id="rId21" w:history="1">
              <w:r w:rsidR="00B03B96" w:rsidRPr="00B21EE6">
                <w:rPr>
                  <w:rStyle w:val="Hyperlink"/>
                </w:rPr>
                <w:t>https://www.edgehill.ac.uk/guide/vle-external-access/</w:t>
              </w:r>
            </w:hyperlink>
            <w:r w:rsidR="00B03B96">
              <w:t xml:space="preserve"> </w:t>
            </w:r>
          </w:p>
        </w:tc>
      </w:tr>
      <w:tr w:rsidR="00B03B96" w14:paraId="096629D3" w14:textId="77777777" w:rsidTr="006C65DB">
        <w:trPr>
          <w:trHeight w:val="646"/>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40EBD" w14:textId="77777777" w:rsidR="00B03B96" w:rsidRDefault="00B03B96" w:rsidP="00900AFD">
            <w:pPr>
              <w:spacing w:after="0" w:line="240" w:lineRule="auto"/>
              <w:jc w:val="center"/>
            </w:pPr>
            <w:r>
              <w:t>Annual Report System</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6396E" w14:textId="77777777" w:rsidR="00B03B96" w:rsidRDefault="001F324B" w:rsidP="00900AFD">
            <w:pPr>
              <w:spacing w:after="0" w:line="240" w:lineRule="auto"/>
              <w:jc w:val="center"/>
            </w:pPr>
            <w:hyperlink r:id="rId22" w:history="1">
              <w:r w:rsidR="00B03B96">
                <w:rPr>
                  <w:rStyle w:val="Hyperlink"/>
                </w:rPr>
                <w:t>External Examiner Annual Reports - Edge Hill University</w:t>
              </w:r>
            </w:hyperlink>
            <w:r w:rsidR="00B03B96">
              <w:t xml:space="preserve"> </w:t>
            </w:r>
          </w:p>
        </w:tc>
      </w:tr>
      <w:tr w:rsidR="00B03B96" w14:paraId="15FC4D8D" w14:textId="77777777" w:rsidTr="006C65DB">
        <w:trPr>
          <w:trHeight w:val="646"/>
        </w:trPr>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F369B" w14:textId="77777777" w:rsidR="00B03B96" w:rsidRPr="006128B4" w:rsidRDefault="00B03B96" w:rsidP="00900AFD">
            <w:pPr>
              <w:spacing w:after="0" w:line="240" w:lineRule="auto"/>
              <w:jc w:val="center"/>
              <w:rPr>
                <w:highlight w:val="yellow"/>
              </w:rPr>
            </w:pPr>
            <w:r w:rsidRPr="007E1809">
              <w:t>Assessment and Feedback Policy</w:t>
            </w:r>
          </w:p>
        </w:tc>
        <w:tc>
          <w:tcPr>
            <w:tcW w:w="6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E9F90" w14:textId="77777777" w:rsidR="00B03B96" w:rsidRDefault="001F324B" w:rsidP="00900AFD">
            <w:pPr>
              <w:spacing w:after="0" w:line="240" w:lineRule="auto"/>
              <w:jc w:val="center"/>
            </w:pPr>
            <w:hyperlink r:id="rId23" w:history="1">
              <w:r w:rsidR="00B03B96">
                <w:rPr>
                  <w:rStyle w:val="Hyperlink"/>
                </w:rPr>
                <w:t>Assessment and Feedback Policy - Edge Hill University</w:t>
              </w:r>
            </w:hyperlink>
            <w:r w:rsidR="00B03B96">
              <w:t xml:space="preserve"> </w:t>
            </w:r>
          </w:p>
        </w:tc>
      </w:tr>
    </w:tbl>
    <w:p w14:paraId="3B29565E" w14:textId="270AC3ED" w:rsidR="006D53FB" w:rsidRPr="00D20478" w:rsidRDefault="006D53FB" w:rsidP="00B03B96">
      <w:pPr>
        <w:pStyle w:val="Heading1"/>
        <w:rPr>
          <w:rFonts w:asciiTheme="minorHAnsi" w:hAnsiTheme="minorHAnsi" w:cstheme="minorHAnsi"/>
          <w:b/>
          <w:sz w:val="32"/>
        </w:rPr>
        <w:sectPr w:rsidR="006D53FB" w:rsidRPr="00D20478" w:rsidSect="006D53FB">
          <w:footerReference w:type="default" r:id="rId24"/>
          <w:pgSz w:w="11906" w:h="16838"/>
          <w:pgMar w:top="1440" w:right="1440" w:bottom="1440" w:left="1440" w:header="709" w:footer="709" w:gutter="0"/>
          <w:cols w:space="720"/>
          <w:docGrid w:linePitch="299"/>
        </w:sectPr>
      </w:pPr>
    </w:p>
    <w:bookmarkStart w:id="62" w:name="_Toc82079592"/>
    <w:p w14:paraId="151A7814" w14:textId="02AE3D01" w:rsidR="00BE61B3" w:rsidRDefault="00D20478">
      <w:pPr>
        <w:pStyle w:val="NoSpacing"/>
      </w:pPr>
      <w:r>
        <w:rPr>
          <w:noProof/>
          <w:lang w:eastAsia="en-GB"/>
        </w:rPr>
        <w:lastRenderedPageBreak/>
        <mc:AlternateContent>
          <mc:Choice Requires="wps">
            <w:drawing>
              <wp:anchor distT="0" distB="0" distL="114300" distR="114300" simplePos="0" relativeHeight="251681792" behindDoc="0" locked="0" layoutInCell="1" allowOverlap="1" wp14:anchorId="0A77ED5F" wp14:editId="4609A7A6">
                <wp:simplePos x="0" y="0"/>
                <wp:positionH relativeFrom="page">
                  <wp:posOffset>0</wp:posOffset>
                </wp:positionH>
                <wp:positionV relativeFrom="paragraph">
                  <wp:posOffset>-942975</wp:posOffset>
                </wp:positionV>
                <wp:extent cx="7762240" cy="14568170"/>
                <wp:effectExtent l="0" t="0" r="10160" b="24130"/>
                <wp:wrapNone/>
                <wp:docPr id="36"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240" cy="14568170"/>
                        </a:xfrm>
                        <a:prstGeom prst="rect">
                          <a:avLst/>
                        </a:prstGeom>
                        <a:solidFill>
                          <a:srgbClr val="7030A0"/>
                        </a:solidFill>
                        <a:ln w="25402" cap="flat">
                          <a:solidFill>
                            <a:srgbClr val="7030A0"/>
                          </a:solidFill>
                          <a:prstDash val="solid"/>
                        </a:ln>
                      </wps:spPr>
                      <wps:txbx>
                        <w:txbxContent>
                          <w:p w14:paraId="7FBAE7BD" w14:textId="77777777" w:rsidR="00D362C0" w:rsidRDefault="00D362C0">
                            <w:pPr>
                              <w:rPr>
                                <w:rFonts w:ascii="Times New Roman" w:hAnsi="Times New Roman"/>
                                <w:szCs w:val="24"/>
                              </w:rPr>
                            </w:pPr>
                          </w:p>
                          <w:p w14:paraId="40593459" w14:textId="77777777" w:rsidR="00D362C0" w:rsidRDefault="00D362C0">
                            <w:pPr>
                              <w:rPr>
                                <w:rFonts w:ascii="Times New Roman" w:hAnsi="Times New Roman"/>
                                <w:szCs w:val="24"/>
                              </w:rPr>
                            </w:pPr>
                          </w:p>
                          <w:p w14:paraId="393A0962" w14:textId="77777777" w:rsidR="00D362C0" w:rsidRDefault="00D362C0">
                            <w:pPr>
                              <w:rPr>
                                <w:rFonts w:ascii="Times New Roman" w:hAnsi="Times New Roman"/>
                                <w:szCs w:val="24"/>
                              </w:rPr>
                            </w:pPr>
                          </w:p>
                          <w:p w14:paraId="0286C049" w14:textId="77777777" w:rsidR="00D362C0" w:rsidRDefault="00D362C0">
                            <w:pPr>
                              <w:rPr>
                                <w:rFonts w:ascii="Times New Roman" w:hAnsi="Times New Roman"/>
                                <w:szCs w:val="24"/>
                              </w:rPr>
                            </w:pPr>
                          </w:p>
                          <w:p w14:paraId="068B4F2B" w14:textId="77777777" w:rsidR="00D362C0" w:rsidRDefault="00D362C0">
                            <w:pPr>
                              <w:rPr>
                                <w:rFonts w:ascii="Times New Roman" w:hAnsi="Times New Roman"/>
                                <w:szCs w:val="24"/>
                              </w:rPr>
                            </w:pPr>
                          </w:p>
                          <w:p w14:paraId="2968E344" w14:textId="77777777" w:rsidR="00D362C0" w:rsidRDefault="00D362C0">
                            <w:pPr>
                              <w:rPr>
                                <w:rFonts w:ascii="Times New Roman" w:hAnsi="Times New Roman"/>
                                <w:szCs w:val="24"/>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0A77ED5F" id="Rectangle 33" o:spid="_x0000_s1030" alt="&quot;&quot;" style="position:absolute;margin-left:0;margin-top:-74.25pt;width:611.2pt;height:1147.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" fillcolor="#7030a0" strokecolor="#7030a0" strokeweight=".70561mm">
                <v:textbox>
                  <w:txbxContent>
                    <w:p w14:paraId="7FBAE7BD" w14:textId="77777777" w:rsidR="00D362C0" w:rsidRDefault="00D362C0">
                      <w:pPr>
                        <w:rPr>
                          <w:rFonts w:ascii="Times New Roman" w:hAnsi="Times New Roman"/>
                          <w:szCs w:val="24"/>
                        </w:rPr>
                      </w:pPr>
                    </w:p>
                    <w:p w14:paraId="40593459" w14:textId="77777777" w:rsidR="00D362C0" w:rsidRDefault="00D362C0">
                      <w:pPr>
                        <w:rPr>
                          <w:rFonts w:ascii="Times New Roman" w:hAnsi="Times New Roman"/>
                          <w:szCs w:val="24"/>
                        </w:rPr>
                      </w:pPr>
                    </w:p>
                    <w:p w14:paraId="393A0962" w14:textId="77777777" w:rsidR="00D362C0" w:rsidRDefault="00D362C0">
                      <w:pPr>
                        <w:rPr>
                          <w:rFonts w:ascii="Times New Roman" w:hAnsi="Times New Roman"/>
                          <w:szCs w:val="24"/>
                        </w:rPr>
                      </w:pPr>
                    </w:p>
                    <w:p w14:paraId="0286C049" w14:textId="77777777" w:rsidR="00D362C0" w:rsidRDefault="00D362C0">
                      <w:pPr>
                        <w:rPr>
                          <w:rFonts w:ascii="Times New Roman" w:hAnsi="Times New Roman"/>
                          <w:szCs w:val="24"/>
                        </w:rPr>
                      </w:pPr>
                    </w:p>
                    <w:p w14:paraId="068B4F2B" w14:textId="77777777" w:rsidR="00D362C0" w:rsidRDefault="00D362C0">
                      <w:pPr>
                        <w:rPr>
                          <w:rFonts w:ascii="Times New Roman" w:hAnsi="Times New Roman"/>
                          <w:szCs w:val="24"/>
                        </w:rPr>
                      </w:pPr>
                    </w:p>
                    <w:p w14:paraId="2968E344" w14:textId="77777777" w:rsidR="00D362C0" w:rsidRDefault="00D362C0">
                      <w:pPr>
                        <w:rPr>
                          <w:rFonts w:ascii="Times New Roman" w:hAnsi="Times New Roman"/>
                          <w:szCs w:val="24"/>
                        </w:rPr>
                      </w:pPr>
                    </w:p>
                  </w:txbxContent>
                </v:textbox>
                <w10:wrap anchorx="page"/>
              </v:rect>
            </w:pict>
          </mc:Fallback>
        </mc:AlternateContent>
      </w:r>
      <w:bookmarkEnd w:id="62"/>
      <w:r w:rsidR="00B21A03">
        <w:rPr>
          <w:noProof/>
          <w:lang w:eastAsia="en-GB"/>
        </w:rPr>
        <mc:AlternateContent>
          <mc:Choice Requires="wpg">
            <w:drawing>
              <wp:anchor distT="0" distB="0" distL="114300" distR="114300" simplePos="0" relativeHeight="251700224" behindDoc="0" locked="0" layoutInCell="1" allowOverlap="1" wp14:anchorId="06CE9826" wp14:editId="3EAF9FE7">
                <wp:simplePos x="0" y="0"/>
                <wp:positionH relativeFrom="column">
                  <wp:posOffset>3133721</wp:posOffset>
                </wp:positionH>
                <wp:positionV relativeFrom="paragraph">
                  <wp:posOffset>8562971</wp:posOffset>
                </wp:positionV>
                <wp:extent cx="275591" cy="258446"/>
                <wp:effectExtent l="0" t="0" r="10159" b="27304"/>
                <wp:wrapNone/>
                <wp:docPr id="20" name="Group 1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5591" cy="258446"/>
                          <a:chOff x="0" y="0"/>
                          <a:chExt cx="275591" cy="258446"/>
                        </a:xfrm>
                      </wpg:grpSpPr>
                      <wps:wsp>
                        <wps:cNvPr id="21" name="Oval 1092"/>
                        <wps:cNvSpPr/>
                        <wps:spPr>
                          <a:xfrm>
                            <a:off x="0" y="0"/>
                            <a:ext cx="275591" cy="25844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25402" cap="flat">
                            <a:solidFill>
                              <a:srgbClr val="FFFFFF"/>
                            </a:solidFill>
                            <a:prstDash val="solid"/>
                          </a:ln>
                        </wps:spPr>
                        <wps:bodyPr lIns="0" tIns="0" rIns="0" bIns="0"/>
                      </wps:wsp>
                      <wps:wsp>
                        <wps:cNvPr id="22" name="Text Box 1099"/>
                        <wps:cNvSpPr txBox="1"/>
                        <wps:spPr>
                          <a:xfrm>
                            <a:off x="7608" y="1299"/>
                            <a:ext cx="195581" cy="235640"/>
                          </a:xfrm>
                          <a:prstGeom prst="rect">
                            <a:avLst/>
                          </a:prstGeom>
                        </wps:spPr>
                        <wps:txbx>
                          <w:txbxContent>
                            <w:p w14:paraId="2AC56B89" w14:textId="77777777" w:rsidR="00D362C0" w:rsidRDefault="00D362C0">
                              <w:pPr>
                                <w:rPr>
                                  <w:i/>
                                  <w:color w:val="7030A0"/>
                                  <w:sz w:val="21"/>
                                  <w:szCs w:val="21"/>
                                </w:rPr>
                              </w:pPr>
                              <w:proofErr w:type="spellStart"/>
                              <w:r>
                                <w:rPr>
                                  <w:i/>
                                  <w:color w:val="7030A0"/>
                                  <w:sz w:val="21"/>
                                  <w:szCs w:val="21"/>
                                </w:rPr>
                                <w:t>i</w:t>
                              </w:r>
                              <w:proofErr w:type="spellEnd"/>
                            </w:p>
                          </w:txbxContent>
                        </wps:txbx>
                        <wps:bodyPr vert="horz" wrap="square" lIns="91440" tIns="45720" rIns="91440" bIns="45720" anchor="t" anchorCtr="0" compatLnSpc="1">
                          <a:noAutofit/>
                        </wps:bodyPr>
                      </wps:wsp>
                    </wpg:wgp>
                  </a:graphicData>
                </a:graphic>
              </wp:anchor>
            </w:drawing>
          </mc:Choice>
          <mc:Fallback>
            <w:pict>
              <v:group w14:anchorId="06CE9826" id="Group 1102" o:spid="_x0000_s1031" alt="&quot;&quot;" style="position:absolute;margin-left:246.75pt;margin-top:674.25pt;width:21.7pt;height:20.35pt;z-index:251700224" coordsize="275591,25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">
                <v:shape id="Oval 1092" o:spid="_x0000_s1032" style="position:absolute;width:275591;height:258446;visibility:visible;mso-wrap-style:square;v-text-anchor:top" coordsize="275591,25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" path="m,129223at,,275590,258446,,129223,,129223xe" strokecolor="white" strokeweight=".70561mm">
                  <v:path arrowok="t" o:connecttype="custom" o:connectlocs="137796,0;275591,129223;137796,258446;0,129223;40359,37849;40359,220597;235232,220597;235232,37849" o:connectangles="270,0,90,180,270,90,90,270" textboxrect="40359,37849,235232,220597"/>
                </v:shape>
                <v:shape id="Text Box 1099" o:spid="_x0000_s1033" type="#_x0000_t202" style="position:absolute;left:7608;top:1299;width:195581;height:23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AC56B89" w14:textId="77777777" w:rsidR="00D362C0" w:rsidRDefault="00D362C0">
                        <w:pPr>
                          <w:rPr>
                            <w:i/>
                            <w:color w:val="7030A0"/>
                            <w:sz w:val="21"/>
                            <w:szCs w:val="21"/>
                          </w:rPr>
                        </w:pPr>
                        <w:proofErr w:type="spellStart"/>
                        <w:r>
                          <w:rPr>
                            <w:i/>
                            <w:color w:val="7030A0"/>
                            <w:sz w:val="21"/>
                            <w:szCs w:val="21"/>
                          </w:rPr>
                          <w:t>i</w:t>
                        </w:r>
                        <w:proofErr w:type="spellEnd"/>
                      </w:p>
                    </w:txbxContent>
                  </v:textbox>
                </v:shape>
              </v:group>
            </w:pict>
          </mc:Fallback>
        </mc:AlternateContent>
      </w:r>
      <w:r w:rsidR="00B21A03">
        <w:rPr>
          <w:noProof/>
          <w:lang w:eastAsia="en-GB"/>
        </w:rPr>
        <mc:AlternateContent>
          <mc:Choice Requires="wpg">
            <w:drawing>
              <wp:anchor distT="0" distB="0" distL="114300" distR="114300" simplePos="0" relativeHeight="251698176" behindDoc="0" locked="0" layoutInCell="1" allowOverlap="1" wp14:anchorId="7296404D" wp14:editId="092DAC95">
                <wp:simplePos x="0" y="0"/>
                <wp:positionH relativeFrom="column">
                  <wp:posOffset>3133721</wp:posOffset>
                </wp:positionH>
                <wp:positionV relativeFrom="paragraph">
                  <wp:posOffset>8153403</wp:posOffset>
                </wp:positionV>
                <wp:extent cx="275591" cy="337175"/>
                <wp:effectExtent l="0" t="0" r="10159" b="0"/>
                <wp:wrapNone/>
                <wp:docPr id="23" name="Group 10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5591" cy="337175"/>
                          <a:chOff x="0" y="0"/>
                          <a:chExt cx="275591" cy="337175"/>
                        </a:xfrm>
                      </wpg:grpSpPr>
                      <wps:wsp>
                        <wps:cNvPr id="24" name="Oval 1091"/>
                        <wps:cNvSpPr/>
                        <wps:spPr>
                          <a:xfrm>
                            <a:off x="0" y="0"/>
                            <a:ext cx="275591" cy="27573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25402" cap="flat">
                            <a:solidFill>
                              <a:srgbClr val="FFFFFF"/>
                            </a:solidFill>
                            <a:prstDash val="solid"/>
                          </a:ln>
                        </wps:spPr>
                        <wps:bodyPr lIns="0" tIns="0" rIns="0" bIns="0"/>
                      </wps:wsp>
                      <wps:wsp>
                        <wps:cNvPr id="25" name="Text Box 1097"/>
                        <wps:cNvSpPr txBox="1"/>
                        <wps:spPr>
                          <a:xfrm>
                            <a:off x="34931" y="17611"/>
                            <a:ext cx="231142" cy="319564"/>
                          </a:xfrm>
                          <a:prstGeom prst="rect">
                            <a:avLst/>
                          </a:prstGeom>
                        </wps:spPr>
                        <wps:txbx>
                          <w:txbxContent>
                            <w:p w14:paraId="12FE259E" w14:textId="77777777" w:rsidR="00D362C0" w:rsidRDefault="00D362C0">
                              <w:pPr>
                                <w:rPr>
                                  <w:i/>
                                  <w:color w:val="7030A0"/>
                                  <w:sz w:val="21"/>
                                  <w:szCs w:val="21"/>
                                </w:rPr>
                              </w:pPr>
                              <w:r>
                                <w:rPr>
                                  <w:i/>
                                  <w:color w:val="7030A0"/>
                                  <w:sz w:val="21"/>
                                  <w:szCs w:val="21"/>
                                </w:rPr>
                                <w:t>t</w:t>
                              </w:r>
                            </w:p>
                          </w:txbxContent>
                        </wps:txbx>
                        <wps:bodyPr vert="horz" wrap="square" lIns="91440" tIns="45720" rIns="91440" bIns="45720" anchor="t" anchorCtr="0" compatLnSpc="1">
                          <a:noAutofit/>
                        </wps:bodyPr>
                      </wps:wsp>
                    </wpg:wgp>
                  </a:graphicData>
                </a:graphic>
              </wp:anchor>
            </w:drawing>
          </mc:Choice>
          <mc:Fallback>
            <w:pict>
              <v:group w14:anchorId="7296404D" id="Group 1098" o:spid="_x0000_s1034" alt="&quot;&quot;" style="position:absolute;margin-left:246.75pt;margin-top:642pt;width:21.7pt;height:26.55pt;z-index:251698176" coordsize="275591,33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">
                <v:shape id="Oval 1091" o:spid="_x0000_s1035" style="position:absolute;width:275591;height:275737;visibility:visible;mso-wrap-style:square;v-text-anchor:top" coordsize="275591,27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" path="m,137868at,,275592,275736,,137868,,137868xe" strokecolor="white" strokeweight=".70561mm">
                  <v:path arrowok="t" o:connecttype="custom" o:connectlocs="137796,0;275591,137869;137796,275737;0,137869;40359,40381;40359,235356;235232,235356;235232,40381" o:connectangles="270,0,90,180,270,90,90,270" textboxrect="40359,40381,235232,235356"/>
                </v:shape>
                <v:shape id="Text Box 1097" o:spid="_x0000_s1036" type="#_x0000_t202" style="position:absolute;left:34931;top:17611;width:231142;height:3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2FE259E" w14:textId="77777777" w:rsidR="00D362C0" w:rsidRDefault="00D362C0">
                        <w:pPr>
                          <w:rPr>
                            <w:i/>
                            <w:color w:val="7030A0"/>
                            <w:sz w:val="21"/>
                            <w:szCs w:val="21"/>
                          </w:rPr>
                        </w:pPr>
                        <w:r>
                          <w:rPr>
                            <w:i/>
                            <w:color w:val="7030A0"/>
                            <w:sz w:val="21"/>
                            <w:szCs w:val="21"/>
                          </w:rPr>
                          <w:t>t</w:t>
                        </w:r>
                      </w:p>
                    </w:txbxContent>
                  </v:textbox>
                </v:shape>
              </v:group>
            </w:pict>
          </mc:Fallback>
        </mc:AlternateContent>
      </w:r>
      <w:r w:rsidR="00B21A03">
        <w:rPr>
          <w:noProof/>
          <w:lang w:eastAsia="en-GB"/>
        </w:rPr>
        <mc:AlternateContent>
          <mc:Choice Requires="wpg">
            <w:drawing>
              <wp:anchor distT="0" distB="0" distL="114300" distR="114300" simplePos="0" relativeHeight="251696128" behindDoc="0" locked="0" layoutInCell="1" allowOverlap="1" wp14:anchorId="3842851B" wp14:editId="6AF92064">
                <wp:simplePos x="0" y="0"/>
                <wp:positionH relativeFrom="column">
                  <wp:posOffset>3118488</wp:posOffset>
                </wp:positionH>
                <wp:positionV relativeFrom="paragraph">
                  <wp:posOffset>7708263</wp:posOffset>
                </wp:positionV>
                <wp:extent cx="275591" cy="274950"/>
                <wp:effectExtent l="0" t="0" r="10159" b="10800"/>
                <wp:wrapNone/>
                <wp:docPr id="26" name="Group 1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5591" cy="274950"/>
                          <a:chOff x="0" y="0"/>
                          <a:chExt cx="275591" cy="274950"/>
                        </a:xfrm>
                      </wpg:grpSpPr>
                      <wps:wsp>
                        <wps:cNvPr id="27" name="Oval 1090"/>
                        <wps:cNvSpPr/>
                        <wps:spPr>
                          <a:xfrm>
                            <a:off x="0" y="0"/>
                            <a:ext cx="275591" cy="2749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25402" cap="flat">
                            <a:solidFill>
                              <a:srgbClr val="FFFFFF"/>
                            </a:solidFill>
                            <a:prstDash val="solid"/>
                          </a:ln>
                        </wps:spPr>
                        <wps:bodyPr lIns="0" tIns="0" rIns="0" bIns="0"/>
                      </wps:wsp>
                      <wps:wsp>
                        <wps:cNvPr id="28" name="Text Box 1095"/>
                        <wps:cNvSpPr txBox="1"/>
                        <wps:spPr>
                          <a:xfrm>
                            <a:off x="26663" y="8093"/>
                            <a:ext cx="133859" cy="250691"/>
                          </a:xfrm>
                          <a:prstGeom prst="rect">
                            <a:avLst/>
                          </a:prstGeom>
                        </wps:spPr>
                        <wps:txbx>
                          <w:txbxContent>
                            <w:p w14:paraId="037B904F" w14:textId="77777777" w:rsidR="00D362C0" w:rsidRDefault="00D362C0">
                              <w:pPr>
                                <w:rPr>
                                  <w:i/>
                                  <w:color w:val="7030A0"/>
                                  <w:sz w:val="21"/>
                                  <w:szCs w:val="21"/>
                                </w:rPr>
                              </w:pPr>
                              <w:r>
                                <w:rPr>
                                  <w:i/>
                                  <w:color w:val="7030A0"/>
                                  <w:sz w:val="21"/>
                                  <w:szCs w:val="21"/>
                                </w:rPr>
                                <w:t>f</w:t>
                              </w:r>
                            </w:p>
                          </w:txbxContent>
                        </wps:txbx>
                        <wps:bodyPr vert="horz" wrap="square" lIns="91440" tIns="45720" rIns="91440" bIns="45720" anchor="t" anchorCtr="0" compatLnSpc="1">
                          <a:noAutofit/>
                        </wps:bodyPr>
                      </wps:wsp>
                    </wpg:wgp>
                  </a:graphicData>
                </a:graphic>
              </wp:anchor>
            </w:drawing>
          </mc:Choice>
          <mc:Fallback>
            <w:pict>
              <v:group w14:anchorId="3842851B" id="Group 1096" o:spid="_x0000_s1037" alt="&quot;&quot;" style="position:absolute;margin-left:245.55pt;margin-top:606.95pt;width:21.7pt;height:21.65pt;z-index:251696128" coordsize="275591,27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">
                <v:shape id="Oval 1090" o:spid="_x0000_s1038" style="position:absolute;width:275591;height:274950;visibility:visible;mso-wrap-style:square;v-text-anchor:top" coordsize="275591,27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" path="m,137475at,,275592,274950,,137475,,137475xe" strokecolor="white" strokeweight=".70561mm">
                  <v:path arrowok="t" o:connecttype="custom" o:connectlocs="137796,0;275591,137475;137796,274950;0,137475;40359,40265;40359,234685;235232,234685;235232,40265" o:connectangles="270,0,90,180,270,90,90,270" textboxrect="40359,40265,235232,234685"/>
                </v:shape>
                <v:shape id="Text Box 1095" o:spid="_x0000_s1039" type="#_x0000_t202" style="position:absolute;left:26663;top:8093;width:133859;height:25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37B904F" w14:textId="77777777" w:rsidR="00D362C0" w:rsidRDefault="00D362C0">
                        <w:pPr>
                          <w:rPr>
                            <w:i/>
                            <w:color w:val="7030A0"/>
                            <w:sz w:val="21"/>
                            <w:szCs w:val="21"/>
                          </w:rPr>
                        </w:pPr>
                        <w:r>
                          <w:rPr>
                            <w:i/>
                            <w:color w:val="7030A0"/>
                            <w:sz w:val="21"/>
                            <w:szCs w:val="21"/>
                          </w:rPr>
                          <w:t>f</w:t>
                        </w:r>
                      </w:p>
                    </w:txbxContent>
                  </v:textbox>
                </v:shape>
              </v:group>
            </w:pict>
          </mc:Fallback>
        </mc:AlternateContent>
      </w:r>
      <w:r w:rsidR="00B21A03">
        <w:rPr>
          <w:noProof/>
          <w:lang w:eastAsia="en-GB"/>
        </w:rPr>
        <mc:AlternateContent>
          <mc:Choice Requires="wpg">
            <w:drawing>
              <wp:anchor distT="0" distB="0" distL="114300" distR="114300" simplePos="0" relativeHeight="251694080" behindDoc="0" locked="0" layoutInCell="1" allowOverlap="1" wp14:anchorId="725C9662" wp14:editId="650229C1">
                <wp:simplePos x="0" y="0"/>
                <wp:positionH relativeFrom="column">
                  <wp:posOffset>3101973</wp:posOffset>
                </wp:positionH>
                <wp:positionV relativeFrom="paragraph">
                  <wp:posOffset>7276466</wp:posOffset>
                </wp:positionV>
                <wp:extent cx="284671" cy="276048"/>
                <wp:effectExtent l="0" t="0" r="20129" b="9702"/>
                <wp:wrapNone/>
                <wp:docPr id="29" name="Group 10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4671" cy="276048"/>
                          <a:chOff x="0" y="0"/>
                          <a:chExt cx="284671" cy="276048"/>
                        </a:xfrm>
                      </wpg:grpSpPr>
                      <wps:wsp>
                        <wps:cNvPr id="30" name="Oval 1089"/>
                        <wps:cNvSpPr/>
                        <wps:spPr>
                          <a:xfrm>
                            <a:off x="17255" y="0"/>
                            <a:ext cx="267416" cy="27604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25402" cap="flat">
                            <a:solidFill>
                              <a:srgbClr val="FFFFFF"/>
                            </a:solidFill>
                            <a:prstDash val="solid"/>
                          </a:ln>
                        </wps:spPr>
                        <wps:bodyPr lIns="0" tIns="0" rIns="0" bIns="0"/>
                      </wps:wsp>
                      <wps:wsp>
                        <wps:cNvPr id="31" name="Text Box 1093"/>
                        <wps:cNvSpPr txBox="1"/>
                        <wps:spPr>
                          <a:xfrm>
                            <a:off x="0" y="8119"/>
                            <a:ext cx="215268" cy="243239"/>
                          </a:xfrm>
                          <a:prstGeom prst="rect">
                            <a:avLst/>
                          </a:prstGeom>
                        </wps:spPr>
                        <wps:txbx>
                          <w:txbxContent>
                            <w:p w14:paraId="7DF8B491" w14:textId="77777777" w:rsidR="00D362C0" w:rsidRDefault="00D362C0">
                              <w:pPr>
                                <w:rPr>
                                  <w:i/>
                                  <w:color w:val="7030A0"/>
                                  <w:sz w:val="21"/>
                                  <w:szCs w:val="21"/>
                                </w:rPr>
                              </w:pPr>
                              <w:r>
                                <w:rPr>
                                  <w:i/>
                                  <w:color w:val="7030A0"/>
                                  <w:sz w:val="21"/>
                                  <w:szCs w:val="21"/>
                                </w:rPr>
                                <w:t>w</w:t>
                              </w:r>
                            </w:p>
                          </w:txbxContent>
                        </wps:txbx>
                        <wps:bodyPr vert="horz" wrap="square" lIns="91440" tIns="45720" rIns="91440" bIns="45720" anchor="t" anchorCtr="0" compatLnSpc="1">
                          <a:noAutofit/>
                        </wps:bodyPr>
                      </wps:wsp>
                    </wpg:wgp>
                  </a:graphicData>
                </a:graphic>
              </wp:anchor>
            </w:drawing>
          </mc:Choice>
          <mc:Fallback>
            <w:pict>
              <v:group w14:anchorId="725C9662" id="Group 1094" o:spid="_x0000_s1040" alt="&quot;&quot;" style="position:absolute;margin-left:244.25pt;margin-top:572.95pt;width:22.4pt;height:21.75pt;z-index:251694080" coordsize="284671,27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">
                <v:shape id="Oval 1089" o:spid="_x0000_s1041" style="position:absolute;left:17255;width:267416;height:276048;visibility:visible;mso-wrap-style:square;v-text-anchor:top" coordsize="267416,27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" path="m,138024at,,267416,276048,,138024,,138024xe" strokecolor="white" strokeweight=".70561mm">
                  <v:path arrowok="t" o:connecttype="custom" o:connectlocs="133708,0;267416,138024;133708,276048;0,138024;39162,40426;39162,235622;228254,235622;228254,40426" o:connectangles="270,0,90,180,270,90,90,270" textboxrect="39162,40426,228254,235622"/>
                </v:shape>
                <v:shape id="Text Box 1093" o:spid="_x0000_s1042" type="#_x0000_t202" style="position:absolute;top:8119;width:215268;height:24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DF8B491" w14:textId="77777777" w:rsidR="00D362C0" w:rsidRDefault="00D362C0">
                        <w:pPr>
                          <w:rPr>
                            <w:i/>
                            <w:color w:val="7030A0"/>
                            <w:sz w:val="21"/>
                            <w:szCs w:val="21"/>
                          </w:rPr>
                        </w:pPr>
                        <w:r>
                          <w:rPr>
                            <w:i/>
                            <w:color w:val="7030A0"/>
                            <w:sz w:val="21"/>
                            <w:szCs w:val="21"/>
                          </w:rPr>
                          <w:t>w</w:t>
                        </w:r>
                      </w:p>
                    </w:txbxContent>
                  </v:textbox>
                </v:shape>
              </v:group>
            </w:pict>
          </mc:Fallback>
        </mc:AlternateContent>
      </w:r>
      <w:r w:rsidR="00B21A03">
        <w:rPr>
          <w:noProof/>
          <w:lang w:eastAsia="en-GB"/>
        </w:rPr>
        <mc:AlternateContent>
          <mc:Choice Requires="wps">
            <w:drawing>
              <wp:anchor distT="0" distB="0" distL="114300" distR="114300" simplePos="0" relativeHeight="251684864" behindDoc="0" locked="0" layoutInCell="1" allowOverlap="1" wp14:anchorId="1F08D092" wp14:editId="30362364">
                <wp:simplePos x="0" y="0"/>
                <wp:positionH relativeFrom="column">
                  <wp:posOffset>3437887</wp:posOffset>
                </wp:positionH>
                <wp:positionV relativeFrom="paragraph">
                  <wp:posOffset>7258050</wp:posOffset>
                </wp:positionV>
                <wp:extent cx="2164713" cy="1524003"/>
                <wp:effectExtent l="0" t="0" r="0" b="0"/>
                <wp:wrapNone/>
                <wp:docPr id="32" name="Text Box 42" descr="Links for various social media platforms"/>
                <wp:cNvGraphicFramePr/>
                <a:graphic xmlns:a="http://schemas.openxmlformats.org/drawingml/2006/main">
                  <a:graphicData uri="http://schemas.microsoft.com/office/word/2010/wordprocessingShape">
                    <wps:wsp>
                      <wps:cNvSpPr txBox="1"/>
                      <wps:spPr>
                        <a:xfrm>
                          <a:off x="0" y="0"/>
                          <a:ext cx="2164713" cy="1524003"/>
                        </a:xfrm>
                        <a:prstGeom prst="rect">
                          <a:avLst/>
                        </a:prstGeom>
                        <a:noFill/>
                        <a:ln>
                          <a:noFill/>
                          <a:prstDash/>
                        </a:ln>
                      </wps:spPr>
                      <wps:txbx>
                        <w:txbxContent>
                          <w:p w14:paraId="6E833BA4" w14:textId="77777777" w:rsidR="00D362C0" w:rsidRDefault="00D362C0">
                            <w:pPr>
                              <w:spacing w:after="0" w:line="600" w:lineRule="auto"/>
                              <w:rPr>
                                <w:color w:val="FFFFFF"/>
                              </w:rPr>
                            </w:pPr>
                            <w:r>
                              <w:rPr>
                                <w:color w:val="FFFFFF"/>
                              </w:rPr>
                              <w:t>edgehill.ac.uk</w:t>
                            </w:r>
                          </w:p>
                          <w:p w14:paraId="3B93E6AF" w14:textId="77777777" w:rsidR="00D362C0" w:rsidRDefault="00D362C0">
                            <w:pPr>
                              <w:spacing w:after="0" w:line="600" w:lineRule="auto"/>
                              <w:rPr>
                                <w:color w:val="FFFFFF"/>
                              </w:rPr>
                            </w:pPr>
                            <w:r>
                              <w:rPr>
                                <w:color w:val="FFFFFF"/>
                              </w:rPr>
                              <w:t>facebook.com/</w:t>
                            </w:r>
                            <w:proofErr w:type="spellStart"/>
                            <w:r>
                              <w:rPr>
                                <w:color w:val="FFFFFF"/>
                              </w:rPr>
                              <w:t>edgehilluniversity</w:t>
                            </w:r>
                            <w:proofErr w:type="spellEnd"/>
                          </w:p>
                          <w:p w14:paraId="340594D4" w14:textId="77777777" w:rsidR="00D362C0" w:rsidRDefault="00D362C0">
                            <w:pPr>
                              <w:spacing w:after="0" w:line="600" w:lineRule="auto"/>
                              <w:rPr>
                                <w:color w:val="FFFFFF"/>
                              </w:rPr>
                            </w:pPr>
                            <w:r>
                              <w:rPr>
                                <w:color w:val="FFFFFF"/>
                              </w:rPr>
                              <w:t>twitter.com/</w:t>
                            </w:r>
                            <w:proofErr w:type="spellStart"/>
                            <w:r>
                              <w:rPr>
                                <w:color w:val="FFFFFF"/>
                              </w:rPr>
                              <w:t>edgehill</w:t>
                            </w:r>
                            <w:proofErr w:type="spellEnd"/>
                          </w:p>
                          <w:p w14:paraId="552B46E8" w14:textId="77777777" w:rsidR="00D362C0" w:rsidRDefault="00D362C0">
                            <w:pPr>
                              <w:spacing w:after="0" w:line="600" w:lineRule="auto"/>
                              <w:rPr>
                                <w:color w:val="FFFFFF"/>
                              </w:rPr>
                            </w:pPr>
                            <w:r>
                              <w:rPr>
                                <w:color w:val="FFFFFF"/>
                              </w:rPr>
                              <w:t>instagram.com/</w:t>
                            </w:r>
                            <w:proofErr w:type="spellStart"/>
                            <w:r>
                              <w:rPr>
                                <w:color w:val="FFFFFF"/>
                              </w:rPr>
                              <w:t>edgehilluniversity</w:t>
                            </w:r>
                            <w:proofErr w:type="spellEnd"/>
                          </w:p>
                        </w:txbxContent>
                      </wps:txbx>
                      <wps:bodyPr vert="horz" wrap="square" lIns="91440" tIns="45720" rIns="91440" bIns="45720" anchor="t" anchorCtr="0" compatLnSpc="1">
                        <a:noAutofit/>
                      </wps:bodyPr>
                    </wps:wsp>
                  </a:graphicData>
                </a:graphic>
              </wp:anchor>
            </w:drawing>
          </mc:Choice>
          <mc:Fallback>
            <w:pict>
              <v:shape w14:anchorId="1F08D092" id="Text Box 42" o:spid="_x0000_s1043" type="#_x0000_t202" alt="Links for various social media platforms" style="position:absolute;margin-left:270.7pt;margin-top:571.5pt;width:170.45pt;height:120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" filled="f" stroked="f">
                <v:textbox>
                  <w:txbxContent>
                    <w:p w14:paraId="6E833BA4" w14:textId="77777777" w:rsidR="00D362C0" w:rsidRDefault="00D362C0">
                      <w:pPr>
                        <w:spacing w:after="0" w:line="600" w:lineRule="auto"/>
                        <w:rPr>
                          <w:color w:val="FFFFFF"/>
                        </w:rPr>
                      </w:pPr>
                      <w:r>
                        <w:rPr>
                          <w:color w:val="FFFFFF"/>
                        </w:rPr>
                        <w:t>edgehill.ac.uk</w:t>
                      </w:r>
                    </w:p>
                    <w:p w14:paraId="3B93E6AF" w14:textId="77777777" w:rsidR="00D362C0" w:rsidRDefault="00D362C0">
                      <w:pPr>
                        <w:spacing w:after="0" w:line="600" w:lineRule="auto"/>
                        <w:rPr>
                          <w:color w:val="FFFFFF"/>
                        </w:rPr>
                      </w:pPr>
                      <w:r>
                        <w:rPr>
                          <w:color w:val="FFFFFF"/>
                        </w:rPr>
                        <w:t>facebook.com/</w:t>
                      </w:r>
                      <w:proofErr w:type="spellStart"/>
                      <w:r>
                        <w:rPr>
                          <w:color w:val="FFFFFF"/>
                        </w:rPr>
                        <w:t>edgehilluniversity</w:t>
                      </w:r>
                      <w:proofErr w:type="spellEnd"/>
                    </w:p>
                    <w:p w14:paraId="340594D4" w14:textId="77777777" w:rsidR="00D362C0" w:rsidRDefault="00D362C0">
                      <w:pPr>
                        <w:spacing w:after="0" w:line="600" w:lineRule="auto"/>
                        <w:rPr>
                          <w:color w:val="FFFFFF"/>
                        </w:rPr>
                      </w:pPr>
                      <w:r>
                        <w:rPr>
                          <w:color w:val="FFFFFF"/>
                        </w:rPr>
                        <w:t>twitter.com/</w:t>
                      </w:r>
                      <w:proofErr w:type="spellStart"/>
                      <w:r>
                        <w:rPr>
                          <w:color w:val="FFFFFF"/>
                        </w:rPr>
                        <w:t>edgehill</w:t>
                      </w:r>
                      <w:proofErr w:type="spellEnd"/>
                    </w:p>
                    <w:p w14:paraId="552B46E8" w14:textId="77777777" w:rsidR="00D362C0" w:rsidRDefault="00D362C0">
                      <w:pPr>
                        <w:spacing w:after="0" w:line="600" w:lineRule="auto"/>
                        <w:rPr>
                          <w:color w:val="FFFFFF"/>
                        </w:rPr>
                      </w:pPr>
                      <w:r>
                        <w:rPr>
                          <w:color w:val="FFFFFF"/>
                        </w:rPr>
                        <w:t>instagram.com/</w:t>
                      </w:r>
                      <w:proofErr w:type="spellStart"/>
                      <w:r>
                        <w:rPr>
                          <w:color w:val="FFFFFF"/>
                        </w:rPr>
                        <w:t>edgehilluniversity</w:t>
                      </w:r>
                      <w:proofErr w:type="spellEnd"/>
                    </w:p>
                  </w:txbxContent>
                </v:textbox>
              </v:shape>
            </w:pict>
          </mc:Fallback>
        </mc:AlternateContent>
      </w:r>
      <w:r w:rsidR="00B21A03">
        <w:rPr>
          <w:noProof/>
          <w:lang w:eastAsia="en-GB"/>
        </w:rPr>
        <mc:AlternateContent>
          <mc:Choice Requires="wps">
            <w:drawing>
              <wp:anchor distT="0" distB="0" distL="114300" distR="114300" simplePos="0" relativeHeight="251682816" behindDoc="0" locked="0" layoutInCell="1" allowOverlap="1" wp14:anchorId="27F88F91" wp14:editId="05A87829">
                <wp:simplePos x="0" y="0"/>
                <wp:positionH relativeFrom="margin">
                  <wp:posOffset>-42812</wp:posOffset>
                </wp:positionH>
                <wp:positionV relativeFrom="paragraph">
                  <wp:posOffset>7322816</wp:posOffset>
                </wp:positionV>
                <wp:extent cx="1250313" cy="1009012"/>
                <wp:effectExtent l="0" t="0" r="0" b="638"/>
                <wp:wrapNone/>
                <wp:docPr id="33" name="Text Box 40" descr="Edge Hill University, St. Helens Road, Ormskirk, Lancashire, L39 4QP, United Kingdom"/>
                <wp:cNvGraphicFramePr/>
                <a:graphic xmlns:a="http://schemas.openxmlformats.org/drawingml/2006/main">
                  <a:graphicData uri="http://schemas.microsoft.com/office/word/2010/wordprocessingShape">
                    <wps:wsp>
                      <wps:cNvSpPr txBox="1"/>
                      <wps:spPr>
                        <a:xfrm>
                          <a:off x="0" y="0"/>
                          <a:ext cx="1250313" cy="1009012"/>
                        </a:xfrm>
                        <a:prstGeom prst="rect">
                          <a:avLst/>
                        </a:prstGeom>
                        <a:noFill/>
                        <a:ln>
                          <a:noFill/>
                          <a:prstDash/>
                        </a:ln>
                      </wps:spPr>
                      <wps:txbx>
                        <w:txbxContent>
                          <w:p w14:paraId="18AD909C" w14:textId="77777777" w:rsidR="00D362C0" w:rsidRDefault="00D362C0">
                            <w:pPr>
                              <w:spacing w:after="0"/>
                              <w:rPr>
                                <w:color w:val="FFFFFF"/>
                                <w:sz w:val="18"/>
                              </w:rPr>
                            </w:pPr>
                            <w:r>
                              <w:rPr>
                                <w:color w:val="FFFFFF"/>
                                <w:sz w:val="18"/>
                              </w:rPr>
                              <w:t>Edge Hill University</w:t>
                            </w:r>
                          </w:p>
                          <w:p w14:paraId="5591663F" w14:textId="77777777" w:rsidR="00D362C0" w:rsidRDefault="00D362C0">
                            <w:pPr>
                              <w:spacing w:after="0"/>
                              <w:rPr>
                                <w:color w:val="FFFFFF"/>
                                <w:sz w:val="18"/>
                              </w:rPr>
                            </w:pPr>
                            <w:r>
                              <w:rPr>
                                <w:color w:val="FFFFFF"/>
                                <w:sz w:val="18"/>
                              </w:rPr>
                              <w:t>St. Helens Road</w:t>
                            </w:r>
                          </w:p>
                          <w:p w14:paraId="460C53DB" w14:textId="77777777" w:rsidR="00D362C0" w:rsidRDefault="00D362C0">
                            <w:pPr>
                              <w:spacing w:after="0"/>
                              <w:rPr>
                                <w:color w:val="FFFFFF"/>
                                <w:sz w:val="18"/>
                              </w:rPr>
                            </w:pPr>
                            <w:r>
                              <w:rPr>
                                <w:color w:val="FFFFFF"/>
                                <w:sz w:val="18"/>
                              </w:rPr>
                              <w:t>Ormskirk</w:t>
                            </w:r>
                          </w:p>
                          <w:p w14:paraId="61F9D1A6" w14:textId="77777777" w:rsidR="00D362C0" w:rsidRDefault="00D362C0">
                            <w:pPr>
                              <w:spacing w:after="0"/>
                              <w:rPr>
                                <w:color w:val="FFFFFF"/>
                                <w:sz w:val="18"/>
                              </w:rPr>
                            </w:pPr>
                            <w:r>
                              <w:rPr>
                                <w:color w:val="FFFFFF"/>
                                <w:sz w:val="18"/>
                              </w:rPr>
                              <w:t>Lancashire</w:t>
                            </w:r>
                          </w:p>
                          <w:p w14:paraId="47ECA605" w14:textId="77777777" w:rsidR="00D362C0" w:rsidRDefault="00D362C0">
                            <w:pPr>
                              <w:spacing w:after="0"/>
                              <w:rPr>
                                <w:color w:val="FFFFFF"/>
                                <w:sz w:val="18"/>
                              </w:rPr>
                            </w:pPr>
                            <w:r>
                              <w:rPr>
                                <w:color w:val="FFFFFF"/>
                                <w:sz w:val="18"/>
                              </w:rPr>
                              <w:t>L39 4QP</w:t>
                            </w:r>
                          </w:p>
                          <w:p w14:paraId="5CA9EA0D" w14:textId="77777777" w:rsidR="00D362C0" w:rsidRDefault="00D362C0">
                            <w:pPr>
                              <w:spacing w:after="0"/>
                              <w:rPr>
                                <w:color w:val="FFFFFF"/>
                                <w:sz w:val="18"/>
                              </w:rPr>
                            </w:pPr>
                            <w:r>
                              <w:rPr>
                                <w:color w:val="FFFFFF"/>
                                <w:sz w:val="18"/>
                              </w:rPr>
                              <w:t>United Kingdom</w:t>
                            </w:r>
                          </w:p>
                        </w:txbxContent>
                      </wps:txbx>
                      <wps:bodyPr vert="horz" wrap="square" lIns="91440" tIns="45720" rIns="91440" bIns="45720" anchor="t" anchorCtr="0" compatLnSpc="1">
                        <a:noAutofit/>
                      </wps:bodyPr>
                    </wps:wsp>
                  </a:graphicData>
                </a:graphic>
              </wp:anchor>
            </w:drawing>
          </mc:Choice>
          <mc:Fallback>
            <w:pict>
              <v:shape w14:anchorId="27F88F91" id="Text Box 40" o:spid="_x0000_s1044" type="#_x0000_t202" alt="Edge Hill University, St. Helens Road, Ormskirk, Lancashire, L39 4QP, United Kingdom" style="position:absolute;margin-left:-3.35pt;margin-top:576.6pt;width:98.45pt;height:79.4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" filled="f" stroked="f">
                <v:textbox>
                  <w:txbxContent>
                    <w:p w14:paraId="18AD909C" w14:textId="77777777" w:rsidR="00D362C0" w:rsidRDefault="00D362C0">
                      <w:pPr>
                        <w:spacing w:after="0"/>
                        <w:rPr>
                          <w:color w:val="FFFFFF"/>
                          <w:sz w:val="18"/>
                        </w:rPr>
                      </w:pPr>
                      <w:r>
                        <w:rPr>
                          <w:color w:val="FFFFFF"/>
                          <w:sz w:val="18"/>
                        </w:rPr>
                        <w:t>Edge Hill University</w:t>
                      </w:r>
                    </w:p>
                    <w:p w14:paraId="5591663F" w14:textId="77777777" w:rsidR="00D362C0" w:rsidRDefault="00D362C0">
                      <w:pPr>
                        <w:spacing w:after="0"/>
                        <w:rPr>
                          <w:color w:val="FFFFFF"/>
                          <w:sz w:val="18"/>
                        </w:rPr>
                      </w:pPr>
                      <w:r>
                        <w:rPr>
                          <w:color w:val="FFFFFF"/>
                          <w:sz w:val="18"/>
                        </w:rPr>
                        <w:t>St. Helens Road</w:t>
                      </w:r>
                    </w:p>
                    <w:p w14:paraId="460C53DB" w14:textId="77777777" w:rsidR="00D362C0" w:rsidRDefault="00D362C0">
                      <w:pPr>
                        <w:spacing w:after="0"/>
                        <w:rPr>
                          <w:color w:val="FFFFFF"/>
                          <w:sz w:val="18"/>
                        </w:rPr>
                      </w:pPr>
                      <w:r>
                        <w:rPr>
                          <w:color w:val="FFFFFF"/>
                          <w:sz w:val="18"/>
                        </w:rPr>
                        <w:t>Ormskirk</w:t>
                      </w:r>
                    </w:p>
                    <w:p w14:paraId="61F9D1A6" w14:textId="77777777" w:rsidR="00D362C0" w:rsidRDefault="00D362C0">
                      <w:pPr>
                        <w:spacing w:after="0"/>
                        <w:rPr>
                          <w:color w:val="FFFFFF"/>
                          <w:sz w:val="18"/>
                        </w:rPr>
                      </w:pPr>
                      <w:r>
                        <w:rPr>
                          <w:color w:val="FFFFFF"/>
                          <w:sz w:val="18"/>
                        </w:rPr>
                        <w:t>Lancashire</w:t>
                      </w:r>
                    </w:p>
                    <w:p w14:paraId="47ECA605" w14:textId="77777777" w:rsidR="00D362C0" w:rsidRDefault="00D362C0">
                      <w:pPr>
                        <w:spacing w:after="0"/>
                        <w:rPr>
                          <w:color w:val="FFFFFF"/>
                          <w:sz w:val="18"/>
                        </w:rPr>
                      </w:pPr>
                      <w:r>
                        <w:rPr>
                          <w:color w:val="FFFFFF"/>
                          <w:sz w:val="18"/>
                        </w:rPr>
                        <w:t>L39 4QP</w:t>
                      </w:r>
                    </w:p>
                    <w:p w14:paraId="5CA9EA0D" w14:textId="77777777" w:rsidR="00D362C0" w:rsidRDefault="00D362C0">
                      <w:pPr>
                        <w:spacing w:after="0"/>
                        <w:rPr>
                          <w:color w:val="FFFFFF"/>
                          <w:sz w:val="18"/>
                        </w:rPr>
                      </w:pPr>
                      <w:r>
                        <w:rPr>
                          <w:color w:val="FFFFFF"/>
                          <w:sz w:val="18"/>
                        </w:rPr>
                        <w:t>United Kingdom</w:t>
                      </w:r>
                    </w:p>
                  </w:txbxContent>
                </v:textbox>
                <w10:wrap anchorx="margin"/>
              </v:shape>
            </w:pict>
          </mc:Fallback>
        </mc:AlternateContent>
      </w:r>
      <w:r w:rsidR="00B21A03">
        <w:rPr>
          <w:noProof/>
          <w:lang w:eastAsia="en-GB"/>
        </w:rPr>
        <mc:AlternateContent>
          <mc:Choice Requires="wps">
            <w:drawing>
              <wp:anchor distT="0" distB="0" distL="114300" distR="114300" simplePos="0" relativeHeight="251683840" behindDoc="0" locked="0" layoutInCell="1" allowOverlap="1" wp14:anchorId="2B165F23" wp14:editId="144C9BEE">
                <wp:simplePos x="0" y="0"/>
                <wp:positionH relativeFrom="column">
                  <wp:posOffset>-17254</wp:posOffset>
                </wp:positionH>
                <wp:positionV relativeFrom="paragraph">
                  <wp:posOffset>7151293</wp:posOffset>
                </wp:positionV>
                <wp:extent cx="5675634" cy="17145"/>
                <wp:effectExtent l="19050" t="19050" r="20316" b="20955"/>
                <wp:wrapNone/>
                <wp:docPr id="34"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75634" cy="17145"/>
                        </a:xfrm>
                        <a:prstGeom prst="straightConnector1">
                          <a:avLst/>
                        </a:prstGeom>
                        <a:noFill/>
                        <a:ln w="28575" cap="flat">
                          <a:solidFill>
                            <a:srgbClr val="FFFFFF"/>
                          </a:solidFill>
                          <a:prstDash val="solid"/>
                        </a:ln>
                      </wps:spPr>
                      <wps:bodyPr/>
                    </wps:wsp>
                  </a:graphicData>
                </a:graphic>
              </wp:anchor>
            </w:drawing>
          </mc:Choice>
          <mc:Fallback>
            <w:pict>
              <v:shape w14:anchorId="34CE3108" id="Straight Connector 41" o:spid="_x0000_s1026" type="#_x0000_t32" alt="&quot;&quot;" style="position:absolute;margin-left:-1.35pt;margin-top:563.1pt;width:446.9pt;height:1.3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" strokecolor="white" strokeweight="2.25pt"/>
            </w:pict>
          </mc:Fallback>
        </mc:AlternateContent>
      </w:r>
    </w:p>
    <w:sectPr w:rsidR="00BE61B3" w:rsidSect="00E80412">
      <w:headerReference w:type="default" r:id="rId25"/>
      <w:footerReference w:type="default" r:id="rId26"/>
      <w:pgSz w:w="11906" w:h="16838"/>
      <w:pgMar w:top="1440" w:right="1440" w:bottom="1440" w:left="144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41C1" w14:textId="77777777" w:rsidR="00777EAF" w:rsidRDefault="00777EAF">
      <w:pPr>
        <w:spacing w:after="0" w:line="240" w:lineRule="auto"/>
      </w:pPr>
      <w:r>
        <w:separator/>
      </w:r>
    </w:p>
  </w:endnote>
  <w:endnote w:type="continuationSeparator" w:id="0">
    <w:p w14:paraId="6A57CA6C" w14:textId="77777777" w:rsidR="00777EAF" w:rsidRDefault="0077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9764" w14:textId="77777777" w:rsidR="00D362C0" w:rsidRDefault="00D362C0">
    <w:pPr>
      <w:pStyle w:val="Footer"/>
      <w:pBdr>
        <w:top w:val="single" w:sz="4" w:space="1" w:color="D9D9D9"/>
      </w:pBdr>
      <w:jc w:val="right"/>
    </w:pPr>
  </w:p>
  <w:p w14:paraId="0A079F1D" w14:textId="77777777" w:rsidR="00D362C0" w:rsidRDefault="00D3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95820"/>
      <w:docPartObj>
        <w:docPartGallery w:val="Page Numbers (Bottom of Page)"/>
        <w:docPartUnique/>
      </w:docPartObj>
    </w:sdtPr>
    <w:sdtEndPr>
      <w:rPr>
        <w:noProof/>
      </w:rPr>
    </w:sdtEndPr>
    <w:sdtContent>
      <w:p w14:paraId="1099A8B8" w14:textId="28BC6432" w:rsidR="003817AF" w:rsidRDefault="003817AF">
        <w:pPr>
          <w:pStyle w:val="Footer"/>
        </w:pPr>
        <w:r>
          <w:fldChar w:fldCharType="begin"/>
        </w:r>
        <w:r>
          <w:instrText xml:space="preserve"> PAGE   \* MERGEFORMAT </w:instrText>
        </w:r>
        <w:r>
          <w:fldChar w:fldCharType="separate"/>
        </w:r>
        <w:r>
          <w:rPr>
            <w:noProof/>
          </w:rPr>
          <w:t>2</w:t>
        </w:r>
        <w:r>
          <w:rPr>
            <w:noProof/>
          </w:rPr>
          <w:fldChar w:fldCharType="end"/>
        </w:r>
      </w:p>
    </w:sdtContent>
  </w:sdt>
  <w:p w14:paraId="575A2009" w14:textId="77777777" w:rsidR="00D362C0" w:rsidRDefault="00D36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A960" w14:textId="77777777" w:rsidR="00D362C0" w:rsidRDefault="00D3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BCBC" w14:textId="77777777" w:rsidR="00777EAF" w:rsidRDefault="00777EAF">
      <w:pPr>
        <w:spacing w:after="0" w:line="240" w:lineRule="auto"/>
      </w:pPr>
      <w:r>
        <w:rPr>
          <w:color w:val="000000"/>
        </w:rPr>
        <w:separator/>
      </w:r>
    </w:p>
  </w:footnote>
  <w:footnote w:type="continuationSeparator" w:id="0">
    <w:p w14:paraId="61BACDF8" w14:textId="77777777" w:rsidR="00777EAF" w:rsidRDefault="00777EAF">
      <w:pPr>
        <w:spacing w:after="0" w:line="240" w:lineRule="auto"/>
      </w:pPr>
      <w:r>
        <w:continuationSeparator/>
      </w:r>
    </w:p>
  </w:footnote>
  <w:footnote w:id="1">
    <w:p w14:paraId="0E5CA8EE" w14:textId="7650819D" w:rsidR="00EE4AA4" w:rsidRPr="0031520D" w:rsidRDefault="00EE4AA4">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hyperlink r:id="rId1" w:history="1">
        <w:r w:rsidRPr="0031520D">
          <w:rPr>
            <w:rStyle w:val="Hyperlink"/>
            <w:rFonts w:asciiTheme="minorHAnsi" w:hAnsiTheme="minorHAnsi" w:cstheme="minorHAnsi"/>
            <w:sz w:val="18"/>
            <w:szCs w:val="18"/>
          </w:rPr>
          <w:t>www.qaa.ac.uk/en/quality-code/advice-and-guidance/external-expertise</w:t>
        </w:r>
      </w:hyperlink>
      <w:r w:rsidRPr="0031520D">
        <w:rPr>
          <w:rFonts w:asciiTheme="minorHAnsi" w:hAnsiTheme="minorHAnsi" w:cstheme="minorHAnsi"/>
          <w:sz w:val="18"/>
          <w:szCs w:val="18"/>
        </w:rPr>
        <w:t>.</w:t>
      </w:r>
    </w:p>
  </w:footnote>
  <w:footnote w:id="2">
    <w:p w14:paraId="7284252B" w14:textId="37C843D5" w:rsidR="00D362C0" w:rsidRPr="0031520D" w:rsidRDefault="00D362C0" w:rsidP="001D0AB0">
      <w:pPr>
        <w:pStyle w:val="BodyText"/>
        <w:overflowPunct w:val="0"/>
        <w:ind w:left="0"/>
        <w:jc w:val="both"/>
        <w:rPr>
          <w:rFonts w:asciiTheme="minorHAnsi" w:hAnsiTheme="minorHAnsi" w:cstheme="minorHAnsi"/>
        </w:rPr>
      </w:pPr>
      <w:r w:rsidRPr="0031520D">
        <w:rPr>
          <w:rStyle w:val="FootnoteReference"/>
          <w:rFonts w:asciiTheme="minorHAnsi" w:hAnsiTheme="minorHAnsi" w:cstheme="minorHAnsi"/>
        </w:rPr>
        <w:footnoteRef/>
      </w:r>
      <w:r w:rsidRPr="0031520D">
        <w:rPr>
          <w:rFonts w:asciiTheme="minorHAnsi" w:hAnsiTheme="minorHAnsi" w:cstheme="minorHAnsi"/>
        </w:rPr>
        <w:t xml:space="preserve"> </w:t>
      </w:r>
      <w:hyperlink r:id="rId2" w:history="1">
        <w:r w:rsidR="001C6149" w:rsidRPr="0031520D">
          <w:rPr>
            <w:rStyle w:val="Hyperlink"/>
            <w:rFonts w:asciiTheme="minorHAnsi" w:hAnsiTheme="minorHAnsi" w:cstheme="minorHAnsi"/>
          </w:rPr>
          <w:t>Academic Regulations 2023/2024 - Edge Hill University</w:t>
        </w:r>
      </w:hyperlink>
    </w:p>
  </w:footnote>
  <w:footnote w:id="3">
    <w:p w14:paraId="5292D2F0" w14:textId="77777777" w:rsidR="00D362C0" w:rsidRPr="001D0AB0" w:rsidRDefault="00D362C0" w:rsidP="001D0AB0">
      <w:pPr>
        <w:pStyle w:val="BodyText"/>
        <w:overflowPunct w:val="0"/>
        <w:spacing w:before="6"/>
        <w:ind w:left="0"/>
        <w:jc w:val="both"/>
        <w:rPr>
          <w:sz w:val="20"/>
          <w:szCs w:val="20"/>
        </w:rPr>
      </w:pPr>
      <w:r w:rsidRPr="0031520D">
        <w:rPr>
          <w:rStyle w:val="FootnoteReference"/>
          <w:rFonts w:asciiTheme="minorHAnsi" w:hAnsiTheme="minorHAnsi" w:cstheme="minorHAnsi"/>
        </w:rPr>
        <w:footnoteRef/>
      </w:r>
      <w:r w:rsidRPr="0031520D">
        <w:rPr>
          <w:rFonts w:asciiTheme="minorHAnsi" w:hAnsiTheme="minorHAnsi" w:cstheme="minorHAnsi"/>
        </w:rPr>
        <w:t xml:space="preserve"> </w:t>
      </w:r>
      <w:r w:rsidRPr="0031520D">
        <w:rPr>
          <w:rFonts w:asciiTheme="minorHAnsi" w:hAnsiTheme="minorHAnsi" w:cstheme="minorHAnsi"/>
          <w:color w:val="231F20"/>
          <w:spacing w:val="-2"/>
        </w:rPr>
        <w:t>Academic</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standards</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are</w:t>
      </w:r>
      <w:r w:rsidRPr="0031520D">
        <w:rPr>
          <w:rFonts w:asciiTheme="minorHAnsi" w:hAnsiTheme="minorHAnsi" w:cstheme="minorHAnsi"/>
          <w:color w:val="231F20"/>
          <w:spacing w:val="-4"/>
        </w:rPr>
        <w:t xml:space="preserve"> </w:t>
      </w:r>
      <w:r w:rsidRPr="0031520D">
        <w:rPr>
          <w:rFonts w:asciiTheme="minorHAnsi" w:hAnsiTheme="minorHAnsi" w:cstheme="minorHAnsi"/>
          <w:color w:val="231F20"/>
          <w:spacing w:val="-2"/>
        </w:rPr>
        <w:t>set</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1"/>
        </w:rPr>
        <w:t>at</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validation</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through</w:t>
      </w:r>
      <w:r w:rsidRPr="0031520D">
        <w:rPr>
          <w:rFonts w:asciiTheme="minorHAnsi" w:hAnsiTheme="minorHAnsi" w:cstheme="minorHAnsi"/>
          <w:color w:val="231F20"/>
          <w:spacing w:val="-4"/>
        </w:rPr>
        <w:t xml:space="preserve"> </w:t>
      </w:r>
      <w:r w:rsidRPr="0031520D">
        <w:rPr>
          <w:rFonts w:asciiTheme="minorHAnsi" w:hAnsiTheme="minorHAnsi" w:cstheme="minorHAnsi"/>
          <w:color w:val="231F20"/>
          <w:spacing w:val="-2"/>
        </w:rPr>
        <w:t>the</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approval</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1"/>
        </w:rPr>
        <w:t>of</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Intended</w:t>
      </w:r>
      <w:r w:rsidRPr="0031520D">
        <w:rPr>
          <w:rFonts w:asciiTheme="minorHAnsi" w:hAnsiTheme="minorHAnsi" w:cstheme="minorHAnsi"/>
          <w:color w:val="231F20"/>
          <w:spacing w:val="-4"/>
        </w:rPr>
        <w:t xml:space="preserve"> </w:t>
      </w:r>
      <w:r w:rsidRPr="0031520D">
        <w:rPr>
          <w:rFonts w:asciiTheme="minorHAnsi" w:hAnsiTheme="minorHAnsi" w:cstheme="minorHAnsi"/>
          <w:color w:val="231F20"/>
          <w:spacing w:val="-2"/>
        </w:rPr>
        <w:t>Learning</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Outcomes</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1"/>
        </w:rPr>
        <w:t>at</w:t>
      </w:r>
      <w:r w:rsidRPr="0031520D">
        <w:rPr>
          <w:rFonts w:asciiTheme="minorHAnsi" w:hAnsiTheme="minorHAnsi" w:cstheme="minorHAnsi"/>
          <w:color w:val="231F20"/>
          <w:spacing w:val="-4"/>
        </w:rPr>
        <w:t xml:space="preserve"> </w:t>
      </w:r>
      <w:r w:rsidRPr="0031520D">
        <w:rPr>
          <w:rFonts w:asciiTheme="minorHAnsi" w:hAnsiTheme="minorHAnsi" w:cstheme="minorHAnsi"/>
          <w:color w:val="231F20"/>
          <w:spacing w:val="-2"/>
        </w:rPr>
        <w:t>module</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and</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programme</w:t>
      </w:r>
      <w:r w:rsidRPr="0031520D">
        <w:rPr>
          <w:rFonts w:asciiTheme="minorHAnsi" w:hAnsiTheme="minorHAnsi" w:cstheme="minorHAnsi"/>
          <w:color w:val="231F20"/>
          <w:spacing w:val="-3"/>
        </w:rPr>
        <w:t xml:space="preserve"> </w:t>
      </w:r>
      <w:r w:rsidRPr="0031520D">
        <w:rPr>
          <w:rFonts w:asciiTheme="minorHAnsi" w:hAnsiTheme="minorHAnsi" w:cstheme="minorHAnsi"/>
          <w:color w:val="231F20"/>
          <w:spacing w:val="-2"/>
        </w:rPr>
        <w:t>level.</w:t>
      </w:r>
    </w:p>
  </w:footnote>
  <w:footnote w:id="4">
    <w:p w14:paraId="65B325D0" w14:textId="77777777" w:rsidR="00D362C0" w:rsidRPr="0031520D" w:rsidRDefault="00D362C0" w:rsidP="001D0AB0">
      <w:pPr>
        <w:pStyle w:val="NoSpacing"/>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Available at </w:t>
      </w:r>
      <w:hyperlink r:id="rId3" w:history="1">
        <w:r w:rsidRPr="0031520D">
          <w:rPr>
            <w:rStyle w:val="Hyperlink"/>
            <w:rFonts w:asciiTheme="minorHAnsi" w:hAnsiTheme="minorHAnsi" w:cstheme="minorHAnsi"/>
            <w:sz w:val="18"/>
            <w:szCs w:val="18"/>
          </w:rPr>
          <w:t>https://www.edgehill.ac.uk/documents/quality-management-handbook/</w:t>
        </w:r>
      </w:hyperlink>
    </w:p>
  </w:footnote>
  <w:footnote w:id="5">
    <w:p w14:paraId="24BE9A98" w14:textId="77CF1176" w:rsidR="00D362C0" w:rsidRPr="0031520D" w:rsidRDefault="00D362C0" w:rsidP="00662B1A">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See the University’s guidelines on </w:t>
      </w:r>
      <w:bookmarkStart w:id="7" w:name="_Hlk148442682"/>
      <w:r w:rsidR="00894571" w:rsidRPr="0031520D">
        <w:rPr>
          <w:rFonts w:asciiTheme="minorHAnsi" w:hAnsiTheme="minorHAnsi" w:cstheme="minorHAnsi"/>
          <w:i/>
          <w:sz w:val="18"/>
          <w:szCs w:val="18"/>
        </w:rPr>
        <w:t>‘</w:t>
      </w:r>
      <w:r w:rsidR="00894571" w:rsidRPr="0031520D">
        <w:rPr>
          <w:rFonts w:asciiTheme="minorHAnsi" w:hAnsiTheme="minorHAnsi" w:cstheme="minorHAnsi"/>
          <w:iCs/>
          <w:sz w:val="18"/>
          <w:szCs w:val="18"/>
        </w:rPr>
        <w:t xml:space="preserve">Marking and Moderating Assessed Work’ </w:t>
      </w:r>
      <w:hyperlink r:id="rId4" w:history="1">
        <w:r w:rsidR="00894571" w:rsidRPr="0031520D">
          <w:rPr>
            <w:rStyle w:val="Hyperlink"/>
            <w:rFonts w:asciiTheme="minorHAnsi" w:hAnsiTheme="minorHAnsi" w:cstheme="minorHAnsi"/>
            <w:sz w:val="18"/>
            <w:szCs w:val="18"/>
          </w:rPr>
          <w:t>Assessment and Feedback Policy</w:t>
        </w:r>
      </w:hyperlink>
      <w:r w:rsidR="00894571" w:rsidRPr="0031520D">
        <w:rPr>
          <w:rFonts w:asciiTheme="minorHAnsi" w:hAnsiTheme="minorHAnsi" w:cstheme="minorHAnsi"/>
          <w:sz w:val="18"/>
          <w:szCs w:val="18"/>
        </w:rPr>
        <w:t>, 2023-26)</w:t>
      </w:r>
      <w:bookmarkEnd w:id="7"/>
    </w:p>
  </w:footnote>
  <w:footnote w:id="6">
    <w:p w14:paraId="3F3D80A0" w14:textId="7EA289A1" w:rsidR="00D362C0" w:rsidRPr="0031520D" w:rsidRDefault="00D362C0" w:rsidP="00662B1A">
      <w:pPr>
        <w:pStyle w:val="NoSpacing"/>
        <w:rPr>
          <w:rFonts w:asciiTheme="minorHAnsi" w:hAnsiTheme="minorHAnsi" w:cstheme="minorHAnsi"/>
          <w:color w:val="231F20"/>
          <w:spacing w:val="-1"/>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r w:rsidRPr="0031520D">
        <w:rPr>
          <w:rFonts w:asciiTheme="minorHAnsi" w:hAnsiTheme="minorHAnsi" w:cstheme="minorHAnsi"/>
          <w:color w:val="231F20"/>
          <w:sz w:val="18"/>
          <w:szCs w:val="18"/>
        </w:rPr>
        <w:t>As</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defined</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by</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the</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‘Frameworks</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for</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Higher</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Education</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Qualifications</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of</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UK</w:t>
      </w:r>
      <w:r w:rsidRPr="0031520D">
        <w:rPr>
          <w:rFonts w:asciiTheme="minorHAnsi" w:hAnsiTheme="minorHAnsi" w:cstheme="minorHAnsi"/>
          <w:color w:val="231F20"/>
          <w:spacing w:val="-1"/>
          <w:sz w:val="18"/>
          <w:szCs w:val="18"/>
        </w:rPr>
        <w:t xml:space="preserve"> Degree-Awarding</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Bodies’</w:t>
      </w:r>
      <w:r w:rsidRPr="0031520D">
        <w:rPr>
          <w:rFonts w:asciiTheme="minorHAnsi" w:hAnsiTheme="minorHAnsi" w:cstheme="minorHAnsi"/>
          <w:color w:val="231F20"/>
          <w:spacing w:val="-6"/>
          <w:sz w:val="18"/>
          <w:szCs w:val="18"/>
        </w:rPr>
        <w:t xml:space="preserve"> </w:t>
      </w:r>
      <w:r w:rsidRPr="0031520D">
        <w:rPr>
          <w:rFonts w:asciiTheme="minorHAnsi" w:hAnsiTheme="minorHAnsi" w:cstheme="minorHAnsi"/>
          <w:color w:val="231F20"/>
          <w:sz w:val="18"/>
          <w:szCs w:val="18"/>
        </w:rPr>
        <w:t>(QAA,</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2014)</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and</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Subject</w:t>
      </w:r>
      <w:r w:rsidRPr="0031520D">
        <w:rPr>
          <w:rFonts w:asciiTheme="minorHAnsi" w:hAnsiTheme="minorHAnsi" w:cstheme="minorHAnsi"/>
          <w:color w:val="231F20"/>
          <w:spacing w:val="25"/>
          <w:w w:val="99"/>
          <w:sz w:val="18"/>
          <w:szCs w:val="18"/>
        </w:rPr>
        <w:t xml:space="preserve"> </w:t>
      </w:r>
      <w:r w:rsidRPr="0031520D">
        <w:rPr>
          <w:rFonts w:asciiTheme="minorHAnsi" w:hAnsiTheme="minorHAnsi" w:cstheme="minorHAnsi"/>
          <w:color w:val="231F20"/>
          <w:sz w:val="18"/>
          <w:szCs w:val="18"/>
        </w:rPr>
        <w:t>Benchmark</w:t>
      </w:r>
      <w:r w:rsidRPr="0031520D">
        <w:rPr>
          <w:rFonts w:asciiTheme="minorHAnsi" w:hAnsiTheme="minorHAnsi" w:cstheme="minorHAnsi"/>
          <w:color w:val="231F20"/>
          <w:spacing w:val="-4"/>
          <w:sz w:val="18"/>
          <w:szCs w:val="18"/>
        </w:rPr>
        <w:t xml:space="preserve"> </w:t>
      </w:r>
      <w:r w:rsidRPr="0031520D">
        <w:rPr>
          <w:rFonts w:asciiTheme="minorHAnsi" w:hAnsiTheme="minorHAnsi" w:cstheme="minorHAnsi"/>
          <w:color w:val="231F20"/>
          <w:sz w:val="18"/>
          <w:szCs w:val="18"/>
        </w:rPr>
        <w:t>Statements</w:t>
      </w:r>
      <w:r w:rsidRPr="0031520D">
        <w:rPr>
          <w:rFonts w:asciiTheme="minorHAnsi" w:hAnsiTheme="minorHAnsi" w:cstheme="minorHAnsi"/>
          <w:color w:val="231F20"/>
          <w:spacing w:val="-3"/>
          <w:sz w:val="18"/>
          <w:szCs w:val="18"/>
        </w:rPr>
        <w:t xml:space="preserve"> </w:t>
      </w:r>
      <w:r w:rsidRPr="0031520D">
        <w:rPr>
          <w:rFonts w:asciiTheme="minorHAnsi" w:hAnsiTheme="minorHAnsi" w:cstheme="minorHAnsi"/>
          <w:color w:val="231F20"/>
          <w:sz w:val="18"/>
          <w:szCs w:val="18"/>
        </w:rPr>
        <w:t>–</w:t>
      </w:r>
      <w:r w:rsidRPr="0031520D">
        <w:rPr>
          <w:rFonts w:asciiTheme="minorHAnsi" w:hAnsiTheme="minorHAnsi" w:cstheme="minorHAnsi"/>
          <w:color w:val="231F20"/>
          <w:spacing w:val="-3"/>
          <w:sz w:val="18"/>
          <w:szCs w:val="18"/>
        </w:rPr>
        <w:t xml:space="preserve"> </w:t>
      </w:r>
      <w:r w:rsidRPr="0031520D">
        <w:rPr>
          <w:rFonts w:asciiTheme="minorHAnsi" w:hAnsiTheme="minorHAnsi" w:cstheme="minorHAnsi"/>
          <w:color w:val="231F20"/>
          <w:sz w:val="18"/>
          <w:szCs w:val="18"/>
        </w:rPr>
        <w:t>see</w:t>
      </w:r>
      <w:r w:rsidRPr="0031520D">
        <w:rPr>
          <w:rFonts w:asciiTheme="minorHAnsi" w:hAnsiTheme="minorHAnsi" w:cstheme="minorHAnsi"/>
          <w:color w:val="231F20"/>
          <w:spacing w:val="-3"/>
          <w:sz w:val="18"/>
          <w:szCs w:val="18"/>
        </w:rPr>
        <w:t xml:space="preserve"> </w:t>
      </w:r>
      <w:hyperlink r:id="rId5" w:history="1">
        <w:r w:rsidR="00EF1FD5" w:rsidRPr="0031520D">
          <w:rPr>
            <w:rStyle w:val="Hyperlink"/>
            <w:rFonts w:asciiTheme="minorHAnsi" w:hAnsiTheme="minorHAnsi" w:cstheme="minorHAnsi"/>
            <w:sz w:val="18"/>
            <w:szCs w:val="18"/>
          </w:rPr>
          <w:t>Subject Benchmark Statements (qaa.ac.uk)</w:t>
        </w:r>
      </w:hyperlink>
      <w:r w:rsidR="00EF1FD5" w:rsidRPr="0031520D">
        <w:rPr>
          <w:rFonts w:asciiTheme="minorHAnsi" w:hAnsiTheme="minorHAnsi" w:cstheme="minorHAnsi"/>
          <w:sz w:val="18"/>
          <w:szCs w:val="18"/>
        </w:rPr>
        <w:t xml:space="preserve"> </w:t>
      </w:r>
    </w:p>
  </w:footnote>
  <w:footnote w:id="7">
    <w:p w14:paraId="357C57F0" w14:textId="77777777" w:rsidR="00D362C0" w:rsidRPr="00662B1A" w:rsidRDefault="00D362C0">
      <w:pPr>
        <w:pStyle w:val="FootnoteText"/>
        <w:rPr>
          <w:sz w:val="36"/>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In annual reports and as part of the University’s Periodic Review process.</w:t>
      </w:r>
    </w:p>
  </w:footnote>
  <w:footnote w:id="8">
    <w:p w14:paraId="7E46558B" w14:textId="77777777" w:rsidR="00D362C0" w:rsidRPr="0031520D" w:rsidRDefault="00D362C0" w:rsidP="00662B1A">
      <w:pPr>
        <w:pStyle w:val="NoSpacing"/>
        <w:rPr>
          <w:rFonts w:ascii="Calibri" w:hAnsi="Calibri" w:cs="Calibri"/>
          <w:color w:val="231F20"/>
          <w:sz w:val="18"/>
          <w:szCs w:val="18"/>
        </w:rPr>
      </w:pPr>
      <w:r w:rsidRPr="0031520D">
        <w:rPr>
          <w:rStyle w:val="FootnoteReference"/>
          <w:rFonts w:ascii="Calibri" w:hAnsi="Calibri" w:cs="Calibri"/>
          <w:sz w:val="18"/>
          <w:szCs w:val="18"/>
        </w:rPr>
        <w:footnoteRef/>
      </w:r>
      <w:r w:rsidRPr="0031520D">
        <w:rPr>
          <w:sz w:val="18"/>
          <w:szCs w:val="18"/>
        </w:rPr>
        <w:t xml:space="preserve"> </w:t>
      </w:r>
      <w:r w:rsidRPr="0031520D">
        <w:rPr>
          <w:rFonts w:ascii="Calibri" w:hAnsi="Calibri" w:cs="Calibri"/>
          <w:color w:val="231F20"/>
          <w:sz w:val="18"/>
          <w:szCs w:val="18"/>
        </w:rPr>
        <w:t xml:space="preserve">And </w:t>
      </w:r>
      <w:proofErr w:type="gramStart"/>
      <w:r w:rsidRPr="0031520D">
        <w:rPr>
          <w:rFonts w:ascii="Calibri" w:hAnsi="Calibri" w:cs="Calibri"/>
          <w:color w:val="231F20"/>
          <w:sz w:val="18"/>
          <w:szCs w:val="18"/>
        </w:rPr>
        <w:t>also</w:t>
      </w:r>
      <w:proofErr w:type="gramEnd"/>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at</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levels</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3</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and 4</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where</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prescribed</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by</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professional</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bodies</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or</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otherwise approved at</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validation,</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for</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 xml:space="preserve">example </w:t>
      </w:r>
      <w:r w:rsidRPr="0031520D">
        <w:rPr>
          <w:rFonts w:ascii="Calibri" w:hAnsi="Calibri" w:cs="Calibri"/>
          <w:color w:val="231F20"/>
          <w:spacing w:val="-1"/>
          <w:sz w:val="18"/>
          <w:szCs w:val="18"/>
        </w:rPr>
        <w:t>EHU’s</w:t>
      </w:r>
      <w:r w:rsidRPr="0031520D">
        <w:rPr>
          <w:rFonts w:ascii="Calibri" w:hAnsi="Calibri" w:cs="Calibri"/>
          <w:color w:val="231F20"/>
          <w:spacing w:val="22"/>
          <w:sz w:val="18"/>
          <w:szCs w:val="18"/>
        </w:rPr>
        <w:t xml:space="preserve"> </w:t>
      </w:r>
      <w:r w:rsidRPr="0031520D">
        <w:rPr>
          <w:rFonts w:ascii="Calibri" w:hAnsi="Calibri" w:cs="Calibri"/>
          <w:color w:val="231F20"/>
          <w:sz w:val="18"/>
          <w:szCs w:val="18"/>
        </w:rPr>
        <w:t>level</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3 Fastrack:</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Preparation for</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HE</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programme,</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and</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Foundation</w:t>
      </w:r>
      <w:r w:rsidRPr="0031520D">
        <w:rPr>
          <w:rFonts w:ascii="Calibri" w:hAnsi="Calibri" w:cs="Calibri"/>
          <w:color w:val="231F20"/>
          <w:spacing w:val="-1"/>
          <w:sz w:val="18"/>
          <w:szCs w:val="18"/>
        </w:rPr>
        <w:t xml:space="preserve"> </w:t>
      </w:r>
      <w:r w:rsidRPr="0031520D">
        <w:rPr>
          <w:rFonts w:ascii="Calibri" w:hAnsi="Calibri" w:cs="Calibri"/>
          <w:color w:val="231F20"/>
          <w:sz w:val="18"/>
          <w:szCs w:val="18"/>
        </w:rPr>
        <w:t>degrees</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where level</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4 contributes</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to classification of</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the learner’s</w:t>
      </w:r>
      <w:r w:rsidRPr="0031520D">
        <w:rPr>
          <w:rFonts w:ascii="Calibri" w:hAnsi="Calibri" w:cs="Calibri"/>
          <w:color w:val="231F20"/>
          <w:spacing w:val="-2"/>
          <w:sz w:val="18"/>
          <w:szCs w:val="18"/>
        </w:rPr>
        <w:t xml:space="preserve"> </w:t>
      </w:r>
      <w:r w:rsidRPr="0031520D">
        <w:rPr>
          <w:rFonts w:ascii="Calibri" w:hAnsi="Calibri" w:cs="Calibri"/>
          <w:color w:val="231F20"/>
          <w:sz w:val="18"/>
          <w:szCs w:val="18"/>
        </w:rPr>
        <w:t>award.</w:t>
      </w:r>
    </w:p>
  </w:footnote>
  <w:footnote w:id="9">
    <w:p w14:paraId="6B4CC103" w14:textId="59747624" w:rsidR="00D362C0" w:rsidRPr="0031520D" w:rsidRDefault="00D362C0">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For moderation sample size please see </w:t>
      </w:r>
      <w:r w:rsidR="00A1116E" w:rsidRPr="0031520D">
        <w:rPr>
          <w:rFonts w:asciiTheme="minorHAnsi" w:hAnsiTheme="minorHAnsi" w:cstheme="minorHAnsi"/>
          <w:i/>
          <w:sz w:val="18"/>
          <w:szCs w:val="18"/>
        </w:rPr>
        <w:t>‘</w:t>
      </w:r>
      <w:r w:rsidR="00A1116E" w:rsidRPr="0031520D">
        <w:rPr>
          <w:rFonts w:asciiTheme="minorHAnsi" w:hAnsiTheme="minorHAnsi" w:cstheme="minorHAnsi"/>
          <w:iCs/>
          <w:sz w:val="18"/>
          <w:szCs w:val="18"/>
        </w:rPr>
        <w:t xml:space="preserve">Marking and Moderating Assessed Work’ </w:t>
      </w:r>
      <w:hyperlink r:id="rId6" w:history="1">
        <w:r w:rsidR="00A1116E" w:rsidRPr="0031520D">
          <w:rPr>
            <w:rStyle w:val="Hyperlink"/>
            <w:rFonts w:asciiTheme="minorHAnsi" w:hAnsiTheme="minorHAnsi" w:cstheme="minorHAnsi"/>
            <w:sz w:val="18"/>
            <w:szCs w:val="18"/>
          </w:rPr>
          <w:t>Assessment and Feedback Policy</w:t>
        </w:r>
      </w:hyperlink>
      <w:r w:rsidR="00A1116E" w:rsidRPr="0031520D">
        <w:rPr>
          <w:rFonts w:asciiTheme="minorHAnsi" w:hAnsiTheme="minorHAnsi" w:cstheme="minorHAnsi"/>
          <w:sz w:val="18"/>
          <w:szCs w:val="18"/>
        </w:rPr>
        <w:t>, 2023-26)</w:t>
      </w:r>
    </w:p>
  </w:footnote>
  <w:footnote w:id="10">
    <w:p w14:paraId="7A957251" w14:textId="77777777" w:rsidR="00D362C0" w:rsidRPr="0031520D" w:rsidRDefault="00D362C0">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Accompanied by the full module mark sheet and copies of assignment briefs/examination papers including module learning outcomes and assessment criteria.</w:t>
      </w:r>
    </w:p>
  </w:footnote>
  <w:footnote w:id="11">
    <w:p w14:paraId="524F92B9" w14:textId="77777777" w:rsidR="00D362C0" w:rsidRDefault="00D362C0">
      <w:pPr>
        <w:pStyle w:val="FootnoteText"/>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All coursework and examination scripts must be available to the examiner on request.</w:t>
      </w:r>
    </w:p>
  </w:footnote>
  <w:footnote w:id="12">
    <w:p w14:paraId="51BCA271" w14:textId="77777777" w:rsidR="00D362C0" w:rsidRPr="0031520D" w:rsidRDefault="00D362C0">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This would include retirement and redundancy.</w:t>
      </w:r>
    </w:p>
  </w:footnote>
  <w:footnote w:id="13">
    <w:p w14:paraId="4CB09DB8" w14:textId="77777777" w:rsidR="00D362C0" w:rsidRPr="0031520D" w:rsidRDefault="00D362C0">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Relevant employment in this case would constitute appointment to another academic position in the same or related discipline area.</w:t>
      </w:r>
    </w:p>
  </w:footnote>
  <w:footnote w:id="14">
    <w:p w14:paraId="2E9F7F6D" w14:textId="6D4C606D" w:rsidR="00D362C0" w:rsidRPr="0031520D" w:rsidRDefault="00D362C0" w:rsidP="003E780F">
      <w:pPr>
        <w:pStyle w:val="BodyText"/>
        <w:overflowPunct w:val="0"/>
        <w:ind w:left="0"/>
        <w:rPr>
          <w:rFonts w:asciiTheme="minorHAnsi" w:hAnsiTheme="minorHAnsi" w:cstheme="minorHAnsi"/>
          <w:color w:val="231F20"/>
          <w:spacing w:val="-1"/>
        </w:rPr>
      </w:pPr>
      <w:r w:rsidRPr="0031520D">
        <w:rPr>
          <w:rStyle w:val="FootnoteReference"/>
          <w:rFonts w:asciiTheme="minorHAnsi" w:hAnsiTheme="minorHAnsi" w:cstheme="minorHAnsi"/>
        </w:rPr>
        <w:footnoteRef/>
      </w:r>
      <w:r w:rsidRPr="0031520D">
        <w:rPr>
          <w:rFonts w:asciiTheme="minorHAnsi" w:hAnsiTheme="minorHAnsi" w:cstheme="minorHAnsi"/>
        </w:rPr>
        <w:t xml:space="preserve"> </w:t>
      </w:r>
      <w:r w:rsidRPr="0031520D">
        <w:rPr>
          <w:rFonts w:asciiTheme="minorHAnsi" w:hAnsiTheme="minorHAnsi" w:cstheme="minorHAnsi"/>
          <w:color w:val="231F20"/>
          <w:spacing w:val="-1"/>
        </w:rPr>
        <w:t>https://</w:t>
      </w:r>
      <w:hyperlink r:id="rId7" w:history="1">
        <w:r w:rsidR="009B7612" w:rsidRPr="0031520D">
          <w:rPr>
            <w:rStyle w:val="Hyperlink"/>
            <w:rFonts w:asciiTheme="minorHAnsi" w:hAnsiTheme="minorHAnsi" w:cstheme="minorHAnsi"/>
            <w:spacing w:val="-1"/>
          </w:rPr>
          <w:t xml:space="preserve">www.edgehill.ac.uk/documents/data-protection-policy/ </w:t>
        </w:r>
      </w:hyperlink>
    </w:p>
  </w:footnote>
  <w:footnote w:id="15">
    <w:p w14:paraId="37E83B6F" w14:textId="3A0F0CE4" w:rsidR="00D362C0" w:rsidRPr="0031520D" w:rsidRDefault="00D362C0" w:rsidP="003E780F">
      <w:pPr>
        <w:pStyle w:val="BodyText"/>
        <w:overflowPunct w:val="0"/>
        <w:ind w:left="0"/>
        <w:rPr>
          <w:rFonts w:asciiTheme="minorHAnsi" w:hAnsiTheme="minorHAnsi" w:cstheme="minorHAnsi"/>
        </w:rPr>
      </w:pPr>
      <w:r w:rsidRPr="0031520D">
        <w:rPr>
          <w:rStyle w:val="FootnoteReference"/>
          <w:rFonts w:asciiTheme="minorHAnsi" w:hAnsiTheme="minorHAnsi" w:cstheme="minorHAnsi"/>
        </w:rPr>
        <w:footnoteRef/>
      </w:r>
      <w:r w:rsidRPr="0031520D">
        <w:rPr>
          <w:rFonts w:asciiTheme="minorHAnsi" w:hAnsiTheme="minorHAnsi" w:cstheme="minorHAnsi"/>
        </w:rPr>
        <w:t xml:space="preserve"> </w:t>
      </w:r>
      <w:r w:rsidRPr="0031520D">
        <w:rPr>
          <w:rFonts w:asciiTheme="minorHAnsi" w:hAnsiTheme="minorHAnsi" w:cstheme="minorHAnsi"/>
          <w:color w:val="231F20"/>
          <w:spacing w:val="-1"/>
        </w:rPr>
        <w:t>https://</w:t>
      </w:r>
      <w:hyperlink r:id="rId8" w:history="1">
        <w:r w:rsidR="009B7612" w:rsidRPr="0031520D">
          <w:rPr>
            <w:rStyle w:val="Hyperlink"/>
            <w:rFonts w:asciiTheme="minorHAnsi" w:hAnsiTheme="minorHAnsi" w:cstheme="minorHAnsi"/>
            <w:spacing w:val="-1"/>
          </w:rPr>
          <w:t>www.edgehill.ac.uk/documents/information-security-policy/</w:t>
        </w:r>
      </w:hyperlink>
    </w:p>
  </w:footnote>
  <w:footnote w:id="16">
    <w:p w14:paraId="633CEC10" w14:textId="77777777" w:rsidR="00D362C0" w:rsidRPr="0031520D" w:rsidRDefault="00D362C0" w:rsidP="003E780F">
      <w:pPr>
        <w:pStyle w:val="NoSpacing"/>
        <w:rPr>
          <w:rFonts w:asciiTheme="minorHAnsi" w:hAnsiTheme="minorHAnsi" w:cstheme="minorHAnsi"/>
          <w:color w:val="231F20"/>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r w:rsidRPr="0031520D">
        <w:rPr>
          <w:rFonts w:asciiTheme="minorHAnsi" w:hAnsiTheme="minorHAnsi" w:cstheme="minorHAnsi"/>
          <w:color w:val="231F20"/>
          <w:sz w:val="18"/>
          <w:szCs w:val="18"/>
        </w:rPr>
        <w:t>Students</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who</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wish</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to raise an academic</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issue</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or</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concern</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are directed to</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the</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relevant</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University</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systems</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and</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procedures, e.g.</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personal</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tutors,</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programme boards</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and</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the</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processes</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for</w:t>
      </w:r>
      <w:r w:rsidRPr="0031520D">
        <w:rPr>
          <w:rFonts w:asciiTheme="minorHAnsi" w:hAnsiTheme="minorHAnsi" w:cstheme="minorHAnsi"/>
          <w:color w:val="231F20"/>
          <w:spacing w:val="-2"/>
          <w:sz w:val="18"/>
          <w:szCs w:val="18"/>
        </w:rPr>
        <w:t xml:space="preserve"> </w:t>
      </w:r>
      <w:r w:rsidRPr="0031520D">
        <w:rPr>
          <w:rFonts w:asciiTheme="minorHAnsi" w:hAnsiTheme="minorHAnsi" w:cstheme="minorHAnsi"/>
          <w:color w:val="231F20"/>
          <w:sz w:val="18"/>
          <w:szCs w:val="18"/>
        </w:rPr>
        <w:t>complaints</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and</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academic</w:t>
      </w:r>
      <w:r w:rsidRPr="0031520D">
        <w:rPr>
          <w:rFonts w:asciiTheme="minorHAnsi" w:hAnsiTheme="minorHAnsi" w:cstheme="minorHAnsi"/>
          <w:color w:val="231F20"/>
          <w:spacing w:val="-1"/>
          <w:sz w:val="18"/>
          <w:szCs w:val="18"/>
        </w:rPr>
        <w:t xml:space="preserve"> </w:t>
      </w:r>
      <w:r w:rsidRPr="0031520D">
        <w:rPr>
          <w:rFonts w:asciiTheme="minorHAnsi" w:hAnsiTheme="minorHAnsi" w:cstheme="minorHAnsi"/>
          <w:color w:val="231F20"/>
          <w:sz w:val="18"/>
          <w:szCs w:val="18"/>
        </w:rPr>
        <w:t>appeals.</w:t>
      </w:r>
    </w:p>
  </w:footnote>
  <w:footnote w:id="17">
    <w:p w14:paraId="2BEA298A" w14:textId="3D7E1982" w:rsidR="00D362C0" w:rsidRPr="003E780F" w:rsidRDefault="00D362C0" w:rsidP="003E780F">
      <w:pPr>
        <w:pStyle w:val="NoSpacing"/>
        <w:rPr>
          <w:rFonts w:ascii="Calibri" w:hAnsi="Calibri" w:cs="Calibri"/>
          <w:sz w:val="20"/>
          <w:szCs w:val="20"/>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hyperlink r:id="rId9" w:history="1">
        <w:r w:rsidR="009B7612" w:rsidRPr="0031520D">
          <w:rPr>
            <w:rStyle w:val="Hyperlink"/>
            <w:rFonts w:asciiTheme="minorHAnsi" w:hAnsiTheme="minorHAnsi" w:cstheme="minorHAnsi"/>
            <w:sz w:val="18"/>
            <w:szCs w:val="18"/>
          </w:rPr>
          <w:t>https://www.edgehill.ac.uk/departments/support/gqasc/agqa/external-examiners/</w:t>
        </w:r>
      </w:hyperlink>
      <w:r w:rsidR="009B7612" w:rsidRPr="009B7612">
        <w:rPr>
          <w:rFonts w:asciiTheme="minorHAnsi" w:hAnsiTheme="minorHAnsi" w:cstheme="minorHAnsi"/>
          <w:sz w:val="20"/>
          <w:szCs w:val="18"/>
        </w:rPr>
        <w:t xml:space="preserve"> </w:t>
      </w:r>
    </w:p>
  </w:footnote>
  <w:footnote w:id="18">
    <w:p w14:paraId="514865DA" w14:textId="1DBCFBFD" w:rsidR="00D362C0" w:rsidRPr="0031520D" w:rsidRDefault="00D362C0" w:rsidP="003E780F">
      <w:pPr>
        <w:pStyle w:val="NoSpacing"/>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r w:rsidR="00A81E70" w:rsidRPr="0031520D">
        <w:rPr>
          <w:rFonts w:asciiTheme="minorHAnsi" w:hAnsiTheme="minorHAnsi" w:cstheme="minorHAnsi"/>
          <w:sz w:val="18"/>
          <w:szCs w:val="18"/>
        </w:rPr>
        <w:t xml:space="preserve">Report system can be accessed via </w:t>
      </w:r>
      <w:hyperlink r:id="rId10" w:history="1">
        <w:r w:rsidR="00A81E70" w:rsidRPr="0031520D">
          <w:rPr>
            <w:rStyle w:val="Hyperlink"/>
            <w:rFonts w:asciiTheme="minorHAnsi" w:hAnsiTheme="minorHAnsi" w:cstheme="minorHAnsi"/>
            <w:sz w:val="18"/>
            <w:szCs w:val="18"/>
          </w:rPr>
          <w:t>https://www.edgehill.ac.uk/departments/support/gqasc/agqa/external-examiners/</w:t>
        </w:r>
      </w:hyperlink>
      <w:r w:rsidR="00A81E70" w:rsidRPr="0031520D">
        <w:rPr>
          <w:rFonts w:asciiTheme="minorHAnsi" w:hAnsiTheme="minorHAnsi" w:cstheme="minorHAnsi"/>
          <w:sz w:val="18"/>
          <w:szCs w:val="18"/>
        </w:rPr>
        <w:t xml:space="preserve"> </w:t>
      </w:r>
    </w:p>
  </w:footnote>
  <w:footnote w:id="19">
    <w:p w14:paraId="61784A6A" w14:textId="068D975A" w:rsidR="00D362C0" w:rsidRPr="0031520D" w:rsidRDefault="00D362C0">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hyperlink r:id="rId11" w:history="1">
        <w:r w:rsidRPr="0031520D">
          <w:rPr>
            <w:rStyle w:val="Hyperlink"/>
            <w:rFonts w:asciiTheme="minorHAnsi" w:hAnsiTheme="minorHAnsi" w:cstheme="minorHAnsi"/>
            <w:sz w:val="18"/>
            <w:szCs w:val="18"/>
          </w:rPr>
          <w:t>https://www.qaa.ac.uk/docs/qaa/guidance/qaa-concerns-scheme.pdf</w:t>
        </w:r>
      </w:hyperlink>
    </w:p>
  </w:footnote>
  <w:footnote w:id="20">
    <w:p w14:paraId="01A9983F" w14:textId="7BCC4E3B" w:rsidR="000133DF" w:rsidRDefault="000133DF">
      <w:pPr>
        <w:pStyle w:val="FootnoteText"/>
      </w:pPr>
      <w:r>
        <w:rPr>
          <w:rStyle w:val="FootnoteReference"/>
        </w:rPr>
        <w:footnoteRef/>
      </w:r>
      <w:r>
        <w:t xml:space="preserve"> </w:t>
      </w:r>
      <w:hyperlink r:id="rId12" w:history="1">
        <w:r w:rsidRPr="000133DF">
          <w:rPr>
            <w:rStyle w:val="Hyperlink"/>
            <w:rFonts w:asciiTheme="minorHAnsi" w:hAnsiTheme="minorHAnsi" w:cstheme="minorHAnsi"/>
            <w:sz w:val="18"/>
            <w:szCs w:val="18"/>
          </w:rPr>
          <w:t>Office for Students notifications - Office for Students</w:t>
        </w:r>
      </w:hyperlink>
    </w:p>
  </w:footnote>
  <w:footnote w:id="21">
    <w:p w14:paraId="0B720505" w14:textId="29A323B4" w:rsidR="00B3401D" w:rsidRPr="0031520D" w:rsidRDefault="00B3401D" w:rsidP="00B3401D">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For moderation sample size, please see </w:t>
      </w:r>
      <w:r w:rsidR="006B1889" w:rsidRPr="0031520D">
        <w:rPr>
          <w:rFonts w:asciiTheme="minorHAnsi" w:hAnsiTheme="minorHAnsi" w:cstheme="minorHAnsi"/>
          <w:i/>
          <w:sz w:val="18"/>
          <w:szCs w:val="18"/>
        </w:rPr>
        <w:t>‘</w:t>
      </w:r>
      <w:r w:rsidR="006B1889" w:rsidRPr="0031520D">
        <w:rPr>
          <w:rFonts w:asciiTheme="minorHAnsi" w:hAnsiTheme="minorHAnsi" w:cstheme="minorHAnsi"/>
          <w:iCs/>
          <w:sz w:val="18"/>
          <w:szCs w:val="18"/>
        </w:rPr>
        <w:t xml:space="preserve">Marking and Moderating Assessed Work’ </w:t>
      </w:r>
      <w:hyperlink r:id="rId13" w:history="1">
        <w:r w:rsidR="006B1889" w:rsidRPr="0031520D">
          <w:rPr>
            <w:rStyle w:val="Hyperlink"/>
            <w:rFonts w:asciiTheme="minorHAnsi" w:hAnsiTheme="minorHAnsi" w:cstheme="minorHAnsi"/>
            <w:sz w:val="18"/>
            <w:szCs w:val="18"/>
          </w:rPr>
          <w:t>Assessment and Feedback Policy</w:t>
        </w:r>
      </w:hyperlink>
      <w:r w:rsidR="006B1889" w:rsidRPr="0031520D">
        <w:rPr>
          <w:rFonts w:asciiTheme="minorHAnsi" w:hAnsiTheme="minorHAnsi" w:cstheme="minorHAnsi"/>
          <w:sz w:val="18"/>
          <w:szCs w:val="18"/>
        </w:rPr>
        <w:t>, 2023-26).</w:t>
      </w:r>
    </w:p>
  </w:footnote>
  <w:footnote w:id="22">
    <w:p w14:paraId="30375574" w14:textId="77777777" w:rsidR="00B3401D" w:rsidRPr="0031520D" w:rsidRDefault="00B3401D" w:rsidP="00B3401D">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Including via the Learning Edge Virtual Learning Environment.</w:t>
      </w:r>
    </w:p>
  </w:footnote>
  <w:footnote w:id="23">
    <w:p w14:paraId="55D6054D" w14:textId="77777777" w:rsidR="00B3401D" w:rsidRDefault="00B3401D" w:rsidP="00B3401D">
      <w:pPr>
        <w:pStyle w:val="FootnoteText"/>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Accompanied by the full module marksheet and copies of assignment briefs/ examination papers, including module learning outcomes and assessment criteria. While </w:t>
      </w:r>
      <w:proofErr w:type="gramStart"/>
      <w:r w:rsidRPr="0031520D">
        <w:rPr>
          <w:rFonts w:asciiTheme="minorHAnsi" w:hAnsiTheme="minorHAnsi" w:cstheme="minorHAnsi"/>
          <w:sz w:val="18"/>
          <w:szCs w:val="18"/>
        </w:rPr>
        <w:t>internally-moderated</w:t>
      </w:r>
      <w:proofErr w:type="gramEnd"/>
      <w:r w:rsidRPr="0031520D">
        <w:rPr>
          <w:rFonts w:asciiTheme="minorHAnsi" w:hAnsiTheme="minorHAnsi" w:cstheme="minorHAnsi"/>
          <w:sz w:val="18"/>
          <w:szCs w:val="18"/>
        </w:rPr>
        <w:t xml:space="preserve"> work is provided to external examiners as a standard sample, other assessed student work may be viewed by them on request.</w:t>
      </w:r>
    </w:p>
  </w:footnote>
  <w:footnote w:id="24">
    <w:p w14:paraId="08481132" w14:textId="22B9D8EA" w:rsidR="00B42F67" w:rsidRPr="0031520D" w:rsidRDefault="00B42F67">
      <w:pPr>
        <w:pStyle w:val="FootnoteText"/>
        <w:rPr>
          <w:rFonts w:asciiTheme="minorHAnsi" w:hAnsiTheme="minorHAnsi" w:cstheme="minorHAnsi"/>
          <w:sz w:val="18"/>
          <w:szCs w:val="18"/>
        </w:rPr>
      </w:pPr>
      <w:r w:rsidRPr="0031520D">
        <w:rPr>
          <w:rStyle w:val="FootnoteReference"/>
          <w:rFonts w:asciiTheme="minorHAnsi" w:hAnsiTheme="minorHAnsi" w:cstheme="minorHAnsi"/>
          <w:sz w:val="18"/>
          <w:szCs w:val="18"/>
        </w:rPr>
        <w:footnoteRef/>
      </w:r>
      <w:r w:rsidRPr="0031520D">
        <w:rPr>
          <w:rFonts w:asciiTheme="minorHAnsi" w:hAnsiTheme="minorHAnsi" w:cstheme="minorHAnsi"/>
          <w:sz w:val="18"/>
          <w:szCs w:val="18"/>
        </w:rPr>
        <w:t xml:space="preserve"> </w:t>
      </w:r>
      <w:hyperlink r:id="rId14" w:history="1">
        <w:r w:rsidRPr="0031520D">
          <w:rPr>
            <w:rStyle w:val="Hyperlink"/>
            <w:rFonts w:asciiTheme="minorHAnsi" w:hAnsiTheme="minorHAnsi" w:cstheme="minorHAnsi"/>
            <w:sz w:val="18"/>
            <w:szCs w:val="18"/>
          </w:rPr>
          <w:t>External examiners - Edge Hill University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0D5C" w14:textId="77777777" w:rsidR="00D362C0" w:rsidRDefault="00D36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FE0"/>
    <w:multiLevelType w:val="hybridMultilevel"/>
    <w:tmpl w:val="B6EC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0F18"/>
    <w:multiLevelType w:val="hybridMultilevel"/>
    <w:tmpl w:val="6F2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33C3B"/>
    <w:multiLevelType w:val="hybridMultilevel"/>
    <w:tmpl w:val="CB02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0EF7"/>
    <w:multiLevelType w:val="multilevel"/>
    <w:tmpl w:val="A9301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E42756"/>
    <w:multiLevelType w:val="hybridMultilevel"/>
    <w:tmpl w:val="B216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6E05"/>
    <w:multiLevelType w:val="hybridMultilevel"/>
    <w:tmpl w:val="0D12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4064E"/>
    <w:multiLevelType w:val="hybridMultilevel"/>
    <w:tmpl w:val="D5941A94"/>
    <w:lvl w:ilvl="0" w:tplc="6FA0F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B3985"/>
    <w:multiLevelType w:val="hybridMultilevel"/>
    <w:tmpl w:val="EBC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A7252"/>
    <w:multiLevelType w:val="hybridMultilevel"/>
    <w:tmpl w:val="44BE8496"/>
    <w:lvl w:ilvl="0" w:tplc="66FEA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16696"/>
    <w:multiLevelType w:val="hybridMultilevel"/>
    <w:tmpl w:val="C700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D6BAD"/>
    <w:multiLevelType w:val="hybridMultilevel"/>
    <w:tmpl w:val="539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15765"/>
    <w:multiLevelType w:val="hybridMultilevel"/>
    <w:tmpl w:val="3DD81554"/>
    <w:lvl w:ilvl="0" w:tplc="838065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663FC"/>
    <w:multiLevelType w:val="hybridMultilevel"/>
    <w:tmpl w:val="256C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60B40"/>
    <w:multiLevelType w:val="hybridMultilevel"/>
    <w:tmpl w:val="6A86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D46F0"/>
    <w:multiLevelType w:val="hybridMultilevel"/>
    <w:tmpl w:val="BDF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64D7C"/>
    <w:multiLevelType w:val="hybridMultilevel"/>
    <w:tmpl w:val="E1F054C4"/>
    <w:lvl w:ilvl="0" w:tplc="35CA161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0498C"/>
    <w:multiLevelType w:val="multilevel"/>
    <w:tmpl w:val="99AE2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62102E4"/>
    <w:multiLevelType w:val="multilevel"/>
    <w:tmpl w:val="04569948"/>
    <w:lvl w:ilvl="0">
      <w:start w:val="1"/>
      <w:numFmt w:val="decimal"/>
      <w:lvlText w:val="%1."/>
      <w:lvlJc w:val="left"/>
      <w:pPr>
        <w:ind w:left="360" w:hanging="360"/>
      </w:pPr>
      <w:rPr>
        <w:color w:val="7030A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26AC5258"/>
    <w:multiLevelType w:val="hybridMultilevel"/>
    <w:tmpl w:val="55F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55E40"/>
    <w:multiLevelType w:val="multilevel"/>
    <w:tmpl w:val="19AC53AA"/>
    <w:lvl w:ilvl="0">
      <w:numFmt w:val="bullet"/>
      <w:lvlText w:val=""/>
      <w:lvlJc w:val="left"/>
      <w:pPr>
        <w:ind w:left="643" w:hanging="360"/>
      </w:pPr>
      <w:rPr>
        <w:rFonts w:ascii="Symbol" w:hAnsi="Symbol"/>
      </w:rPr>
    </w:lvl>
    <w:lvl w:ilvl="1">
      <w:numFmt w:val="bullet"/>
      <w:lvlText w:val="o"/>
      <w:lvlJc w:val="left"/>
      <w:pPr>
        <w:ind w:left="589" w:hanging="360"/>
      </w:pPr>
      <w:rPr>
        <w:rFonts w:ascii="Courier New" w:hAnsi="Courier New" w:cs="Courier New"/>
      </w:rPr>
    </w:lvl>
    <w:lvl w:ilvl="2">
      <w:numFmt w:val="bullet"/>
      <w:lvlText w:val=""/>
      <w:lvlJc w:val="left"/>
      <w:pPr>
        <w:ind w:left="1309" w:hanging="360"/>
      </w:pPr>
      <w:rPr>
        <w:rFonts w:ascii="Wingdings" w:hAnsi="Wingdings"/>
      </w:rPr>
    </w:lvl>
    <w:lvl w:ilvl="3">
      <w:numFmt w:val="bullet"/>
      <w:lvlText w:val=""/>
      <w:lvlJc w:val="left"/>
      <w:pPr>
        <w:ind w:left="2029" w:hanging="360"/>
      </w:pPr>
      <w:rPr>
        <w:rFonts w:ascii="Symbol" w:hAnsi="Symbol"/>
      </w:rPr>
    </w:lvl>
    <w:lvl w:ilvl="4">
      <w:numFmt w:val="bullet"/>
      <w:lvlText w:val="o"/>
      <w:lvlJc w:val="left"/>
      <w:pPr>
        <w:ind w:left="2749" w:hanging="360"/>
      </w:pPr>
      <w:rPr>
        <w:rFonts w:ascii="Courier New" w:hAnsi="Courier New" w:cs="Courier New"/>
      </w:rPr>
    </w:lvl>
    <w:lvl w:ilvl="5">
      <w:numFmt w:val="bullet"/>
      <w:lvlText w:val=""/>
      <w:lvlJc w:val="left"/>
      <w:pPr>
        <w:ind w:left="3469" w:hanging="360"/>
      </w:pPr>
      <w:rPr>
        <w:rFonts w:ascii="Wingdings" w:hAnsi="Wingdings"/>
      </w:rPr>
    </w:lvl>
    <w:lvl w:ilvl="6">
      <w:numFmt w:val="bullet"/>
      <w:lvlText w:val=""/>
      <w:lvlJc w:val="left"/>
      <w:pPr>
        <w:ind w:left="4189" w:hanging="360"/>
      </w:pPr>
      <w:rPr>
        <w:rFonts w:ascii="Symbol" w:hAnsi="Symbol"/>
      </w:rPr>
    </w:lvl>
    <w:lvl w:ilvl="7">
      <w:numFmt w:val="bullet"/>
      <w:lvlText w:val="o"/>
      <w:lvlJc w:val="left"/>
      <w:pPr>
        <w:ind w:left="4909" w:hanging="360"/>
      </w:pPr>
      <w:rPr>
        <w:rFonts w:ascii="Courier New" w:hAnsi="Courier New" w:cs="Courier New"/>
      </w:rPr>
    </w:lvl>
    <w:lvl w:ilvl="8">
      <w:numFmt w:val="bullet"/>
      <w:lvlText w:val=""/>
      <w:lvlJc w:val="left"/>
      <w:pPr>
        <w:ind w:left="5629" w:hanging="360"/>
      </w:pPr>
      <w:rPr>
        <w:rFonts w:ascii="Wingdings" w:hAnsi="Wingdings"/>
      </w:rPr>
    </w:lvl>
  </w:abstractNum>
  <w:abstractNum w:abstractNumId="20" w15:restartNumberingAfterBreak="0">
    <w:nsid w:val="2B0E7F96"/>
    <w:multiLevelType w:val="multilevel"/>
    <w:tmpl w:val="06AC6F68"/>
    <w:lvl w:ilvl="0">
      <w:numFmt w:val="bullet"/>
      <w:lvlText w:val="-"/>
      <w:lvlJc w:val="left"/>
      <w:pPr>
        <w:ind w:left="1494" w:hanging="360"/>
      </w:pPr>
      <w:rPr>
        <w:rFonts w:ascii="Georgia" w:eastAsia="Calibri" w:hAnsi="Georgia" w:cs="Times New Roman"/>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21" w15:restartNumberingAfterBreak="0">
    <w:nsid w:val="2E691D91"/>
    <w:multiLevelType w:val="multilevel"/>
    <w:tmpl w:val="D542F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1AF4323"/>
    <w:multiLevelType w:val="hybridMultilevel"/>
    <w:tmpl w:val="7CC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A76A6"/>
    <w:multiLevelType w:val="hybridMultilevel"/>
    <w:tmpl w:val="D11C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25C7C"/>
    <w:multiLevelType w:val="hybridMultilevel"/>
    <w:tmpl w:val="28E0925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480FB6"/>
    <w:multiLevelType w:val="multilevel"/>
    <w:tmpl w:val="C8F03102"/>
    <w:lvl w:ilvl="0">
      <w:start w:val="1"/>
      <w:numFmt w:val="lowerRoman"/>
      <w:lvlText w:val="%1."/>
      <w:lvlJc w:val="right"/>
      <w:pPr>
        <w:ind w:left="113" w:hanging="113"/>
      </w:pPr>
      <w:rPr>
        <w:color w:val="auto"/>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427A767B"/>
    <w:multiLevelType w:val="hybridMultilevel"/>
    <w:tmpl w:val="47C8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16E99"/>
    <w:multiLevelType w:val="hybridMultilevel"/>
    <w:tmpl w:val="825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05A51"/>
    <w:multiLevelType w:val="hybridMultilevel"/>
    <w:tmpl w:val="3DECD2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1751EA"/>
    <w:multiLevelType w:val="hybridMultilevel"/>
    <w:tmpl w:val="67AEE1E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346236"/>
    <w:multiLevelType w:val="hybridMultilevel"/>
    <w:tmpl w:val="1FE6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FB41B1"/>
    <w:multiLevelType w:val="hybridMultilevel"/>
    <w:tmpl w:val="E600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A65FFF"/>
    <w:multiLevelType w:val="hybridMultilevel"/>
    <w:tmpl w:val="058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65B93"/>
    <w:multiLevelType w:val="hybridMultilevel"/>
    <w:tmpl w:val="99FE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5339D"/>
    <w:multiLevelType w:val="hybridMultilevel"/>
    <w:tmpl w:val="88F4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710581"/>
    <w:multiLevelType w:val="hybridMultilevel"/>
    <w:tmpl w:val="D0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E495C"/>
    <w:multiLevelType w:val="hybridMultilevel"/>
    <w:tmpl w:val="A630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BB1164"/>
    <w:multiLevelType w:val="hybridMultilevel"/>
    <w:tmpl w:val="C79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157722"/>
    <w:multiLevelType w:val="hybridMultilevel"/>
    <w:tmpl w:val="70EE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A90B4F"/>
    <w:multiLevelType w:val="hybridMultilevel"/>
    <w:tmpl w:val="FFFAA3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244EA7"/>
    <w:multiLevelType w:val="hybridMultilevel"/>
    <w:tmpl w:val="65DC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463121"/>
    <w:multiLevelType w:val="hybridMultilevel"/>
    <w:tmpl w:val="E080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032B0"/>
    <w:multiLevelType w:val="hybridMultilevel"/>
    <w:tmpl w:val="EEB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12404"/>
    <w:multiLevelType w:val="hybridMultilevel"/>
    <w:tmpl w:val="C430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057600"/>
    <w:multiLevelType w:val="multilevel"/>
    <w:tmpl w:val="71A2C5C2"/>
    <w:lvl w:ilvl="0">
      <w:start w:val="1"/>
      <w:numFmt w:val="decimal"/>
      <w:lvlText w:val="%1."/>
      <w:lvlJc w:val="left"/>
      <w:pPr>
        <w:ind w:left="360" w:hanging="360"/>
      </w:pPr>
      <w:rPr>
        <w:color w:val="7030A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8C75CAC"/>
    <w:multiLevelType w:val="multilevel"/>
    <w:tmpl w:val="1C16FBEE"/>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7AF26EA7"/>
    <w:multiLevelType w:val="multilevel"/>
    <w:tmpl w:val="9DDA2A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475680"/>
    <w:multiLevelType w:val="multilevel"/>
    <w:tmpl w:val="7DA6E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22624282">
    <w:abstractNumId w:val="19"/>
  </w:num>
  <w:num w:numId="2" w16cid:durableId="1165196998">
    <w:abstractNumId w:val="47"/>
  </w:num>
  <w:num w:numId="3" w16cid:durableId="64913160">
    <w:abstractNumId w:val="20"/>
  </w:num>
  <w:num w:numId="4" w16cid:durableId="298994998">
    <w:abstractNumId w:val="21"/>
  </w:num>
  <w:num w:numId="5" w16cid:durableId="301618776">
    <w:abstractNumId w:val="3"/>
  </w:num>
  <w:num w:numId="6" w16cid:durableId="143083000">
    <w:abstractNumId w:val="16"/>
  </w:num>
  <w:num w:numId="7" w16cid:durableId="470095441">
    <w:abstractNumId w:val="46"/>
  </w:num>
  <w:num w:numId="8" w16cid:durableId="842286348">
    <w:abstractNumId w:val="44"/>
  </w:num>
  <w:num w:numId="9" w16cid:durableId="627660321">
    <w:abstractNumId w:val="17"/>
  </w:num>
  <w:num w:numId="10" w16cid:durableId="575550893">
    <w:abstractNumId w:val="45"/>
  </w:num>
  <w:num w:numId="11" w16cid:durableId="1412855097">
    <w:abstractNumId w:val="25"/>
  </w:num>
  <w:num w:numId="12" w16cid:durableId="1793937045">
    <w:abstractNumId w:val="0"/>
  </w:num>
  <w:num w:numId="13" w16cid:durableId="1614440673">
    <w:abstractNumId w:val="5"/>
  </w:num>
  <w:num w:numId="14" w16cid:durableId="1237208293">
    <w:abstractNumId w:val="34"/>
  </w:num>
  <w:num w:numId="15" w16cid:durableId="1361779422">
    <w:abstractNumId w:val="13"/>
  </w:num>
  <w:num w:numId="16" w16cid:durableId="2047562283">
    <w:abstractNumId w:val="38"/>
  </w:num>
  <w:num w:numId="17" w16cid:durableId="393940963">
    <w:abstractNumId w:val="33"/>
  </w:num>
  <w:num w:numId="18" w16cid:durableId="1341081880">
    <w:abstractNumId w:val="43"/>
  </w:num>
  <w:num w:numId="19" w16cid:durableId="1562448647">
    <w:abstractNumId w:val="2"/>
  </w:num>
  <w:num w:numId="20" w16cid:durableId="656225771">
    <w:abstractNumId w:val="31"/>
  </w:num>
  <w:num w:numId="21" w16cid:durableId="2144498049">
    <w:abstractNumId w:val="40"/>
  </w:num>
  <w:num w:numId="22" w16cid:durableId="1233078249">
    <w:abstractNumId w:val="1"/>
  </w:num>
  <w:num w:numId="23" w16cid:durableId="1147698638">
    <w:abstractNumId w:val="6"/>
  </w:num>
  <w:num w:numId="24" w16cid:durableId="924921697">
    <w:abstractNumId w:val="8"/>
  </w:num>
  <w:num w:numId="25" w16cid:durableId="1849364638">
    <w:abstractNumId w:val="30"/>
  </w:num>
  <w:num w:numId="26" w16cid:durableId="1431705618">
    <w:abstractNumId w:val="14"/>
  </w:num>
  <w:num w:numId="27" w16cid:durableId="804272143">
    <w:abstractNumId w:val="36"/>
  </w:num>
  <w:num w:numId="28" w16cid:durableId="1169559555">
    <w:abstractNumId w:val="35"/>
  </w:num>
  <w:num w:numId="29" w16cid:durableId="2110420949">
    <w:abstractNumId w:val="7"/>
  </w:num>
  <w:num w:numId="30" w16cid:durableId="1909341717">
    <w:abstractNumId w:val="15"/>
  </w:num>
  <w:num w:numId="31" w16cid:durableId="1767387840">
    <w:abstractNumId w:val="23"/>
  </w:num>
  <w:num w:numId="32" w16cid:durableId="585455742">
    <w:abstractNumId w:val="28"/>
  </w:num>
  <w:num w:numId="33" w16cid:durableId="522090787">
    <w:abstractNumId w:val="18"/>
  </w:num>
  <w:num w:numId="34" w16cid:durableId="1960648739">
    <w:abstractNumId w:val="42"/>
  </w:num>
  <w:num w:numId="35" w16cid:durableId="1970822328">
    <w:abstractNumId w:val="32"/>
  </w:num>
  <w:num w:numId="36" w16cid:durableId="1127822406">
    <w:abstractNumId w:val="22"/>
  </w:num>
  <w:num w:numId="37" w16cid:durableId="1153376084">
    <w:abstractNumId w:val="24"/>
  </w:num>
  <w:num w:numId="38" w16cid:durableId="1878156151">
    <w:abstractNumId w:val="9"/>
  </w:num>
  <w:num w:numId="39" w16cid:durableId="500201404">
    <w:abstractNumId w:val="26"/>
  </w:num>
  <w:num w:numId="40" w16cid:durableId="429131636">
    <w:abstractNumId w:val="4"/>
  </w:num>
  <w:num w:numId="41" w16cid:durableId="1033844920">
    <w:abstractNumId w:val="12"/>
  </w:num>
  <w:num w:numId="42" w16cid:durableId="1525749579">
    <w:abstractNumId w:val="41"/>
  </w:num>
  <w:num w:numId="43" w16cid:durableId="1030492662">
    <w:abstractNumId w:val="27"/>
  </w:num>
  <w:num w:numId="44" w16cid:durableId="1638491426">
    <w:abstractNumId w:val="10"/>
  </w:num>
  <w:num w:numId="45" w16cid:durableId="921261864">
    <w:abstractNumId w:val="37"/>
  </w:num>
  <w:num w:numId="46" w16cid:durableId="471027188">
    <w:abstractNumId w:val="39"/>
  </w:num>
  <w:num w:numId="47" w16cid:durableId="178008855">
    <w:abstractNumId w:val="11"/>
  </w:num>
  <w:num w:numId="48" w16cid:durableId="41035212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B3"/>
    <w:rsid w:val="000133DF"/>
    <w:rsid w:val="00037A22"/>
    <w:rsid w:val="00044F33"/>
    <w:rsid w:val="00053724"/>
    <w:rsid w:val="000B4A14"/>
    <w:rsid w:val="00131DEE"/>
    <w:rsid w:val="001502E3"/>
    <w:rsid w:val="00181AA5"/>
    <w:rsid w:val="00182436"/>
    <w:rsid w:val="00186B90"/>
    <w:rsid w:val="001C6149"/>
    <w:rsid w:val="001D0AB0"/>
    <w:rsid w:val="001D200D"/>
    <w:rsid w:val="001D27AF"/>
    <w:rsid w:val="001E0621"/>
    <w:rsid w:val="001F21E9"/>
    <w:rsid w:val="001F324B"/>
    <w:rsid w:val="002107C6"/>
    <w:rsid w:val="00232EDA"/>
    <w:rsid w:val="00253E61"/>
    <w:rsid w:val="002A590B"/>
    <w:rsid w:val="002C0D42"/>
    <w:rsid w:val="002F657C"/>
    <w:rsid w:val="00306B5D"/>
    <w:rsid w:val="0031520D"/>
    <w:rsid w:val="0034198F"/>
    <w:rsid w:val="00347AE0"/>
    <w:rsid w:val="00352E6B"/>
    <w:rsid w:val="003817AF"/>
    <w:rsid w:val="003D0FEB"/>
    <w:rsid w:val="003E780F"/>
    <w:rsid w:val="003F0257"/>
    <w:rsid w:val="004538AC"/>
    <w:rsid w:val="00487929"/>
    <w:rsid w:val="004925A2"/>
    <w:rsid w:val="00510E60"/>
    <w:rsid w:val="00530DC5"/>
    <w:rsid w:val="00530E1E"/>
    <w:rsid w:val="00582581"/>
    <w:rsid w:val="005E53A8"/>
    <w:rsid w:val="006128B4"/>
    <w:rsid w:val="00662B1A"/>
    <w:rsid w:val="006719BF"/>
    <w:rsid w:val="00673090"/>
    <w:rsid w:val="006866FF"/>
    <w:rsid w:val="006B1889"/>
    <w:rsid w:val="006C65DB"/>
    <w:rsid w:val="006D0DA8"/>
    <w:rsid w:val="006D43B5"/>
    <w:rsid w:val="006D53FB"/>
    <w:rsid w:val="0072311B"/>
    <w:rsid w:val="0076625C"/>
    <w:rsid w:val="00777EAF"/>
    <w:rsid w:val="007D5835"/>
    <w:rsid w:val="007E1809"/>
    <w:rsid w:val="007F234D"/>
    <w:rsid w:val="0086076F"/>
    <w:rsid w:val="00894571"/>
    <w:rsid w:val="008E67F5"/>
    <w:rsid w:val="00900AFD"/>
    <w:rsid w:val="00966F0B"/>
    <w:rsid w:val="009B7612"/>
    <w:rsid w:val="00A1116E"/>
    <w:rsid w:val="00A81E70"/>
    <w:rsid w:val="00A913A2"/>
    <w:rsid w:val="00AA3D0E"/>
    <w:rsid w:val="00AC16CC"/>
    <w:rsid w:val="00AF382E"/>
    <w:rsid w:val="00B03B96"/>
    <w:rsid w:val="00B07848"/>
    <w:rsid w:val="00B21A03"/>
    <w:rsid w:val="00B3030A"/>
    <w:rsid w:val="00B3401D"/>
    <w:rsid w:val="00B36C12"/>
    <w:rsid w:val="00B42F67"/>
    <w:rsid w:val="00B57323"/>
    <w:rsid w:val="00BC6138"/>
    <w:rsid w:val="00BE61B3"/>
    <w:rsid w:val="00C04484"/>
    <w:rsid w:val="00C605E9"/>
    <w:rsid w:val="00C94597"/>
    <w:rsid w:val="00D0221C"/>
    <w:rsid w:val="00D07B09"/>
    <w:rsid w:val="00D20478"/>
    <w:rsid w:val="00D362C0"/>
    <w:rsid w:val="00D92449"/>
    <w:rsid w:val="00D9319E"/>
    <w:rsid w:val="00DB0490"/>
    <w:rsid w:val="00E0524B"/>
    <w:rsid w:val="00E50981"/>
    <w:rsid w:val="00E80412"/>
    <w:rsid w:val="00E97AB3"/>
    <w:rsid w:val="00EC7BB8"/>
    <w:rsid w:val="00ED04F2"/>
    <w:rsid w:val="00EE4AA4"/>
    <w:rsid w:val="00EF1FD5"/>
    <w:rsid w:val="00F5034C"/>
    <w:rsid w:val="00F83A0C"/>
    <w:rsid w:val="00F9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E6B0"/>
  <w15:docId w15:val="{EF2A13E5-AE41-404E-872E-ABC01988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eastAsia="Times New Roman"/>
      <w:color w:val="7030A0"/>
      <w:sz w:val="28"/>
      <w:szCs w:val="32"/>
    </w:rPr>
  </w:style>
  <w:style w:type="paragraph" w:styleId="Heading2">
    <w:name w:val="heading 2"/>
    <w:basedOn w:val="Normal"/>
    <w:next w:val="Normal"/>
    <w:uiPriority w:val="9"/>
    <w:unhideWhenUsed/>
    <w:qFormat/>
    <w:pPr>
      <w:keepNext/>
      <w:keepLines/>
      <w:spacing w:before="40" w:after="0"/>
      <w:outlineLvl w:val="1"/>
    </w:pPr>
    <w:rPr>
      <w:rFonts w:eastAsia="Times New Roman"/>
      <w:color w:val="7030A0"/>
      <w:sz w:val="24"/>
      <w:szCs w:val="26"/>
    </w:rPr>
  </w:style>
  <w:style w:type="paragraph" w:styleId="Heading3">
    <w:name w:val="heading 3"/>
    <w:basedOn w:val="Normal"/>
    <w:next w:val="Normal"/>
    <w:uiPriority w:val="9"/>
    <w:unhideWhenUsed/>
    <w:qFormat/>
    <w:pPr>
      <w:keepNext/>
      <w:keepLines/>
      <w:spacing w:before="40" w:after="0"/>
      <w:outlineLvl w:val="2"/>
    </w:pPr>
    <w:rPr>
      <w:rFonts w:eastAsia="Times New Roman"/>
      <w:b/>
      <w:szCs w:val="24"/>
    </w:rPr>
  </w:style>
  <w:style w:type="paragraph" w:styleId="Heading4">
    <w:name w:val="heading 4"/>
    <w:basedOn w:val="Normal"/>
    <w:next w:val="Normal"/>
    <w:uiPriority w:val="9"/>
    <w:unhideWhenUsed/>
    <w:qFormat/>
    <w:pPr>
      <w:keepNext/>
      <w:keepLines/>
      <w:spacing w:before="40" w:after="0"/>
      <w:outlineLvl w:val="3"/>
    </w:pPr>
    <w:rPr>
      <w:rFonts w:eastAsia="Times New Roman"/>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uppressAutoHyphens/>
      <w:spacing w:after="0" w:line="240" w:lineRule="auto"/>
    </w:pPr>
    <w:rPr>
      <w:rFonts w:ascii="Arial" w:hAnsi="Arial"/>
      <w:sz w:val="24"/>
    </w:rPr>
  </w:style>
  <w:style w:type="character" w:customStyle="1" w:styleId="Heading1Char">
    <w:name w:val="Heading 1 Char"/>
    <w:basedOn w:val="DefaultParagraphFont"/>
    <w:uiPriority w:val="9"/>
    <w:rPr>
      <w:rFonts w:ascii="Calibri" w:eastAsia="Times New Roman" w:hAnsi="Calibri" w:cs="Times New Roman"/>
      <w:color w:val="7030A0"/>
      <w:sz w:val="28"/>
      <w:szCs w:val="32"/>
    </w:rPr>
  </w:style>
  <w:style w:type="paragraph" w:styleId="TOCHeading">
    <w:name w:val="TOC Heading"/>
    <w:basedOn w:val="Heading1"/>
    <w:next w:val="Normal"/>
    <w:pPr>
      <w:spacing w:line="256" w:lineRule="auto"/>
    </w:pPr>
    <w:rPr>
      <w:lang w:val="en-US"/>
    </w:rPr>
  </w:style>
  <w:style w:type="paragraph" w:styleId="BodyText">
    <w:name w:val="Body Text"/>
    <w:basedOn w:val="Normal"/>
    <w:pPr>
      <w:widowControl w:val="0"/>
      <w:autoSpaceDE w:val="0"/>
      <w:spacing w:after="0" w:line="240" w:lineRule="auto"/>
      <w:ind w:left="110"/>
    </w:pPr>
    <w:rPr>
      <w:rFonts w:eastAsia="Times New Roman" w:cs="Georgia"/>
      <w:sz w:val="18"/>
      <w:szCs w:val="18"/>
      <w:lang w:eastAsia="en-GB"/>
    </w:rPr>
  </w:style>
  <w:style w:type="character" w:customStyle="1" w:styleId="BodyTextChar">
    <w:name w:val="Body Text Char"/>
    <w:basedOn w:val="DefaultParagraphFont"/>
    <w:rPr>
      <w:rFonts w:ascii="Georgia" w:eastAsia="Times New Roman" w:hAnsi="Georgia" w:cs="Georgia"/>
      <w:sz w:val="18"/>
      <w:szCs w:val="18"/>
      <w:lang w:eastAsia="en-GB"/>
    </w:rPr>
  </w:style>
  <w:style w:type="paragraph" w:styleId="TOC1">
    <w:name w:val="toc 1"/>
    <w:basedOn w:val="Normal"/>
    <w:next w:val="Normal"/>
    <w:autoRedefine/>
    <w:uiPriority w:val="39"/>
    <w:pPr>
      <w:spacing w:after="100"/>
    </w:p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rPr>
      <w:rFonts w:ascii="Calibri" w:eastAsia="Times New Roman" w:hAnsi="Calibri" w:cs="Times New Roman"/>
      <w:color w:val="7030A0"/>
      <w:sz w:val="24"/>
      <w:szCs w:val="26"/>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uiPriority w:val="99"/>
    <w:pPr>
      <w:widowControl w:val="0"/>
      <w:autoSpaceDE w:val="0"/>
      <w:spacing w:after="0" w:line="240" w:lineRule="auto"/>
    </w:pPr>
    <w:rPr>
      <w:rFonts w:ascii="Times New Roman" w:eastAsia="Times New Roman" w:hAnsi="Times New Roman"/>
      <w:szCs w:val="20"/>
      <w:lang w:eastAsia="en-GB"/>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Pr>
      <w:rFonts w:cs="Times New Roman"/>
      <w:position w:val="0"/>
      <w:vertAlign w:val="superscript"/>
    </w:rPr>
  </w:style>
  <w:style w:type="paragraph" w:styleId="Revision">
    <w:name w:val="Revision"/>
    <w:pPr>
      <w:suppressAutoHyphens/>
      <w:spacing w:after="0" w:line="240" w:lineRule="auto"/>
    </w:pPr>
    <w:rPr>
      <w:rFonts w:ascii="Arial" w:hAnsi="Arial"/>
      <w:sz w:val="24"/>
    </w:rPr>
  </w:style>
  <w:style w:type="character" w:customStyle="1" w:styleId="UnresolvedMention1">
    <w:name w:val="Unresolved Mention1"/>
    <w:basedOn w:val="DefaultParagraphFont"/>
    <w:rPr>
      <w:color w:val="808080"/>
      <w:shd w:val="clear" w:color="auto" w:fill="E6E6E6"/>
    </w:rPr>
  </w:style>
  <w:style w:type="paragraph" w:styleId="TOC2">
    <w:name w:val="toc 2"/>
    <w:basedOn w:val="Normal"/>
    <w:next w:val="Normal"/>
    <w:autoRedefine/>
    <w:uiPriority w:val="39"/>
    <w:pPr>
      <w:tabs>
        <w:tab w:val="right" w:leader="dot" w:pos="9016"/>
      </w:tabs>
      <w:spacing w:after="100"/>
      <w:ind w:left="240"/>
    </w:pPr>
  </w:style>
  <w:style w:type="character" w:styleId="FollowedHyperlink">
    <w:name w:val="FollowedHyperlink"/>
    <w:basedOn w:val="DefaultParagraphFont"/>
    <w:rPr>
      <w:color w:val="800080"/>
      <w:u w:val="single"/>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rFonts w:ascii="Arial" w:hAnsi="Arial"/>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ascii="Arial" w:hAnsi="Arial"/>
      <w:sz w:val="24"/>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rFonts w:ascii="Arial" w:hAnsi="Arial"/>
      <w:sz w:val="20"/>
      <w:szCs w:val="20"/>
    </w:rPr>
  </w:style>
  <w:style w:type="character" w:styleId="EndnoteReference">
    <w:name w:val="endnote reference"/>
    <w:basedOn w:val="DefaultParagraphFont"/>
    <w:rPr>
      <w:position w:val="0"/>
      <w:vertAlign w:val="superscript"/>
    </w:rPr>
  </w:style>
  <w:style w:type="character" w:customStyle="1" w:styleId="NoSpacingChar">
    <w:name w:val="No Spacing Char"/>
    <w:basedOn w:val="DefaultParagraphFont"/>
    <w:rPr>
      <w:rFonts w:ascii="Arial" w:hAnsi="Arial"/>
      <w:sz w:val="24"/>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Heading3Char">
    <w:name w:val="Heading 3 Char"/>
    <w:basedOn w:val="DefaultParagraphFont"/>
    <w:uiPriority w:val="9"/>
    <w:rPr>
      <w:rFonts w:ascii="Georgia" w:eastAsia="Times New Roman" w:hAnsi="Georgia" w:cs="Times New Roman"/>
      <w:b/>
      <w:sz w:val="20"/>
      <w:szCs w:val="24"/>
    </w:rPr>
  </w:style>
  <w:style w:type="character" w:customStyle="1" w:styleId="Heading4Char">
    <w:name w:val="Heading 4 Char"/>
    <w:basedOn w:val="DefaultParagraphFont"/>
    <w:rPr>
      <w:rFonts w:ascii="Georgia" w:eastAsia="Times New Roman" w:hAnsi="Georgia" w:cs="Times New Roman"/>
      <w:iCs/>
      <w:sz w:val="20"/>
      <w:u w:val="single"/>
    </w:rPr>
  </w:style>
  <w:style w:type="character" w:styleId="UnresolvedMention">
    <w:name w:val="Unresolved Mention"/>
    <w:basedOn w:val="DefaultParagraphFont"/>
    <w:uiPriority w:val="99"/>
    <w:semiHidden/>
    <w:unhideWhenUsed/>
    <w:rsid w:val="001D0AB0"/>
    <w:rPr>
      <w:color w:val="605E5C"/>
      <w:shd w:val="clear" w:color="auto" w:fill="E1DFDD"/>
    </w:rPr>
  </w:style>
  <w:style w:type="table" w:styleId="TableGrid">
    <w:name w:val="Table Grid"/>
    <w:basedOn w:val="TableNormal"/>
    <w:uiPriority w:val="59"/>
    <w:rsid w:val="005E53A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82436"/>
    <w:pPr>
      <w:spacing w:after="100"/>
      <w:ind w:left="440"/>
    </w:pPr>
  </w:style>
  <w:style w:type="character" w:styleId="LineNumber">
    <w:name w:val="line number"/>
    <w:basedOn w:val="DefaultParagraphFont"/>
    <w:uiPriority w:val="99"/>
    <w:semiHidden/>
    <w:unhideWhenUsed/>
    <w:rsid w:val="00E80412"/>
  </w:style>
  <w:style w:type="paragraph" w:styleId="Title">
    <w:name w:val="Title"/>
    <w:basedOn w:val="Normal"/>
    <w:next w:val="Normal"/>
    <w:link w:val="TitleChar"/>
    <w:uiPriority w:val="10"/>
    <w:qFormat/>
    <w:rsid w:val="00D0221C"/>
    <w:pPr>
      <w:spacing w:after="0" w:line="240" w:lineRule="auto"/>
      <w:contextualSpacing/>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D0221C"/>
    <w:rPr>
      <w:rFonts w:asciiTheme="majorHAnsi" w:eastAsiaTheme="majorEastAsia" w:hAnsiTheme="majorHAnsi" w:cstheme="majorBidi"/>
      <w:b/>
      <w:color w:val="FFFFFF" w:themeColor="background1"/>
      <w:spacing w:val="-10"/>
      <w:kern w:val="28"/>
      <w:sz w:val="72"/>
      <w:szCs w:val="56"/>
    </w:rPr>
  </w:style>
  <w:style w:type="paragraph" w:styleId="NormalWeb">
    <w:name w:val="Normal (Web)"/>
    <w:basedOn w:val="Normal"/>
    <w:uiPriority w:val="99"/>
    <w:semiHidden/>
    <w:unhideWhenUsed/>
    <w:rsid w:val="00EF1FD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EF1FD5"/>
    <w:rPr>
      <w:i/>
      <w:iCs/>
    </w:rPr>
  </w:style>
  <w:style w:type="paragraph" w:styleId="PlainText">
    <w:name w:val="Plain Text"/>
    <w:basedOn w:val="Normal"/>
    <w:link w:val="PlainTextChar"/>
    <w:uiPriority w:val="99"/>
    <w:unhideWhenUsed/>
    <w:rsid w:val="00B3401D"/>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B3401D"/>
    <w:rPr>
      <w:rFonts w:eastAsiaTheme="minorHAnsi" w:cstheme="minorBidi"/>
      <w:szCs w:val="21"/>
    </w:rPr>
  </w:style>
  <w:style w:type="paragraph" w:customStyle="1" w:styleId="xxxmsonormal">
    <w:name w:val="x_xxmsonormal"/>
    <w:basedOn w:val="Normal"/>
    <w:rsid w:val="00B3401D"/>
    <w:pPr>
      <w:suppressAutoHyphens w:val="0"/>
      <w:autoSpaceDN/>
      <w:spacing w:after="0" w:line="240" w:lineRule="auto"/>
      <w:textAlignment w:val="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ternalexaminers@edgehill.ac.uk" TargetMode="External"/><Relationship Id="rId18" Type="http://schemas.openxmlformats.org/officeDocument/2006/relationships/hyperlink" Target="https://www.edgehill.ac.uk/gqasc/agq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edgehill.ac.uk/guide/vle-external-access/" TargetMode="External"/><Relationship Id="rId7" Type="http://schemas.openxmlformats.org/officeDocument/2006/relationships/endnotes" Target="endnotes.xml"/><Relationship Id="rId12" Type="http://schemas.openxmlformats.org/officeDocument/2006/relationships/hyperlink" Target="mailto:externalexaminers@edgehill.ac.uk" TargetMode="External"/><Relationship Id="rId17" Type="http://schemas.openxmlformats.org/officeDocument/2006/relationships/hyperlink" Target="https://www.edgehill.ac.uk/corporate-information/strategies-polici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llian.ledgerton@edgehill.ac.uk" TargetMode="External"/><Relationship Id="rId20" Type="http://schemas.openxmlformats.org/officeDocument/2006/relationships/hyperlink" Target="https://www.edgehill.ac.uk/departments/support/gqasc/agqa/external-exami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edgehil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opher.bill@edgehill.ac.uk" TargetMode="External"/><Relationship Id="rId23" Type="http://schemas.openxmlformats.org/officeDocument/2006/relationships/hyperlink" Target="https://www.edgehill.ac.uk/document/assessment-policy/"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dvance-he.ac.uk/knowledge-hub/external-examinin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kelly.hand@edgehill.ac.uk" TargetMode="External"/><Relationship Id="rId22" Type="http://schemas.openxmlformats.org/officeDocument/2006/relationships/hyperlink" Target="https://www.edgehill.ac.uk/service/external-examiner-annual-repor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dgehill.ac.uk/documents/information-security-policy/" TargetMode="External"/><Relationship Id="rId13" Type="http://schemas.openxmlformats.org/officeDocument/2006/relationships/hyperlink" Target="https://www.edgehill.ac.uk/document/assessment-policy/" TargetMode="External"/><Relationship Id="rId3" Type="http://schemas.openxmlformats.org/officeDocument/2006/relationships/hyperlink" Target="https://www.edgehill.ac.uk/documents/quality-management-handbook/" TargetMode="External"/><Relationship Id="rId7" Type="http://schemas.openxmlformats.org/officeDocument/2006/relationships/hyperlink" Target="http://www.edgehill.ac.uk/documents/data-protection-policy/%20" TargetMode="External"/><Relationship Id="rId12" Type="http://schemas.openxmlformats.org/officeDocument/2006/relationships/hyperlink" Target="https://www.officeforstudents.org.uk/publications/office-for-students-notifications/" TargetMode="External"/><Relationship Id="rId2" Type="http://schemas.openxmlformats.org/officeDocument/2006/relationships/hyperlink" Target="https://www.edgehill.ac.uk/document/academic-regulations-2023-2024/" TargetMode="External"/><Relationship Id="rId1" Type="http://schemas.openxmlformats.org/officeDocument/2006/relationships/hyperlink" Target="http://www.qaa.ac.uk/en/quality-code/advice-and-guidance/external-expertise" TargetMode="External"/><Relationship Id="rId6" Type="http://schemas.openxmlformats.org/officeDocument/2006/relationships/hyperlink" Target="https://www.edgehill.ac.uk/document/assessment-policy/" TargetMode="External"/><Relationship Id="rId11" Type="http://schemas.openxmlformats.org/officeDocument/2006/relationships/hyperlink" Target="https://www.qaa.ac.uk/docs/qaa/guidance/qaa-concerns-scheme.pdf" TargetMode="External"/><Relationship Id="rId5" Type="http://schemas.openxmlformats.org/officeDocument/2006/relationships/hyperlink" Target="https://www.qaa.ac.uk/quality-code/subject-benchmark-statements" TargetMode="External"/><Relationship Id="rId10" Type="http://schemas.openxmlformats.org/officeDocument/2006/relationships/hyperlink" Target="https://www.edgehill.ac.uk/departments/support/gqasc/agqa/external-examiners/" TargetMode="External"/><Relationship Id="rId4" Type="http://schemas.openxmlformats.org/officeDocument/2006/relationships/hyperlink" Target="https://www.edgehill.ac.uk/document/assessment-policy/" TargetMode="External"/><Relationship Id="rId9" Type="http://schemas.openxmlformats.org/officeDocument/2006/relationships/hyperlink" Target="https://www.edgehill.ac.uk/departments/support/gqasc/agqa/external-examiners/" TargetMode="External"/><Relationship Id="rId14" Type="http://schemas.openxmlformats.org/officeDocument/2006/relationships/hyperlink" Target="https://www.edgehill.ac.uk/departments/support/gqasc/agqa/external-exam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A621-99C8-466A-944B-D2474CF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8030</Words>
  <Characters>45775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Stanton</dc:creator>
  <dc:description/>
  <cp:lastModifiedBy>Lauren Bolton</cp:lastModifiedBy>
  <cp:revision>5</cp:revision>
  <dcterms:created xsi:type="dcterms:W3CDTF">2023-12-04T13:47:00Z</dcterms:created>
  <dcterms:modified xsi:type="dcterms:W3CDTF">2023-12-04T14:02:00Z</dcterms:modified>
</cp:coreProperties>
</file>