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24" w:space="0" w:color="00B050"/>
          <w:left w:val="single" w:sz="24" w:space="0" w:color="00B050"/>
          <w:bottom w:val="single" w:sz="24" w:space="0" w:color="00B050"/>
          <w:right w:val="single" w:sz="24" w:space="0" w:color="00B050"/>
          <w:insideH w:val="single" w:sz="24" w:space="0" w:color="00B050"/>
          <w:insideV w:val="single" w:sz="24" w:space="0" w:color="00B050"/>
        </w:tblBorders>
        <w:tblLook w:val="04A0" w:firstRow="1" w:lastRow="0" w:firstColumn="1" w:lastColumn="0" w:noHBand="0" w:noVBand="1"/>
      </w:tblPr>
      <w:tblGrid>
        <w:gridCol w:w="8966"/>
      </w:tblGrid>
      <w:tr w:rsidR="000D23AF" w14:paraId="2B8AAEDB" w14:textId="77777777" w:rsidTr="0029043F">
        <w:tc>
          <w:tcPr>
            <w:tcW w:w="8966" w:type="dxa"/>
          </w:tcPr>
          <w:p w14:paraId="11F62B82" w14:textId="2F81F24B" w:rsidR="000D23AF" w:rsidRPr="007F06C7" w:rsidRDefault="00066171" w:rsidP="0002664D">
            <w:pPr>
              <w:pStyle w:val="NoSpacing"/>
              <w:rPr>
                <w:rFonts w:ascii="Georgia" w:hAnsi="Georgia"/>
                <w:sz w:val="96"/>
              </w:rPr>
            </w:pPr>
            <w:r>
              <w:rPr>
                <w:rFonts w:ascii="Georgia" w:hAnsi="Georgia"/>
                <w:sz w:val="96"/>
              </w:rPr>
              <w:t>Fair Access Guidance for End Point Assessment (EPA)</w:t>
            </w:r>
          </w:p>
          <w:p w14:paraId="2BEFD9FE" w14:textId="77777777" w:rsidR="000D23AF" w:rsidRPr="00C625B0" w:rsidRDefault="000D23AF" w:rsidP="0002664D">
            <w:pPr>
              <w:pStyle w:val="NoSpacing"/>
              <w:rPr>
                <w:rFonts w:ascii="Georgia" w:hAnsi="Georgia"/>
              </w:rPr>
            </w:pPr>
          </w:p>
        </w:tc>
      </w:tr>
      <w:tr w:rsidR="000D23AF" w14:paraId="0B48884F" w14:textId="77777777" w:rsidTr="0029043F">
        <w:tc>
          <w:tcPr>
            <w:tcW w:w="8966" w:type="dxa"/>
            <w:shd w:val="clear" w:color="auto" w:fill="00B050"/>
          </w:tcPr>
          <w:p w14:paraId="0262C946" w14:textId="77777777" w:rsidR="000D23AF" w:rsidRDefault="000D23AF" w:rsidP="0002664D">
            <w:pPr>
              <w:pStyle w:val="NoSpacing"/>
            </w:pPr>
          </w:p>
          <w:p w14:paraId="22D0415F" w14:textId="6DAFE753" w:rsidR="000D23AF" w:rsidRPr="00C625B0" w:rsidRDefault="00066171" w:rsidP="0002664D">
            <w:pPr>
              <w:pStyle w:val="NoSpacing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202</w:t>
            </w:r>
            <w:r w:rsidR="00EF6E18">
              <w:rPr>
                <w:b/>
                <w:color w:val="FFFFFF" w:themeColor="background1"/>
              </w:rPr>
              <w:t>4</w:t>
            </w:r>
            <w:r>
              <w:rPr>
                <w:b/>
                <w:color w:val="FFFFFF" w:themeColor="background1"/>
              </w:rPr>
              <w:t>-202</w:t>
            </w:r>
            <w:r w:rsidR="00EF6E18">
              <w:rPr>
                <w:b/>
                <w:color w:val="FFFFFF" w:themeColor="background1"/>
              </w:rPr>
              <w:t>5</w:t>
            </w:r>
          </w:p>
          <w:p w14:paraId="2A68A32C" w14:textId="77777777" w:rsidR="000D23AF" w:rsidRDefault="000D23AF" w:rsidP="0002664D">
            <w:pPr>
              <w:pStyle w:val="NoSpacing"/>
            </w:pPr>
          </w:p>
        </w:tc>
      </w:tr>
    </w:tbl>
    <w:p w14:paraId="78A1F073" w14:textId="77777777" w:rsidR="00C625B0" w:rsidRDefault="00C625B0" w:rsidP="00722685">
      <w:pPr>
        <w:pStyle w:val="NoSpacing"/>
      </w:pPr>
    </w:p>
    <w:p w14:paraId="77925CFE" w14:textId="77777777" w:rsidR="00C625B0" w:rsidRDefault="00C625B0" w:rsidP="00722685">
      <w:pPr>
        <w:pStyle w:val="NoSpacing"/>
      </w:pPr>
    </w:p>
    <w:p w14:paraId="450667CC" w14:textId="77777777" w:rsidR="00C625B0" w:rsidRDefault="00C625B0" w:rsidP="00722685">
      <w:pPr>
        <w:pStyle w:val="NoSpacing"/>
      </w:pPr>
    </w:p>
    <w:p w14:paraId="21C8C9C3" w14:textId="77777777" w:rsidR="00C625B0" w:rsidRDefault="00C625B0" w:rsidP="00722685">
      <w:pPr>
        <w:pStyle w:val="NoSpacing"/>
      </w:pPr>
    </w:p>
    <w:p w14:paraId="2EF110B6" w14:textId="77777777" w:rsidR="00C625B0" w:rsidRDefault="00C625B0" w:rsidP="00722685">
      <w:pPr>
        <w:pStyle w:val="NoSpacing"/>
      </w:pPr>
    </w:p>
    <w:p w14:paraId="711AEBE8" w14:textId="77777777" w:rsidR="00C625B0" w:rsidRDefault="00C625B0" w:rsidP="00722685">
      <w:pPr>
        <w:pStyle w:val="NoSpacing"/>
      </w:pPr>
    </w:p>
    <w:p w14:paraId="30D922A9" w14:textId="77777777" w:rsidR="00C625B0" w:rsidRDefault="00C625B0" w:rsidP="00722685">
      <w:pPr>
        <w:pStyle w:val="NoSpacing"/>
      </w:pPr>
    </w:p>
    <w:p w14:paraId="15137F25" w14:textId="77777777" w:rsidR="00C625B0" w:rsidRDefault="00C625B0" w:rsidP="00722685">
      <w:pPr>
        <w:pStyle w:val="NoSpacing"/>
      </w:pPr>
    </w:p>
    <w:p w14:paraId="28016870" w14:textId="77777777" w:rsidR="00C625B0" w:rsidRDefault="00C625B0" w:rsidP="00722685">
      <w:pPr>
        <w:pStyle w:val="NoSpacing"/>
      </w:pPr>
    </w:p>
    <w:p w14:paraId="59105ACA" w14:textId="77777777" w:rsidR="00C625B0" w:rsidRDefault="00C625B0" w:rsidP="00722685">
      <w:pPr>
        <w:pStyle w:val="NoSpacing"/>
      </w:pPr>
    </w:p>
    <w:p w14:paraId="6377E9DF" w14:textId="77777777" w:rsidR="000D23AF" w:rsidRDefault="000D23AF" w:rsidP="00722685">
      <w:pPr>
        <w:pStyle w:val="NoSpacing"/>
      </w:pPr>
    </w:p>
    <w:p w14:paraId="0A53FED6" w14:textId="77777777" w:rsidR="00C625B0" w:rsidRDefault="00C625B0" w:rsidP="00722685">
      <w:pPr>
        <w:pStyle w:val="NoSpacing"/>
      </w:pPr>
    </w:p>
    <w:p w14:paraId="5363FDA8" w14:textId="77777777" w:rsidR="00C625B0" w:rsidRDefault="00C625B0" w:rsidP="00C625B0">
      <w:pPr>
        <w:pStyle w:val="NoSpacing"/>
        <w:jc w:val="right"/>
      </w:pPr>
    </w:p>
    <w:p w14:paraId="3E06EC6D" w14:textId="77777777" w:rsidR="006A5B50" w:rsidRDefault="006A5B50">
      <w:pPr>
        <w:rPr>
          <w:b/>
          <w:sz w:val="36"/>
        </w:rPr>
      </w:pPr>
      <w:r>
        <w:rPr>
          <w:b/>
          <w:sz w:val="36"/>
        </w:rPr>
        <w:br w:type="page"/>
      </w:r>
    </w:p>
    <w:p w14:paraId="2AA8D5A2" w14:textId="318FDD12" w:rsidR="00C625B0" w:rsidRPr="00C625B0" w:rsidRDefault="00066171">
      <w:pPr>
        <w:rPr>
          <w:b/>
          <w:sz w:val="36"/>
        </w:rPr>
      </w:pPr>
      <w:r>
        <w:rPr>
          <w:b/>
          <w:sz w:val="36"/>
        </w:rPr>
        <w:lastRenderedPageBreak/>
        <w:t>Fair Access Guidance for End Point Assessment (EPA)</w:t>
      </w:r>
      <w:r w:rsidR="000D23AF">
        <w:rPr>
          <w:b/>
          <w:sz w:val="36"/>
        </w:rPr>
        <w:t xml:space="preserve"> </w:t>
      </w:r>
      <w:r w:rsidR="00C625B0" w:rsidRPr="00C625B0">
        <w:rPr>
          <w:b/>
          <w:sz w:val="36"/>
        </w:rPr>
        <w:t xml:space="preserve"> </w:t>
      </w:r>
    </w:p>
    <w:sdt>
      <w:sdtPr>
        <w:rPr>
          <w:rFonts w:ascii="Arial" w:eastAsiaTheme="minorEastAsia" w:hAnsi="Arial" w:cstheme="minorBidi"/>
          <w:color w:val="auto"/>
          <w:sz w:val="24"/>
          <w:szCs w:val="24"/>
          <w:lang w:val="en-GB"/>
        </w:rPr>
        <w:id w:val="174567794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8CCB9A2" w14:textId="77777777" w:rsidR="00351BCA" w:rsidRDefault="00351BCA" w:rsidP="009633B3">
          <w:pPr>
            <w:pStyle w:val="TOCHeading"/>
          </w:pPr>
          <w:r>
            <w:t>Contents</w:t>
          </w:r>
        </w:p>
        <w:p w14:paraId="1259201E" w14:textId="2E9EE27A" w:rsidR="009633B3" w:rsidRDefault="00351BCA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en-GB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0435803" w:history="1">
            <w:r w:rsidR="009633B3" w:rsidRPr="00A476AD">
              <w:rPr>
                <w:rStyle w:val="Hyperlink"/>
                <w:noProof/>
              </w:rPr>
              <w:t>Summary</w:t>
            </w:r>
            <w:r w:rsidR="009633B3">
              <w:rPr>
                <w:noProof/>
                <w:webHidden/>
              </w:rPr>
              <w:tab/>
            </w:r>
            <w:r w:rsidR="009633B3">
              <w:rPr>
                <w:noProof/>
                <w:webHidden/>
              </w:rPr>
              <w:fldChar w:fldCharType="begin"/>
            </w:r>
            <w:r w:rsidR="009633B3">
              <w:rPr>
                <w:noProof/>
                <w:webHidden/>
              </w:rPr>
              <w:instrText xml:space="preserve"> PAGEREF _Toc150435803 \h </w:instrText>
            </w:r>
            <w:r w:rsidR="009633B3">
              <w:rPr>
                <w:noProof/>
                <w:webHidden/>
              </w:rPr>
            </w:r>
            <w:r w:rsidR="009633B3">
              <w:rPr>
                <w:noProof/>
                <w:webHidden/>
              </w:rPr>
              <w:fldChar w:fldCharType="separate"/>
            </w:r>
            <w:r w:rsidR="009633B3">
              <w:rPr>
                <w:noProof/>
                <w:webHidden/>
              </w:rPr>
              <w:t>3</w:t>
            </w:r>
            <w:r w:rsidR="009633B3">
              <w:rPr>
                <w:noProof/>
                <w:webHidden/>
              </w:rPr>
              <w:fldChar w:fldCharType="end"/>
            </w:r>
          </w:hyperlink>
        </w:p>
        <w:p w14:paraId="0031E93B" w14:textId="07863225" w:rsidR="009633B3" w:rsidRDefault="009633B3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en-GB"/>
              <w14:ligatures w14:val="standardContextual"/>
            </w:rPr>
          </w:pPr>
          <w:hyperlink w:anchor="_Toc150435804" w:history="1">
            <w:r w:rsidRPr="00A476AD">
              <w:rPr>
                <w:rStyle w:val="Hyperlink"/>
                <w:noProof/>
              </w:rPr>
              <w:t>Glossary of Terms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_Toc150435804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CD371B" w14:textId="26AFCBBE" w:rsidR="009633B3" w:rsidRDefault="009633B3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en-GB"/>
              <w14:ligatures w14:val="standardContextual"/>
            </w:rPr>
          </w:pPr>
          <w:hyperlink w:anchor="_Toc150435805" w:history="1">
            <w:r w:rsidRPr="00A476AD">
              <w:rPr>
                <w:rStyle w:val="Hyperlink"/>
                <w:noProof/>
              </w:rPr>
              <w:t>Purpose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_Toc150435805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C7C2E6" w14:textId="07D88DF2" w:rsidR="009633B3" w:rsidRDefault="009633B3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en-GB"/>
              <w14:ligatures w14:val="standardContextual"/>
            </w:rPr>
          </w:pPr>
          <w:hyperlink w:anchor="_Toc150435806" w:history="1">
            <w:r w:rsidRPr="00A476AD">
              <w:rPr>
                <w:rStyle w:val="Hyperlink"/>
                <w:noProof/>
              </w:rPr>
              <w:t>Guidance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_Toc150435806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8CF3B0" w14:textId="65FD7A27" w:rsidR="009633B3" w:rsidRDefault="009633B3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en-GB"/>
              <w14:ligatures w14:val="standardContextual"/>
            </w:rPr>
          </w:pPr>
          <w:hyperlink w:anchor="_Toc150435807" w:history="1">
            <w:r w:rsidRPr="00A476AD">
              <w:rPr>
                <w:rStyle w:val="Hyperlink"/>
                <w:noProof/>
              </w:rPr>
              <w:t>1.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lang w:eastAsia="en-GB"/>
                <w14:ligatures w14:val="standardContextual"/>
              </w:rPr>
              <w:tab/>
            </w:r>
            <w:r w:rsidRPr="00A476AD">
              <w:rPr>
                <w:rStyle w:val="Hyperlink"/>
                <w:noProof/>
              </w:rPr>
              <w:t>Scope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_Toc150435807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6D75D6" w14:textId="62CD3104" w:rsidR="009633B3" w:rsidRDefault="009633B3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en-GB"/>
              <w14:ligatures w14:val="standardContextual"/>
            </w:rPr>
          </w:pPr>
          <w:hyperlink w:anchor="_Toc150435808" w:history="1">
            <w:r w:rsidRPr="00A476AD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lang w:eastAsia="en-GB"/>
                <w14:ligatures w14:val="standardContextual"/>
              </w:rPr>
              <w:tab/>
            </w:r>
            <w:r w:rsidRPr="00A476AD">
              <w:rPr>
                <w:rStyle w:val="Hyperlink"/>
                <w:noProof/>
              </w:rPr>
              <w:t>Accountability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_Toc150435808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4E76D8" w14:textId="02543A70" w:rsidR="009633B3" w:rsidRDefault="009633B3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en-GB"/>
              <w14:ligatures w14:val="standardContextual"/>
            </w:rPr>
          </w:pPr>
          <w:hyperlink w:anchor="_Toc150435809" w:history="1">
            <w:r w:rsidRPr="00A476AD">
              <w:rPr>
                <w:rStyle w:val="Hyperlink"/>
                <w:noProof/>
              </w:rPr>
              <w:t>Key to Relevant Documents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_Toc150435809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323016" w14:textId="04DE2A18" w:rsidR="009633B3" w:rsidRDefault="009633B3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en-GB"/>
              <w14:ligatures w14:val="standardContextual"/>
            </w:rPr>
          </w:pPr>
          <w:hyperlink w:anchor="_Toc150435810" w:history="1">
            <w:r w:rsidRPr="00A476AD">
              <w:rPr>
                <w:rStyle w:val="Hyperlink"/>
                <w:noProof/>
              </w:rPr>
              <w:t>Endmatter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_Toc150435810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2D71C7" w14:textId="136B79E3" w:rsidR="00351BCA" w:rsidRDefault="00351BCA">
          <w:r>
            <w:rPr>
              <w:b/>
              <w:bCs/>
              <w:noProof/>
            </w:rPr>
            <w:fldChar w:fldCharType="end"/>
          </w:r>
        </w:p>
      </w:sdtContent>
    </w:sdt>
    <w:p w14:paraId="5E7283DB" w14:textId="77777777" w:rsidR="00C625B0" w:rsidRDefault="00C625B0">
      <w:r>
        <w:br w:type="page"/>
      </w:r>
    </w:p>
    <w:p w14:paraId="6A395AF9" w14:textId="77777777" w:rsidR="000D23AF" w:rsidRPr="00D84C7A" w:rsidRDefault="000D23AF" w:rsidP="00D84C7A">
      <w:pPr>
        <w:pStyle w:val="Heading1"/>
      </w:pPr>
      <w:bookmarkStart w:id="0" w:name="_Toc150435803"/>
      <w:r w:rsidRPr="00D84C7A">
        <w:lastRenderedPageBreak/>
        <w:t>Summary</w:t>
      </w:r>
      <w:bookmarkEnd w:id="0"/>
      <w:r w:rsidRPr="00D84C7A">
        <w:t xml:space="preserve"> </w:t>
      </w:r>
    </w:p>
    <w:p w14:paraId="043E5B42" w14:textId="4099FA9C" w:rsidR="00066171" w:rsidRPr="00066171" w:rsidRDefault="00066171" w:rsidP="00066171">
      <w:r w:rsidRPr="00066171">
        <w:t xml:space="preserve">This </w:t>
      </w:r>
      <w:r>
        <w:t>guidance</w:t>
      </w:r>
      <w:r w:rsidRPr="00066171">
        <w:t xml:space="preserve"> sets out how </w:t>
      </w:r>
      <w:r>
        <w:t>Edge Hill University</w:t>
      </w:r>
      <w:r w:rsidR="00EF6E18">
        <w:t>, as a registered</w:t>
      </w:r>
      <w:r>
        <w:t xml:space="preserve"> End Point Assessment Organisation </w:t>
      </w:r>
      <w:r w:rsidR="00EF6E18">
        <w:t xml:space="preserve">(EPAO) </w:t>
      </w:r>
      <w:r w:rsidRPr="00066171">
        <w:t>and anyone acting in our name deliver an end point assessment service that treats every apprentice equally.  </w:t>
      </w:r>
    </w:p>
    <w:p w14:paraId="5520A919" w14:textId="77777777" w:rsidR="00D84C7A" w:rsidRDefault="00D84C7A" w:rsidP="00A73C4D">
      <w:pPr>
        <w:pStyle w:val="Heading1"/>
      </w:pPr>
      <w:bookmarkStart w:id="1" w:name="_Toc150435804"/>
      <w:r>
        <w:t>Glossary of Terms</w:t>
      </w:r>
      <w:bookmarkEnd w:id="1"/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B4EB5" w14:paraId="67E7ABDB" w14:textId="77777777" w:rsidTr="00020839">
        <w:trPr>
          <w:tblHeader/>
        </w:trPr>
        <w:tc>
          <w:tcPr>
            <w:tcW w:w="4508" w:type="dxa"/>
          </w:tcPr>
          <w:p w14:paraId="45083565" w14:textId="76636B44" w:rsidR="000B4EB5" w:rsidRDefault="000B4EB5" w:rsidP="006A5B50">
            <w:r>
              <w:t>EPA</w:t>
            </w:r>
          </w:p>
        </w:tc>
        <w:tc>
          <w:tcPr>
            <w:tcW w:w="4508" w:type="dxa"/>
          </w:tcPr>
          <w:p w14:paraId="66F53463" w14:textId="1575B3E5" w:rsidR="000B4EB5" w:rsidRDefault="000B4EB5" w:rsidP="006A5B50">
            <w:r>
              <w:t>End Point Assessment</w:t>
            </w:r>
          </w:p>
        </w:tc>
      </w:tr>
      <w:tr w:rsidR="000B4EB5" w14:paraId="66A69FB6" w14:textId="77777777" w:rsidTr="000B4EB5">
        <w:tc>
          <w:tcPr>
            <w:tcW w:w="4508" w:type="dxa"/>
          </w:tcPr>
          <w:p w14:paraId="3DB8CDFF" w14:textId="20F54C57" w:rsidR="000B4EB5" w:rsidRDefault="000B4EB5" w:rsidP="006A5B50">
            <w:r>
              <w:t>EPAO</w:t>
            </w:r>
          </w:p>
        </w:tc>
        <w:tc>
          <w:tcPr>
            <w:tcW w:w="4508" w:type="dxa"/>
          </w:tcPr>
          <w:p w14:paraId="75C37684" w14:textId="726EB52C" w:rsidR="000B4EB5" w:rsidRDefault="000B4EB5" w:rsidP="006A5B50">
            <w:r>
              <w:t>End Point Assessment Organisation</w:t>
            </w:r>
          </w:p>
        </w:tc>
      </w:tr>
    </w:tbl>
    <w:p w14:paraId="6103FA19" w14:textId="77777777" w:rsidR="006A5B50" w:rsidRPr="006A5B50" w:rsidRDefault="006A5B50" w:rsidP="006A5B50"/>
    <w:p w14:paraId="709E7F00" w14:textId="2CBF4BBB" w:rsidR="00B86B25" w:rsidRDefault="00B86B25" w:rsidP="00D84C7A">
      <w:pPr>
        <w:pStyle w:val="Heading1"/>
      </w:pPr>
      <w:bookmarkStart w:id="2" w:name="_Toc150435805"/>
      <w:r w:rsidRPr="00D84C7A">
        <w:t>Purpose</w:t>
      </w:r>
      <w:bookmarkEnd w:id="2"/>
      <w:r w:rsidRPr="00D84C7A">
        <w:t xml:space="preserve"> </w:t>
      </w:r>
    </w:p>
    <w:p w14:paraId="1792426A" w14:textId="1D46B3D4" w:rsidR="00066171" w:rsidRPr="00066171" w:rsidRDefault="00066171" w:rsidP="00066171">
      <w:r w:rsidRPr="00066171">
        <w:t xml:space="preserve">The intention of this </w:t>
      </w:r>
      <w:r w:rsidR="00B95731">
        <w:t>guidance</w:t>
      </w:r>
      <w:r w:rsidRPr="00066171">
        <w:t xml:space="preserve"> is to deliver an endpoint assessment which is accessible, fair and without any barriers to entry for every apprentice. </w:t>
      </w:r>
    </w:p>
    <w:p w14:paraId="610A8B43" w14:textId="77777777" w:rsidR="00066171" w:rsidRPr="00066171" w:rsidRDefault="00066171" w:rsidP="00066171">
      <w:r w:rsidRPr="00066171">
        <w:t>All apprentices and potential apprentices should be able to enter and successfully participate in an apprenticeship programme and end-point assessment in pursuit of their learning objectives subject to normal admissions criteria.    </w:t>
      </w:r>
    </w:p>
    <w:p w14:paraId="0AF19706" w14:textId="77777777" w:rsidR="00B86B25" w:rsidRPr="00D84C7A" w:rsidRDefault="00946FA4" w:rsidP="00D84C7A">
      <w:pPr>
        <w:pStyle w:val="Heading1"/>
      </w:pPr>
      <w:bookmarkStart w:id="3" w:name="_Toc150435806"/>
      <w:r>
        <w:t>Guidance</w:t>
      </w:r>
      <w:bookmarkEnd w:id="3"/>
      <w:r w:rsidR="00B86B25" w:rsidRPr="00D84C7A">
        <w:t xml:space="preserve"> </w:t>
      </w:r>
    </w:p>
    <w:p w14:paraId="772BFA39" w14:textId="60C5CBCB" w:rsidR="00324BE1" w:rsidRPr="009633B3" w:rsidRDefault="00324BE1" w:rsidP="009633B3">
      <w:pPr>
        <w:pStyle w:val="Heading2"/>
      </w:pPr>
      <w:bookmarkStart w:id="4" w:name="_Toc150435807"/>
      <w:r w:rsidRPr="009633B3">
        <w:t>Scope</w:t>
      </w:r>
      <w:bookmarkEnd w:id="4"/>
    </w:p>
    <w:p w14:paraId="6E42B623" w14:textId="46C5912F" w:rsidR="007554E1" w:rsidRPr="007554E1" w:rsidRDefault="007554E1" w:rsidP="00397AD3">
      <w:r w:rsidRPr="007554E1">
        <w:t xml:space="preserve">This </w:t>
      </w:r>
      <w:r w:rsidR="00605D31">
        <w:t>guidance</w:t>
      </w:r>
      <w:r w:rsidRPr="007554E1">
        <w:t xml:space="preserve"> covers all staff and contractors involved in or contributing to the support or delivery of apprenticeship end-point assessment </w:t>
      </w:r>
    </w:p>
    <w:p w14:paraId="105241B9" w14:textId="3FFB406F" w:rsidR="007554E1" w:rsidRPr="007554E1" w:rsidRDefault="007554E1" w:rsidP="00397AD3">
      <w:r w:rsidRPr="007554E1">
        <w:t xml:space="preserve">All staff must act to implement this </w:t>
      </w:r>
      <w:r w:rsidR="00C4117C">
        <w:t>guidance and associated policies</w:t>
      </w:r>
      <w:r w:rsidRPr="007554E1">
        <w:t xml:space="preserve"> </w:t>
      </w:r>
      <w:r w:rsidR="00F82871" w:rsidRPr="007554E1">
        <w:t>themselves and</w:t>
      </w:r>
      <w:r w:rsidRPr="007554E1">
        <w:t xml:space="preserve"> intervene where they have evidence that others are contravening. </w:t>
      </w:r>
    </w:p>
    <w:p w14:paraId="36F2EA89" w14:textId="64A8BFAB" w:rsidR="00E21F75" w:rsidRDefault="007554E1" w:rsidP="007146B8">
      <w:r w:rsidRPr="007554E1">
        <w:t xml:space="preserve">Apprenticeship training providers and employers involved in hosting end-point assessment venues must ensure that that they understand the contents of this </w:t>
      </w:r>
      <w:r w:rsidR="007A5C93">
        <w:t xml:space="preserve">guidance </w:t>
      </w:r>
      <w:r w:rsidRPr="007554E1">
        <w:t>and adhere to the principles set out below. </w:t>
      </w:r>
    </w:p>
    <w:p w14:paraId="201C65C9" w14:textId="4E5C4971" w:rsidR="00D84C7A" w:rsidRDefault="00CA3FB6" w:rsidP="009633B3">
      <w:pPr>
        <w:pStyle w:val="Heading2"/>
      </w:pPr>
      <w:bookmarkStart w:id="5" w:name="_Toc150435808"/>
      <w:r>
        <w:t>Accountability</w:t>
      </w:r>
      <w:bookmarkEnd w:id="5"/>
    </w:p>
    <w:p w14:paraId="680D7598" w14:textId="2058D0FB" w:rsidR="00CA3FB6" w:rsidRPr="00CA3FB6" w:rsidRDefault="00CA3FB6" w:rsidP="00CA3FB6">
      <w:r w:rsidRPr="00CA3FB6">
        <w:t xml:space="preserve">This </w:t>
      </w:r>
      <w:r w:rsidR="00F82871">
        <w:t>guidance</w:t>
      </w:r>
      <w:r w:rsidR="00F82871" w:rsidRPr="00CA3FB6">
        <w:t xml:space="preserve"> and</w:t>
      </w:r>
      <w:r w:rsidRPr="00CA3FB6">
        <w:t xml:space="preserve"> acting on the outcomes of fair access monitoring and review or complaints is the responsibility of </w:t>
      </w:r>
      <w:r w:rsidR="000B4EB5">
        <w:t>EPAO Lead.</w:t>
      </w:r>
    </w:p>
    <w:p w14:paraId="67654319" w14:textId="293822CA" w:rsidR="00CA3FB6" w:rsidRPr="00CA3FB6" w:rsidRDefault="00CA3FB6" w:rsidP="00CA3FB6">
      <w:r w:rsidRPr="00CA3FB6">
        <w:t xml:space="preserve">We will include relevant duties and objectives for implementing this fair access </w:t>
      </w:r>
      <w:r w:rsidR="005428DD">
        <w:t xml:space="preserve">guidance </w:t>
      </w:r>
      <w:r w:rsidRPr="00CA3FB6">
        <w:t>into the objectives of all staff involved in the delivery of end-point assessments. </w:t>
      </w:r>
    </w:p>
    <w:p w14:paraId="32CC1217" w14:textId="1DF16573" w:rsidR="00CA3FB6" w:rsidRDefault="00CA3FB6" w:rsidP="00CA3FB6">
      <w:r w:rsidRPr="00CA3FB6">
        <w:t>We will provide relevant training and guidance for staff and contractors for induction and update training to incorporate fair access to all components of the assessment. </w:t>
      </w:r>
    </w:p>
    <w:p w14:paraId="2B49D1B1" w14:textId="466B9FC8" w:rsidR="000F7C25" w:rsidRDefault="007A774C" w:rsidP="00CA3FB6">
      <w:r w:rsidRPr="007A774C">
        <w:lastRenderedPageBreak/>
        <w:t xml:space="preserve">If you do not understand how to apply this </w:t>
      </w:r>
      <w:r w:rsidR="007A5C93">
        <w:t>guidance</w:t>
      </w:r>
      <w:r w:rsidR="00810A62">
        <w:t xml:space="preserve"> and related policies</w:t>
      </w:r>
      <w:r w:rsidRPr="007A774C">
        <w:t xml:space="preserve"> to your work or activity, or you have evidence that others are acting in contravention of his policy you must immediately contact</w:t>
      </w:r>
      <w:r>
        <w:t xml:space="preserve"> the EPAO Lead</w:t>
      </w:r>
      <w:r w:rsidR="007535CC">
        <w:t>.</w:t>
      </w:r>
    </w:p>
    <w:p w14:paraId="361C6E8F" w14:textId="79405E7C" w:rsidR="00FA5AFF" w:rsidRDefault="00FA5AFF" w:rsidP="00CA3FB6">
      <w:r>
        <w:t xml:space="preserve">Contact: </w:t>
      </w:r>
      <w:hyperlink r:id="rId11" w:history="1">
        <w:r w:rsidR="00715D14" w:rsidRPr="00E606B3">
          <w:rPr>
            <w:rStyle w:val="Hyperlink"/>
          </w:rPr>
          <w:t>EPAO@edgehill.ac.uk</w:t>
        </w:r>
      </w:hyperlink>
      <w:r w:rsidR="00715D14">
        <w:t xml:space="preserve"> </w:t>
      </w:r>
    </w:p>
    <w:p w14:paraId="77ACCF39" w14:textId="31FF00E6" w:rsidR="00071F21" w:rsidRPr="00071F21" w:rsidRDefault="00071F21" w:rsidP="00071F21">
      <w:r w:rsidRPr="00071F21">
        <w:t xml:space="preserve">We will, though our data monitoring of equality and diversity throughout </w:t>
      </w:r>
      <w:r w:rsidR="00956B17">
        <w:t xml:space="preserve">the University </w:t>
      </w:r>
      <w:r w:rsidRPr="00071F21">
        <w:t>review our entry, achievement, grading, complaints and satisfaction feedback outcomes to check that all apprentices are achieving equally.  </w:t>
      </w:r>
      <w:r w:rsidRPr="00071F21">
        <w:br/>
        <w:t> </w:t>
      </w:r>
    </w:p>
    <w:p w14:paraId="6392A17E" w14:textId="58F98EC2" w:rsidR="00C750F2" w:rsidRPr="00CA3FB6" w:rsidRDefault="00071F21" w:rsidP="00CA3FB6">
      <w:r w:rsidRPr="00071F21">
        <w:t xml:space="preserve">Monitoring our Fair Access Policy is the responsibility of </w:t>
      </w:r>
      <w:r w:rsidR="007C12F1">
        <w:t xml:space="preserve">EPAO </w:t>
      </w:r>
      <w:r w:rsidR="00DE2B75">
        <w:t xml:space="preserve">Lead </w:t>
      </w:r>
      <w:r w:rsidR="007C12F1">
        <w:t xml:space="preserve">and Faculty Quality </w:t>
      </w:r>
      <w:r w:rsidR="008F7D2C">
        <w:t xml:space="preserve">committee </w:t>
      </w:r>
      <w:r w:rsidRPr="00071F21">
        <w:t>and w</w:t>
      </w:r>
      <w:r w:rsidR="008F7D2C">
        <w:t>ill be reviewed annually</w:t>
      </w:r>
      <w:r w:rsidRPr="00071F21">
        <w:t xml:space="preserve">. Action Plans will be created and </w:t>
      </w:r>
      <w:r w:rsidR="00B95731" w:rsidRPr="00071F21">
        <w:t>implemented and</w:t>
      </w:r>
      <w:r w:rsidRPr="00071F21">
        <w:t xml:space="preserve"> monitored to confirm that all aspects of our end point assessment are delivering equally. </w:t>
      </w:r>
      <w:r w:rsidRPr="00071F21">
        <w:br/>
      </w:r>
    </w:p>
    <w:p w14:paraId="5D06ED30" w14:textId="77777777" w:rsidR="00E21F75" w:rsidRDefault="00E21F75" w:rsidP="00E21F75">
      <w:pPr>
        <w:pStyle w:val="Heading1"/>
      </w:pPr>
      <w:bookmarkStart w:id="6" w:name="_Toc150435809"/>
      <w:r>
        <w:t>Key to Relevant Documents</w:t>
      </w:r>
      <w:bookmarkEnd w:id="6"/>
      <w:r>
        <w:t xml:space="preserve"> </w:t>
      </w:r>
    </w:p>
    <w:p w14:paraId="3269EE74" w14:textId="4307D1C5" w:rsidR="008305FB" w:rsidRDefault="007535CC" w:rsidP="00E17D5E">
      <w:r>
        <w:t xml:space="preserve">This guidance must be considered in accordance with the following </w:t>
      </w:r>
      <w:proofErr w:type="gramStart"/>
      <w:r w:rsidR="0071191D">
        <w:t>documents</w:t>
      </w:r>
      <w:r>
        <w:t>;</w:t>
      </w:r>
      <w:proofErr w:type="gramEnd"/>
      <w:r w:rsidR="00D84C7A">
        <w:t xml:space="preserve"> </w:t>
      </w:r>
    </w:p>
    <w:p w14:paraId="083C6606" w14:textId="77777777" w:rsidR="009633B3" w:rsidRPr="009633B3" w:rsidRDefault="009633B3" w:rsidP="009633B3">
      <w:pPr>
        <w:pStyle w:val="ListParagraph"/>
        <w:numPr>
          <w:ilvl w:val="0"/>
          <w:numId w:val="16"/>
        </w:numPr>
        <w:spacing w:after="120"/>
        <w:ind w:left="284" w:hanging="284"/>
        <w:contextualSpacing w:val="0"/>
      </w:pPr>
      <w:hyperlink r:id="rId12" w:history="1">
        <w:r w:rsidRPr="009633B3">
          <w:rPr>
            <w:rStyle w:val="Hyperlink"/>
            <w:rFonts w:eastAsia="Arial" w:cs="Arial"/>
            <w:szCs w:val="24"/>
          </w:rPr>
          <w:t>Edge Hill University's Equality, Diversity and Inclusion (EDI) Strategy</w:t>
        </w:r>
      </w:hyperlink>
    </w:p>
    <w:p w14:paraId="53265528" w14:textId="77777777" w:rsidR="009633B3" w:rsidRPr="007B6B72" w:rsidRDefault="009633B3" w:rsidP="009633B3">
      <w:pPr>
        <w:pStyle w:val="ListParagraph"/>
        <w:numPr>
          <w:ilvl w:val="0"/>
          <w:numId w:val="16"/>
        </w:numPr>
        <w:spacing w:after="120"/>
        <w:ind w:left="284" w:hanging="284"/>
        <w:contextualSpacing w:val="0"/>
        <w:rPr>
          <w:rStyle w:val="Hyperlink"/>
        </w:rPr>
      </w:pPr>
      <w:r>
        <w:fldChar w:fldCharType="begin"/>
      </w:r>
      <w:r>
        <w:instrText>HYPERLINK "https://www.edgehill.ac.uk/document/whistleblowing-policy/"</w:instrText>
      </w:r>
      <w:r>
        <w:fldChar w:fldCharType="separate"/>
      </w:r>
      <w:r w:rsidRPr="007B6B72">
        <w:rPr>
          <w:rStyle w:val="Hyperlink"/>
        </w:rPr>
        <w:t>Edge Hill University’s Whistleblowing Policy</w:t>
      </w:r>
    </w:p>
    <w:p w14:paraId="10FCB0B5" w14:textId="77777777" w:rsidR="009633B3" w:rsidRPr="009633B3" w:rsidRDefault="009633B3" w:rsidP="009633B3">
      <w:pPr>
        <w:pStyle w:val="ListParagraph"/>
        <w:numPr>
          <w:ilvl w:val="0"/>
          <w:numId w:val="16"/>
        </w:numPr>
        <w:spacing w:after="120"/>
        <w:ind w:left="284" w:hanging="284"/>
        <w:contextualSpacing w:val="0"/>
        <w:rPr>
          <w:rStyle w:val="Hyperlink"/>
          <w:color w:val="auto"/>
          <w:u w:val="none"/>
        </w:rPr>
      </w:pPr>
      <w:r>
        <w:fldChar w:fldCharType="end"/>
      </w:r>
      <w:hyperlink r:id="rId13" w:history="1">
        <w:r w:rsidRPr="007B6B72">
          <w:rPr>
            <w:rStyle w:val="Hyperlink"/>
          </w:rPr>
          <w:t>Edge Hill University’s Assessment Policy</w:t>
        </w:r>
      </w:hyperlink>
    </w:p>
    <w:p w14:paraId="65538A7F" w14:textId="1A5C07D5" w:rsidR="000D23AF" w:rsidRDefault="000D23AF" w:rsidP="009633B3">
      <w:r>
        <w:br w:type="page"/>
      </w:r>
    </w:p>
    <w:p w14:paraId="50F524A5" w14:textId="77777777" w:rsidR="000D23AF" w:rsidRDefault="000D23AF"/>
    <w:p w14:paraId="678BA71B" w14:textId="77777777" w:rsidR="00C625B0" w:rsidRDefault="000D23AF" w:rsidP="00351BCA">
      <w:pPr>
        <w:pStyle w:val="Heading1"/>
      </w:pPr>
      <w:bookmarkStart w:id="7" w:name="_Toc150435810"/>
      <w:proofErr w:type="spellStart"/>
      <w:r w:rsidRPr="000D23AF">
        <w:t>Endmatter</w:t>
      </w:r>
      <w:bookmarkEnd w:id="7"/>
      <w:proofErr w:type="spellEnd"/>
    </w:p>
    <w:p w14:paraId="7396967D" w14:textId="77777777" w:rsidR="006A5B50" w:rsidRPr="006A5B50" w:rsidRDefault="006A5B50" w:rsidP="006A5B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8"/>
        <w:gridCol w:w="6258"/>
      </w:tblGrid>
      <w:tr w:rsidR="000D23AF" w14:paraId="3B322EBC" w14:textId="77777777" w:rsidTr="00020839">
        <w:trPr>
          <w:tblHeader/>
        </w:trPr>
        <w:tc>
          <w:tcPr>
            <w:tcW w:w="2758" w:type="dxa"/>
          </w:tcPr>
          <w:p w14:paraId="731837E3" w14:textId="77777777" w:rsidR="000D23AF" w:rsidRDefault="000D23AF" w:rsidP="0002664D">
            <w:r>
              <w:t>Title</w:t>
            </w:r>
          </w:p>
        </w:tc>
        <w:tc>
          <w:tcPr>
            <w:tcW w:w="6258" w:type="dxa"/>
          </w:tcPr>
          <w:p w14:paraId="0324F0AF" w14:textId="1CF6375D" w:rsidR="000D23AF" w:rsidRDefault="00DE2B75" w:rsidP="0002664D">
            <w:r>
              <w:t>Fair Access Guidance for End Point Assessment (EPA)</w:t>
            </w:r>
          </w:p>
        </w:tc>
      </w:tr>
      <w:tr w:rsidR="000D23AF" w14:paraId="405D5D01" w14:textId="77777777" w:rsidTr="7FF9C595">
        <w:tc>
          <w:tcPr>
            <w:tcW w:w="2758" w:type="dxa"/>
          </w:tcPr>
          <w:p w14:paraId="0F37AEE1" w14:textId="77777777" w:rsidR="000D23AF" w:rsidRDefault="00683E10" w:rsidP="0002664D">
            <w:r>
              <w:t xml:space="preserve">Policy </w:t>
            </w:r>
            <w:r w:rsidR="000D23AF">
              <w:t>Owner</w:t>
            </w:r>
          </w:p>
        </w:tc>
        <w:tc>
          <w:tcPr>
            <w:tcW w:w="6258" w:type="dxa"/>
          </w:tcPr>
          <w:p w14:paraId="663CAA47" w14:textId="0FBE4627" w:rsidR="000D23AF" w:rsidRDefault="00D446E3" w:rsidP="0002664D">
            <w:r>
              <w:t>Denise Dutton</w:t>
            </w:r>
            <w:r w:rsidR="00DE2B75">
              <w:t xml:space="preserve"> EPAO Lead</w:t>
            </w:r>
          </w:p>
        </w:tc>
      </w:tr>
      <w:tr w:rsidR="0002328B" w14:paraId="7F5C90AF" w14:textId="77777777" w:rsidTr="7FF9C595">
        <w:tc>
          <w:tcPr>
            <w:tcW w:w="2758" w:type="dxa"/>
          </w:tcPr>
          <w:p w14:paraId="4B5E536C" w14:textId="09ADBDAC" w:rsidR="0002328B" w:rsidRDefault="0002328B" w:rsidP="0002328B">
            <w:r>
              <w:t>Policy Manager</w:t>
            </w:r>
          </w:p>
        </w:tc>
        <w:tc>
          <w:tcPr>
            <w:tcW w:w="6258" w:type="dxa"/>
          </w:tcPr>
          <w:p w14:paraId="7CB32342" w14:textId="35BD3124" w:rsidR="0002328B" w:rsidRDefault="002C0392" w:rsidP="0002328B">
            <w:r>
              <w:t>Kathryn Drury, Associate Dean</w:t>
            </w:r>
          </w:p>
        </w:tc>
      </w:tr>
      <w:tr w:rsidR="0002328B" w14:paraId="0916D941" w14:textId="77777777" w:rsidTr="7FF9C595">
        <w:tc>
          <w:tcPr>
            <w:tcW w:w="2758" w:type="dxa"/>
          </w:tcPr>
          <w:p w14:paraId="58C5C8D4" w14:textId="77777777" w:rsidR="0002328B" w:rsidRDefault="0002328B" w:rsidP="0002328B">
            <w:r>
              <w:t>Approved by</w:t>
            </w:r>
          </w:p>
        </w:tc>
        <w:tc>
          <w:tcPr>
            <w:tcW w:w="6258" w:type="dxa"/>
          </w:tcPr>
          <w:p w14:paraId="36B64236" w14:textId="20869982" w:rsidR="0002328B" w:rsidRDefault="624B182F" w:rsidP="0002328B">
            <w:r>
              <w:t>FASQEC</w:t>
            </w:r>
          </w:p>
        </w:tc>
      </w:tr>
      <w:tr w:rsidR="0002328B" w14:paraId="57921B9D" w14:textId="77777777" w:rsidTr="7FF9C595">
        <w:tc>
          <w:tcPr>
            <w:tcW w:w="2758" w:type="dxa"/>
          </w:tcPr>
          <w:p w14:paraId="4C99389A" w14:textId="77777777" w:rsidR="0002328B" w:rsidRDefault="0002328B" w:rsidP="0002328B">
            <w:r>
              <w:t>Date of Approval</w:t>
            </w:r>
          </w:p>
        </w:tc>
        <w:tc>
          <w:tcPr>
            <w:tcW w:w="6258" w:type="dxa"/>
          </w:tcPr>
          <w:p w14:paraId="2D1D494F" w14:textId="5405C5BC" w:rsidR="0002328B" w:rsidRDefault="60A86EFC" w:rsidP="0002328B">
            <w:r>
              <w:t>22/5/24</w:t>
            </w:r>
          </w:p>
        </w:tc>
      </w:tr>
      <w:tr w:rsidR="0002328B" w14:paraId="6975B123" w14:textId="77777777" w:rsidTr="7FF9C595">
        <w:tc>
          <w:tcPr>
            <w:tcW w:w="2758" w:type="dxa"/>
          </w:tcPr>
          <w:p w14:paraId="1B3A2D8E" w14:textId="77777777" w:rsidR="0002328B" w:rsidRDefault="0002328B" w:rsidP="0002328B">
            <w:r>
              <w:t xml:space="preserve">Date for Review </w:t>
            </w:r>
          </w:p>
        </w:tc>
        <w:tc>
          <w:tcPr>
            <w:tcW w:w="6258" w:type="dxa"/>
          </w:tcPr>
          <w:p w14:paraId="21F25A0F" w14:textId="7F0EAD7A" w:rsidR="0002328B" w:rsidRDefault="38132EFE" w:rsidP="0002328B">
            <w:r>
              <w:t>May 25</w:t>
            </w:r>
          </w:p>
        </w:tc>
      </w:tr>
    </w:tbl>
    <w:p w14:paraId="631974B0" w14:textId="77777777" w:rsidR="00C625B0" w:rsidRDefault="00C625B0" w:rsidP="006A5B50"/>
    <w:sectPr w:rsidR="00C625B0" w:rsidSect="006A5B50">
      <w:footerReference w:type="default" r:id="rId14"/>
      <w:footerReference w:type="first" r:id="rId15"/>
      <w:pgSz w:w="11906" w:h="16838"/>
      <w:pgMar w:top="1440" w:right="1440" w:bottom="1440" w:left="1440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2F1EF" w14:textId="77777777" w:rsidR="004B19DB" w:rsidRDefault="004B19DB" w:rsidP="006A5B50">
      <w:pPr>
        <w:spacing w:after="0" w:line="240" w:lineRule="auto"/>
      </w:pPr>
      <w:r>
        <w:separator/>
      </w:r>
    </w:p>
  </w:endnote>
  <w:endnote w:type="continuationSeparator" w:id="0">
    <w:p w14:paraId="2E46A60C" w14:textId="77777777" w:rsidR="004B19DB" w:rsidRDefault="004B19DB" w:rsidP="006A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61159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AAE60D" w14:textId="77777777" w:rsidR="007F06C7" w:rsidRDefault="007F06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6FA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148413C" w14:textId="77777777" w:rsidR="006A5B50" w:rsidRDefault="006A5B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828E4" w14:textId="77777777" w:rsidR="006A5B50" w:rsidRDefault="006A5B50" w:rsidP="007F06C7">
    <w:pPr>
      <w:pStyle w:val="Footer"/>
      <w:tabs>
        <w:tab w:val="clear" w:pos="4513"/>
        <w:tab w:val="clear" w:pos="9026"/>
        <w:tab w:val="left" w:pos="1155"/>
      </w:tabs>
      <w:jc w:val="right"/>
    </w:pPr>
    <w:r>
      <w:tab/>
    </w:r>
    <w:r>
      <w:rPr>
        <w:noProof/>
        <w:lang w:eastAsia="en-GB"/>
      </w:rPr>
      <w:drawing>
        <wp:inline distT="0" distB="0" distL="0" distR="0" wp14:anchorId="16BAF5AF" wp14:editId="1D6FFFE3">
          <wp:extent cx="1832968" cy="238249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rest Logo Ma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5654" cy="2411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1A8F4" w14:textId="77777777" w:rsidR="004B19DB" w:rsidRDefault="004B19DB" w:rsidP="006A5B50">
      <w:pPr>
        <w:spacing w:after="0" w:line="240" w:lineRule="auto"/>
      </w:pPr>
      <w:r>
        <w:separator/>
      </w:r>
    </w:p>
  </w:footnote>
  <w:footnote w:type="continuationSeparator" w:id="0">
    <w:p w14:paraId="7850FC25" w14:textId="77777777" w:rsidR="004B19DB" w:rsidRDefault="004B19DB" w:rsidP="006A5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75E24"/>
    <w:multiLevelType w:val="hybridMultilevel"/>
    <w:tmpl w:val="0D444F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37D07"/>
    <w:multiLevelType w:val="multilevel"/>
    <w:tmpl w:val="B0F40C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8C19EE"/>
    <w:multiLevelType w:val="multilevel"/>
    <w:tmpl w:val="0E0E87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5205D7"/>
    <w:multiLevelType w:val="multilevel"/>
    <w:tmpl w:val="820459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3F0CA5"/>
    <w:multiLevelType w:val="multilevel"/>
    <w:tmpl w:val="7AFECB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6A38ED"/>
    <w:multiLevelType w:val="multilevel"/>
    <w:tmpl w:val="353478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3C7CA2"/>
    <w:multiLevelType w:val="multilevel"/>
    <w:tmpl w:val="3D9E4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B063C1"/>
    <w:multiLevelType w:val="multilevel"/>
    <w:tmpl w:val="7F1A99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CE40C9"/>
    <w:multiLevelType w:val="hybridMultilevel"/>
    <w:tmpl w:val="FBDE1EF4"/>
    <w:lvl w:ilvl="0" w:tplc="DA3CD5BE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F094D"/>
    <w:multiLevelType w:val="hybridMultilevel"/>
    <w:tmpl w:val="71D44C36"/>
    <w:lvl w:ilvl="0" w:tplc="1644B814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 w15:restartNumberingAfterBreak="0">
    <w:nsid w:val="54A57725"/>
    <w:multiLevelType w:val="hybridMultilevel"/>
    <w:tmpl w:val="6430FBC0"/>
    <w:lvl w:ilvl="0" w:tplc="A28C6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C0396"/>
    <w:multiLevelType w:val="multilevel"/>
    <w:tmpl w:val="7164A20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BC30CA5"/>
    <w:multiLevelType w:val="multilevel"/>
    <w:tmpl w:val="8E3406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142312"/>
    <w:multiLevelType w:val="hybridMultilevel"/>
    <w:tmpl w:val="1AA20C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77A36"/>
    <w:multiLevelType w:val="multilevel"/>
    <w:tmpl w:val="791824D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7841FD"/>
    <w:multiLevelType w:val="multilevel"/>
    <w:tmpl w:val="7CEABD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F339C9"/>
    <w:multiLevelType w:val="multilevel"/>
    <w:tmpl w:val="16365C7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7713369">
    <w:abstractNumId w:val="0"/>
  </w:num>
  <w:num w:numId="2" w16cid:durableId="236593187">
    <w:abstractNumId w:val="11"/>
  </w:num>
  <w:num w:numId="3" w16cid:durableId="1791783423">
    <w:abstractNumId w:val="13"/>
  </w:num>
  <w:num w:numId="4" w16cid:durableId="885524439">
    <w:abstractNumId w:val="6"/>
  </w:num>
  <w:num w:numId="5" w16cid:durableId="2101415305">
    <w:abstractNumId w:val="2"/>
  </w:num>
  <w:num w:numId="6" w16cid:durableId="2055688770">
    <w:abstractNumId w:val="4"/>
  </w:num>
  <w:num w:numId="7" w16cid:durableId="588857343">
    <w:abstractNumId w:val="8"/>
  </w:num>
  <w:num w:numId="8" w16cid:durableId="1877086371">
    <w:abstractNumId w:val="12"/>
  </w:num>
  <w:num w:numId="9" w16cid:durableId="1866670289">
    <w:abstractNumId w:val="5"/>
  </w:num>
  <w:num w:numId="10" w16cid:durableId="449130754">
    <w:abstractNumId w:val="15"/>
  </w:num>
  <w:num w:numId="11" w16cid:durableId="998969806">
    <w:abstractNumId w:val="3"/>
  </w:num>
  <w:num w:numId="12" w16cid:durableId="845826811">
    <w:abstractNumId w:val="7"/>
  </w:num>
  <w:num w:numId="13" w16cid:durableId="1152454392">
    <w:abstractNumId w:val="14"/>
  </w:num>
  <w:num w:numId="14" w16cid:durableId="2129157786">
    <w:abstractNumId w:val="1"/>
  </w:num>
  <w:num w:numId="15" w16cid:durableId="277105332">
    <w:abstractNumId w:val="16"/>
  </w:num>
  <w:num w:numId="16" w16cid:durableId="698702021">
    <w:abstractNumId w:val="10"/>
  </w:num>
  <w:num w:numId="17" w16cid:durableId="3016641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5B0"/>
    <w:rsid w:val="00020839"/>
    <w:rsid w:val="0002328B"/>
    <w:rsid w:val="00066171"/>
    <w:rsid w:val="00071F21"/>
    <w:rsid w:val="000B4EB5"/>
    <w:rsid w:val="000C16C1"/>
    <w:rsid w:val="000C174E"/>
    <w:rsid w:val="000D23AF"/>
    <w:rsid w:val="000F3143"/>
    <w:rsid w:val="000F7C25"/>
    <w:rsid w:val="001005E0"/>
    <w:rsid w:val="0011421B"/>
    <w:rsid w:val="001722B8"/>
    <w:rsid w:val="001E33A8"/>
    <w:rsid w:val="0024639F"/>
    <w:rsid w:val="0029043F"/>
    <w:rsid w:val="002C0392"/>
    <w:rsid w:val="00324BE1"/>
    <w:rsid w:val="00351BCA"/>
    <w:rsid w:val="00397AD3"/>
    <w:rsid w:val="003A2CDB"/>
    <w:rsid w:val="004B19DB"/>
    <w:rsid w:val="005428DD"/>
    <w:rsid w:val="0057275A"/>
    <w:rsid w:val="00605D31"/>
    <w:rsid w:val="00683E10"/>
    <w:rsid w:val="006A5B50"/>
    <w:rsid w:val="0071191D"/>
    <w:rsid w:val="007146B8"/>
    <w:rsid w:val="00715D14"/>
    <w:rsid w:val="00722685"/>
    <w:rsid w:val="00745DC4"/>
    <w:rsid w:val="007535CC"/>
    <w:rsid w:val="007554E1"/>
    <w:rsid w:val="00783C86"/>
    <w:rsid w:val="007A5C93"/>
    <w:rsid w:val="007A774C"/>
    <w:rsid w:val="007C12F1"/>
    <w:rsid w:val="007F06C7"/>
    <w:rsid w:val="00810A62"/>
    <w:rsid w:val="008305FB"/>
    <w:rsid w:val="008A51CF"/>
    <w:rsid w:val="008D057E"/>
    <w:rsid w:val="008F7D2C"/>
    <w:rsid w:val="00946FA4"/>
    <w:rsid w:val="00953EC2"/>
    <w:rsid w:val="00956B17"/>
    <w:rsid w:val="009633B3"/>
    <w:rsid w:val="00971F84"/>
    <w:rsid w:val="00A51DF5"/>
    <w:rsid w:val="00A73C4D"/>
    <w:rsid w:val="00B44135"/>
    <w:rsid w:val="00B86B25"/>
    <w:rsid w:val="00B95731"/>
    <w:rsid w:val="00C2739B"/>
    <w:rsid w:val="00C4117C"/>
    <w:rsid w:val="00C625B0"/>
    <w:rsid w:val="00C750F2"/>
    <w:rsid w:val="00CA3FB6"/>
    <w:rsid w:val="00CF75EE"/>
    <w:rsid w:val="00D43C49"/>
    <w:rsid w:val="00D446E3"/>
    <w:rsid w:val="00D84C7A"/>
    <w:rsid w:val="00D872A1"/>
    <w:rsid w:val="00DE2B75"/>
    <w:rsid w:val="00E17D5E"/>
    <w:rsid w:val="00E21F75"/>
    <w:rsid w:val="00EF6E18"/>
    <w:rsid w:val="00F82871"/>
    <w:rsid w:val="00FA5AFF"/>
    <w:rsid w:val="00FC2B40"/>
    <w:rsid w:val="38132EFE"/>
    <w:rsid w:val="5A0489BB"/>
    <w:rsid w:val="60A86EFC"/>
    <w:rsid w:val="624B182F"/>
    <w:rsid w:val="7FF9C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11F85A"/>
  <w15:chartTrackingRefBased/>
  <w15:docId w15:val="{2A15133F-20AB-481E-99EA-F15B6166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143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33B3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color w:val="5F005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33B3"/>
    <w:pPr>
      <w:keepNext/>
      <w:keepLines/>
      <w:numPr>
        <w:numId w:val="7"/>
      </w:numPr>
      <w:spacing w:before="40" w:after="120"/>
      <w:ind w:left="284" w:hanging="284"/>
      <w:outlineLvl w:val="1"/>
    </w:pPr>
    <w:rPr>
      <w:rFonts w:asciiTheme="majorHAnsi" w:eastAsiaTheme="majorEastAsia" w:hAnsiTheme="majorHAnsi" w:cstheme="majorBidi"/>
      <w:color w:val="5F005F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C62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633B3"/>
    <w:rPr>
      <w:rFonts w:asciiTheme="majorHAnsi" w:eastAsiaTheme="majorEastAsia" w:hAnsiTheme="majorHAnsi" w:cstheme="majorBidi"/>
      <w:color w:val="5F005F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633B3"/>
    <w:rPr>
      <w:rFonts w:asciiTheme="majorHAnsi" w:eastAsiaTheme="majorEastAsia" w:hAnsiTheme="majorHAnsi" w:cstheme="majorBidi"/>
      <w:color w:val="5F005F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D84C7A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51BCA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51BC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51BCA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351BCA"/>
    <w:rPr>
      <w:color w:val="80008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5B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B50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6A5B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B50"/>
    <w:rPr>
      <w:rFonts w:ascii="Arial" w:hAnsi="Arial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15D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8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5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gehill.ac.uk/document/assessment-policy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dgehill.ac.uk/document/equality-diversity-and-inclusion-edi-strategy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PAO@edgehill.ac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Strategy custom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800080"/>
      </a:accent1>
      <a:accent2>
        <a:srgbClr val="800080"/>
      </a:accent2>
      <a:accent3>
        <a:srgbClr val="800080"/>
      </a:accent3>
      <a:accent4>
        <a:srgbClr val="800080"/>
      </a:accent4>
      <a:accent5>
        <a:srgbClr val="800080"/>
      </a:accent5>
      <a:accent6>
        <a:srgbClr val="800080"/>
      </a:accent6>
      <a:hlink>
        <a:srgbClr val="800080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1CD851D0803744BBE642EF384963DA" ma:contentTypeVersion="11" ma:contentTypeDescription="Create a new document." ma:contentTypeScope="" ma:versionID="98def3c7c1477bcdbfca4de91745e628">
  <xsd:schema xmlns:xsd="http://www.w3.org/2001/XMLSchema" xmlns:xs="http://www.w3.org/2001/XMLSchema" xmlns:p="http://schemas.microsoft.com/office/2006/metadata/properties" xmlns:ns3="0291c3ec-3bf1-4d3b-a80c-cf37f9a2e1b0" xmlns:ns4="cee71fe0-d503-48e6-aaea-a706d2e8ac6e" targetNamespace="http://schemas.microsoft.com/office/2006/metadata/properties" ma:root="true" ma:fieldsID="79ed30e8c90df621bde4a353736d9ad3" ns3:_="" ns4:_="">
    <xsd:import namespace="0291c3ec-3bf1-4d3b-a80c-cf37f9a2e1b0"/>
    <xsd:import namespace="cee71fe0-d503-48e6-aaea-a706d2e8ac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1c3ec-3bf1-4d3b-a80c-cf37f9a2e1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71fe0-d503-48e6-aaea-a706d2e8ac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24050-D7B7-4ECD-A36B-9E74233D7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91c3ec-3bf1-4d3b-a80c-cf37f9a2e1b0"/>
    <ds:schemaRef ds:uri="cee71fe0-d503-48e6-aaea-a706d2e8ac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AB6DB6-357C-48EA-96BC-FB63FDD3C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1237AD-745A-4619-B4F8-90629718C8B8}">
  <ds:schemaRefs>
    <ds:schemaRef ds:uri="http://schemas.openxmlformats.org/package/2006/metadata/core-properties"/>
    <ds:schemaRef ds:uri="cee71fe0-d503-48e6-aaea-a706d2e8ac6e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0291c3ec-3bf1-4d3b-a80c-cf37f9a2e1b0"/>
  </ds:schemaRefs>
</ds:datastoreItem>
</file>

<file path=customXml/itemProps4.xml><?xml version="1.0" encoding="utf-8"?>
<ds:datastoreItem xmlns:ds="http://schemas.openxmlformats.org/officeDocument/2006/customXml" ds:itemID="{A119EB77-C918-418E-A079-26F8D3612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601</Words>
  <Characters>3432</Characters>
  <Application>Microsoft Office Word</Application>
  <DocSecurity>0</DocSecurity>
  <Lines>28</Lines>
  <Paragraphs>8</Paragraphs>
  <ScaleCrop>false</ScaleCrop>
  <Company>Edge Hill University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Fair Access Guidance for End Point Assessment (EPA) 23-24</dc:title>
  <dc:subject/>
  <dc:creator>Roy Bayfield</dc:creator>
  <cp:keywords/>
  <dc:description/>
  <cp:lastModifiedBy>Lauren Bolton</cp:lastModifiedBy>
  <cp:revision>21</cp:revision>
  <dcterms:created xsi:type="dcterms:W3CDTF">2022-10-21T14:18:00Z</dcterms:created>
  <dcterms:modified xsi:type="dcterms:W3CDTF">2025-04-17T10:32:00Z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0x010100E01CD851D0803744BBE642EF384963DA</vt:lpwstr>
  </property>
</Properties>
</file>