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Description w:val="Heading - Employability Strategy 2025-2030"/>
      </w:tblPr>
      <w:tblGrid>
        <w:gridCol w:w="8966"/>
      </w:tblGrid>
      <w:tr w:rsidR="000D23AF" w14:paraId="4E5B8D72" w14:textId="77777777" w:rsidTr="0044086D">
        <w:trPr>
          <w:tblHeader/>
        </w:trPr>
        <w:tc>
          <w:tcPr>
            <w:tcW w:w="8966" w:type="dxa"/>
          </w:tcPr>
          <w:p w14:paraId="498CFCFA" w14:textId="15353861" w:rsidR="000D23AF" w:rsidRPr="007F06C7" w:rsidRDefault="00716B2C" w:rsidP="008233FC">
            <w:pPr>
              <w:pStyle w:val="NoSpacing"/>
              <w:rPr>
                <w:rFonts w:ascii="Georgia" w:hAnsi="Georgia"/>
                <w:sz w:val="96"/>
              </w:rPr>
            </w:pPr>
            <w:r>
              <w:rPr>
                <w:rFonts w:ascii="Georgia" w:hAnsi="Georgia"/>
                <w:sz w:val="96"/>
              </w:rPr>
              <w:t>Employability Strategy</w:t>
            </w:r>
          </w:p>
          <w:p w14:paraId="40D1DEC2" w14:textId="77777777" w:rsidR="000D23AF" w:rsidRPr="00C625B0" w:rsidRDefault="000D23AF" w:rsidP="008233FC">
            <w:pPr>
              <w:pStyle w:val="NoSpacing"/>
              <w:rPr>
                <w:rFonts w:ascii="Georgia" w:hAnsi="Georgia"/>
              </w:rPr>
            </w:pPr>
          </w:p>
        </w:tc>
      </w:tr>
      <w:tr w:rsidR="000D23AF" w14:paraId="4CBEAAD7" w14:textId="77777777" w:rsidTr="002F5862">
        <w:tc>
          <w:tcPr>
            <w:tcW w:w="8966" w:type="dxa"/>
            <w:shd w:val="clear" w:color="auto" w:fill="7030A0"/>
          </w:tcPr>
          <w:p w14:paraId="294E2781" w14:textId="77777777" w:rsidR="000D23AF" w:rsidRDefault="000D23AF" w:rsidP="008233FC">
            <w:pPr>
              <w:pStyle w:val="NoSpacing"/>
            </w:pPr>
          </w:p>
          <w:p w14:paraId="364E5894" w14:textId="7BE5EE48" w:rsidR="000D23AF" w:rsidRPr="00C625B0" w:rsidRDefault="00716B2C" w:rsidP="008233FC">
            <w:pPr>
              <w:pStyle w:val="NoSpacing"/>
              <w:rPr>
                <w:b/>
                <w:color w:val="FFFFFF" w:themeColor="background1"/>
              </w:rPr>
            </w:pPr>
            <w:r>
              <w:rPr>
                <w:b/>
                <w:color w:val="FFFFFF" w:themeColor="background1"/>
              </w:rPr>
              <w:t>2025-2030</w:t>
            </w:r>
          </w:p>
          <w:p w14:paraId="76A90200" w14:textId="77777777" w:rsidR="000D23AF" w:rsidRDefault="000D23AF" w:rsidP="008233FC">
            <w:pPr>
              <w:pStyle w:val="NoSpacing"/>
            </w:pPr>
          </w:p>
        </w:tc>
      </w:tr>
    </w:tbl>
    <w:p w14:paraId="49ACE939" w14:textId="77777777" w:rsidR="00C625B0" w:rsidRDefault="00C625B0" w:rsidP="00722685">
      <w:pPr>
        <w:pStyle w:val="NoSpacing"/>
      </w:pPr>
    </w:p>
    <w:p w14:paraId="097C17DC" w14:textId="77777777" w:rsidR="00C625B0" w:rsidRDefault="00C625B0" w:rsidP="00722685">
      <w:pPr>
        <w:pStyle w:val="NoSpacing"/>
      </w:pPr>
    </w:p>
    <w:p w14:paraId="78AC18D4" w14:textId="77777777" w:rsidR="00C625B0" w:rsidRDefault="00C625B0" w:rsidP="00722685">
      <w:pPr>
        <w:pStyle w:val="NoSpacing"/>
      </w:pPr>
    </w:p>
    <w:p w14:paraId="7D4168E9" w14:textId="77777777" w:rsidR="00C625B0" w:rsidRDefault="00C625B0" w:rsidP="00722685">
      <w:pPr>
        <w:pStyle w:val="NoSpacing"/>
      </w:pPr>
    </w:p>
    <w:p w14:paraId="5162A210" w14:textId="77777777" w:rsidR="00C625B0" w:rsidRDefault="00C625B0" w:rsidP="00722685">
      <w:pPr>
        <w:pStyle w:val="NoSpacing"/>
      </w:pPr>
    </w:p>
    <w:p w14:paraId="4FF01D8C" w14:textId="77777777" w:rsidR="00C625B0" w:rsidRDefault="00C625B0" w:rsidP="00722685">
      <w:pPr>
        <w:pStyle w:val="NoSpacing"/>
      </w:pPr>
    </w:p>
    <w:p w14:paraId="49AA669D" w14:textId="77777777" w:rsidR="00C625B0" w:rsidRDefault="00C625B0" w:rsidP="00722685">
      <w:pPr>
        <w:pStyle w:val="NoSpacing"/>
      </w:pPr>
    </w:p>
    <w:p w14:paraId="292F7E50" w14:textId="77777777" w:rsidR="00C625B0" w:rsidRDefault="00C625B0" w:rsidP="00722685">
      <w:pPr>
        <w:pStyle w:val="NoSpacing"/>
      </w:pPr>
    </w:p>
    <w:p w14:paraId="1E0D7E68" w14:textId="77777777" w:rsidR="00C625B0" w:rsidRDefault="00C625B0" w:rsidP="00722685">
      <w:pPr>
        <w:pStyle w:val="NoSpacing"/>
      </w:pPr>
    </w:p>
    <w:p w14:paraId="06B7303B" w14:textId="77777777" w:rsidR="00C625B0" w:rsidRDefault="00C625B0" w:rsidP="00722685">
      <w:pPr>
        <w:pStyle w:val="NoSpacing"/>
      </w:pPr>
    </w:p>
    <w:p w14:paraId="3CC1EFBF" w14:textId="77777777" w:rsidR="000D23AF" w:rsidRDefault="000D23AF" w:rsidP="00722685">
      <w:pPr>
        <w:pStyle w:val="NoSpacing"/>
      </w:pPr>
    </w:p>
    <w:p w14:paraId="77174195" w14:textId="77777777" w:rsidR="00C625B0" w:rsidRDefault="00C625B0" w:rsidP="00722685">
      <w:pPr>
        <w:pStyle w:val="NoSpacing"/>
      </w:pPr>
    </w:p>
    <w:p w14:paraId="523BF11B" w14:textId="77777777" w:rsidR="00C625B0" w:rsidRDefault="00C625B0" w:rsidP="00C625B0">
      <w:pPr>
        <w:pStyle w:val="NoSpacing"/>
        <w:jc w:val="right"/>
      </w:pPr>
    </w:p>
    <w:p w14:paraId="609D7BF0" w14:textId="77777777" w:rsidR="006A5B50" w:rsidRDefault="006A5B50">
      <w:pPr>
        <w:rPr>
          <w:b/>
          <w:sz w:val="36"/>
        </w:rPr>
      </w:pPr>
      <w:r>
        <w:rPr>
          <w:b/>
          <w:sz w:val="36"/>
        </w:rPr>
        <w:br w:type="page"/>
      </w:r>
    </w:p>
    <w:p w14:paraId="14A88BF1" w14:textId="5FCDF920" w:rsidR="00C625B0" w:rsidRPr="00C625B0" w:rsidRDefault="00672F75">
      <w:pPr>
        <w:rPr>
          <w:b/>
          <w:sz w:val="36"/>
        </w:rPr>
      </w:pPr>
      <w:r>
        <w:rPr>
          <w:b/>
          <w:sz w:val="36"/>
        </w:rPr>
        <w:lastRenderedPageBreak/>
        <w:t>Employability Strategy</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1A9B01FD" w14:textId="77777777" w:rsidR="00351BCA" w:rsidRDefault="00351BCA">
          <w:pPr>
            <w:pStyle w:val="TOCHeading"/>
          </w:pPr>
          <w:r>
            <w:t>Contents</w:t>
          </w:r>
        </w:p>
        <w:p w14:paraId="56E7DD4E" w14:textId="1F40954D" w:rsidR="00BC69E2" w:rsidRDefault="00351BCA">
          <w:pPr>
            <w:pStyle w:val="TOC1"/>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92683410" w:history="1">
            <w:r w:rsidR="00BC69E2" w:rsidRPr="008B5B13">
              <w:rPr>
                <w:rStyle w:val="Hyperlink"/>
                <w:noProof/>
              </w:rPr>
              <w:t>Glossary of Terms</w:t>
            </w:r>
            <w:r w:rsidR="00BC69E2">
              <w:rPr>
                <w:noProof/>
                <w:webHidden/>
              </w:rPr>
              <w:tab/>
            </w:r>
            <w:r w:rsidR="00BC69E2">
              <w:rPr>
                <w:noProof/>
                <w:webHidden/>
              </w:rPr>
              <w:fldChar w:fldCharType="begin"/>
            </w:r>
            <w:r w:rsidR="00BC69E2">
              <w:rPr>
                <w:noProof/>
                <w:webHidden/>
              </w:rPr>
              <w:instrText xml:space="preserve"> PAGEREF _Toc192683410 \h </w:instrText>
            </w:r>
            <w:r w:rsidR="00BC69E2">
              <w:rPr>
                <w:noProof/>
                <w:webHidden/>
              </w:rPr>
            </w:r>
            <w:r w:rsidR="00BC69E2">
              <w:rPr>
                <w:noProof/>
                <w:webHidden/>
              </w:rPr>
              <w:fldChar w:fldCharType="separate"/>
            </w:r>
            <w:r w:rsidR="00BC69E2">
              <w:rPr>
                <w:noProof/>
                <w:webHidden/>
              </w:rPr>
              <w:t>3</w:t>
            </w:r>
            <w:r w:rsidR="00BC69E2">
              <w:rPr>
                <w:noProof/>
                <w:webHidden/>
              </w:rPr>
              <w:fldChar w:fldCharType="end"/>
            </w:r>
          </w:hyperlink>
        </w:p>
        <w:p w14:paraId="1821D520" w14:textId="5F1F3B96" w:rsidR="00BC69E2" w:rsidRDefault="00BC69E2">
          <w:pPr>
            <w:pStyle w:val="TOC1"/>
            <w:rPr>
              <w:rFonts w:asciiTheme="minorHAnsi" w:eastAsiaTheme="minorEastAsia" w:hAnsiTheme="minorHAnsi"/>
              <w:noProof/>
              <w:kern w:val="2"/>
              <w:szCs w:val="24"/>
              <w:lang w:eastAsia="en-GB"/>
              <w14:ligatures w14:val="standardContextual"/>
            </w:rPr>
          </w:pPr>
          <w:hyperlink w:anchor="_Toc192683411" w:history="1">
            <w:r w:rsidRPr="008B5B13">
              <w:rPr>
                <w:rStyle w:val="Hyperlink"/>
                <w:noProof/>
              </w:rPr>
              <w:t>Strategy</w:t>
            </w:r>
            <w:r>
              <w:rPr>
                <w:noProof/>
                <w:webHidden/>
              </w:rPr>
              <w:tab/>
            </w:r>
            <w:r>
              <w:rPr>
                <w:noProof/>
                <w:webHidden/>
              </w:rPr>
              <w:fldChar w:fldCharType="begin"/>
            </w:r>
            <w:r>
              <w:rPr>
                <w:noProof/>
                <w:webHidden/>
              </w:rPr>
              <w:instrText xml:space="preserve"> PAGEREF _Toc192683411 \h </w:instrText>
            </w:r>
            <w:r>
              <w:rPr>
                <w:noProof/>
                <w:webHidden/>
              </w:rPr>
            </w:r>
            <w:r>
              <w:rPr>
                <w:noProof/>
                <w:webHidden/>
              </w:rPr>
              <w:fldChar w:fldCharType="separate"/>
            </w:r>
            <w:r>
              <w:rPr>
                <w:noProof/>
                <w:webHidden/>
              </w:rPr>
              <w:t>4</w:t>
            </w:r>
            <w:r>
              <w:rPr>
                <w:noProof/>
                <w:webHidden/>
              </w:rPr>
              <w:fldChar w:fldCharType="end"/>
            </w:r>
          </w:hyperlink>
        </w:p>
        <w:p w14:paraId="64F9F3A8" w14:textId="794473AF"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2" w:history="1">
            <w:r w:rsidRPr="008B5B13">
              <w:rPr>
                <w:rStyle w:val="Hyperlink"/>
                <w:noProof/>
              </w:rPr>
              <w:t>1.</w:t>
            </w:r>
            <w:r>
              <w:rPr>
                <w:rFonts w:asciiTheme="minorHAnsi" w:eastAsiaTheme="minorEastAsia" w:hAnsiTheme="minorHAnsi"/>
                <w:noProof/>
                <w:kern w:val="2"/>
                <w:szCs w:val="24"/>
                <w:lang w:eastAsia="en-GB"/>
                <w14:ligatures w14:val="standardContextual"/>
              </w:rPr>
              <w:tab/>
            </w:r>
            <w:r w:rsidRPr="008B5B13">
              <w:rPr>
                <w:rStyle w:val="Hyperlink"/>
                <w:noProof/>
              </w:rPr>
              <w:t>Consultation</w:t>
            </w:r>
            <w:r>
              <w:rPr>
                <w:noProof/>
                <w:webHidden/>
              </w:rPr>
              <w:tab/>
            </w:r>
            <w:r>
              <w:rPr>
                <w:noProof/>
                <w:webHidden/>
              </w:rPr>
              <w:fldChar w:fldCharType="begin"/>
            </w:r>
            <w:r>
              <w:rPr>
                <w:noProof/>
                <w:webHidden/>
              </w:rPr>
              <w:instrText xml:space="preserve"> PAGEREF _Toc192683412 \h </w:instrText>
            </w:r>
            <w:r>
              <w:rPr>
                <w:noProof/>
                <w:webHidden/>
              </w:rPr>
            </w:r>
            <w:r>
              <w:rPr>
                <w:noProof/>
                <w:webHidden/>
              </w:rPr>
              <w:fldChar w:fldCharType="separate"/>
            </w:r>
            <w:r>
              <w:rPr>
                <w:noProof/>
                <w:webHidden/>
              </w:rPr>
              <w:t>4</w:t>
            </w:r>
            <w:r>
              <w:rPr>
                <w:noProof/>
                <w:webHidden/>
              </w:rPr>
              <w:fldChar w:fldCharType="end"/>
            </w:r>
          </w:hyperlink>
        </w:p>
        <w:p w14:paraId="6405555C" w14:textId="29AFD124"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3" w:history="1">
            <w:r w:rsidRPr="008B5B13">
              <w:rPr>
                <w:rStyle w:val="Hyperlink"/>
                <w:noProof/>
              </w:rPr>
              <w:t>2.</w:t>
            </w:r>
            <w:r>
              <w:rPr>
                <w:rFonts w:asciiTheme="minorHAnsi" w:eastAsiaTheme="minorEastAsia" w:hAnsiTheme="minorHAnsi"/>
                <w:noProof/>
                <w:kern w:val="2"/>
                <w:szCs w:val="24"/>
                <w:lang w:eastAsia="en-GB"/>
                <w14:ligatures w14:val="standardContextual"/>
              </w:rPr>
              <w:tab/>
            </w:r>
            <w:r w:rsidRPr="008B5B13">
              <w:rPr>
                <w:rStyle w:val="Hyperlink"/>
                <w:noProof/>
              </w:rPr>
              <w:t>Introduction</w:t>
            </w:r>
            <w:r>
              <w:rPr>
                <w:noProof/>
                <w:webHidden/>
              </w:rPr>
              <w:tab/>
            </w:r>
            <w:r>
              <w:rPr>
                <w:noProof/>
                <w:webHidden/>
              </w:rPr>
              <w:fldChar w:fldCharType="begin"/>
            </w:r>
            <w:r>
              <w:rPr>
                <w:noProof/>
                <w:webHidden/>
              </w:rPr>
              <w:instrText xml:space="preserve"> PAGEREF _Toc192683413 \h </w:instrText>
            </w:r>
            <w:r>
              <w:rPr>
                <w:noProof/>
                <w:webHidden/>
              </w:rPr>
            </w:r>
            <w:r>
              <w:rPr>
                <w:noProof/>
                <w:webHidden/>
              </w:rPr>
              <w:fldChar w:fldCharType="separate"/>
            </w:r>
            <w:r>
              <w:rPr>
                <w:noProof/>
                <w:webHidden/>
              </w:rPr>
              <w:t>4</w:t>
            </w:r>
            <w:r>
              <w:rPr>
                <w:noProof/>
                <w:webHidden/>
              </w:rPr>
              <w:fldChar w:fldCharType="end"/>
            </w:r>
          </w:hyperlink>
        </w:p>
        <w:p w14:paraId="3BA8A8C0" w14:textId="4A3C8C1F"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4" w:history="1">
            <w:r w:rsidRPr="008B5B13">
              <w:rPr>
                <w:rStyle w:val="Hyperlink"/>
                <w:noProof/>
              </w:rPr>
              <w:t>3.</w:t>
            </w:r>
            <w:r>
              <w:rPr>
                <w:rFonts w:asciiTheme="minorHAnsi" w:eastAsiaTheme="minorEastAsia" w:hAnsiTheme="minorHAnsi"/>
                <w:noProof/>
                <w:kern w:val="2"/>
                <w:szCs w:val="24"/>
                <w:lang w:eastAsia="en-GB"/>
                <w14:ligatures w14:val="standardContextual"/>
              </w:rPr>
              <w:tab/>
            </w:r>
            <w:r w:rsidRPr="008B5B13">
              <w:rPr>
                <w:rStyle w:val="Hyperlink"/>
                <w:noProof/>
              </w:rPr>
              <w:t>Background and Context</w:t>
            </w:r>
            <w:r>
              <w:rPr>
                <w:noProof/>
                <w:webHidden/>
              </w:rPr>
              <w:tab/>
            </w:r>
            <w:r>
              <w:rPr>
                <w:noProof/>
                <w:webHidden/>
              </w:rPr>
              <w:fldChar w:fldCharType="begin"/>
            </w:r>
            <w:r>
              <w:rPr>
                <w:noProof/>
                <w:webHidden/>
              </w:rPr>
              <w:instrText xml:space="preserve"> PAGEREF _Toc192683414 \h </w:instrText>
            </w:r>
            <w:r>
              <w:rPr>
                <w:noProof/>
                <w:webHidden/>
              </w:rPr>
            </w:r>
            <w:r>
              <w:rPr>
                <w:noProof/>
                <w:webHidden/>
              </w:rPr>
              <w:fldChar w:fldCharType="separate"/>
            </w:r>
            <w:r>
              <w:rPr>
                <w:noProof/>
                <w:webHidden/>
              </w:rPr>
              <w:t>4</w:t>
            </w:r>
            <w:r>
              <w:rPr>
                <w:noProof/>
                <w:webHidden/>
              </w:rPr>
              <w:fldChar w:fldCharType="end"/>
            </w:r>
          </w:hyperlink>
        </w:p>
        <w:p w14:paraId="505EB108" w14:textId="3CF26100"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5" w:history="1">
            <w:r w:rsidRPr="008B5B13">
              <w:rPr>
                <w:rStyle w:val="Hyperlink"/>
                <w:noProof/>
              </w:rPr>
              <w:t>4.</w:t>
            </w:r>
            <w:r>
              <w:rPr>
                <w:rFonts w:asciiTheme="minorHAnsi" w:eastAsiaTheme="minorEastAsia" w:hAnsiTheme="minorHAnsi"/>
                <w:noProof/>
                <w:kern w:val="2"/>
                <w:szCs w:val="24"/>
                <w:lang w:eastAsia="en-GB"/>
                <w14:ligatures w14:val="standardContextual"/>
              </w:rPr>
              <w:tab/>
            </w:r>
            <w:r w:rsidRPr="008B5B13">
              <w:rPr>
                <w:rStyle w:val="Hyperlink"/>
                <w:noProof/>
              </w:rPr>
              <w:t>Employability 2025-2030</w:t>
            </w:r>
            <w:r>
              <w:rPr>
                <w:noProof/>
                <w:webHidden/>
              </w:rPr>
              <w:tab/>
            </w:r>
            <w:r>
              <w:rPr>
                <w:noProof/>
                <w:webHidden/>
              </w:rPr>
              <w:fldChar w:fldCharType="begin"/>
            </w:r>
            <w:r>
              <w:rPr>
                <w:noProof/>
                <w:webHidden/>
              </w:rPr>
              <w:instrText xml:space="preserve"> PAGEREF _Toc192683415 \h </w:instrText>
            </w:r>
            <w:r>
              <w:rPr>
                <w:noProof/>
                <w:webHidden/>
              </w:rPr>
            </w:r>
            <w:r>
              <w:rPr>
                <w:noProof/>
                <w:webHidden/>
              </w:rPr>
              <w:fldChar w:fldCharType="separate"/>
            </w:r>
            <w:r>
              <w:rPr>
                <w:noProof/>
                <w:webHidden/>
              </w:rPr>
              <w:t>6</w:t>
            </w:r>
            <w:r>
              <w:rPr>
                <w:noProof/>
                <w:webHidden/>
              </w:rPr>
              <w:fldChar w:fldCharType="end"/>
            </w:r>
          </w:hyperlink>
        </w:p>
        <w:p w14:paraId="5BBA4D3B" w14:textId="2E510F26" w:rsidR="00BC69E2" w:rsidRDefault="00BC69E2">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2683416" w:history="1">
            <w:r w:rsidRPr="008B5B13">
              <w:rPr>
                <w:rStyle w:val="Hyperlink"/>
                <w:noProof/>
              </w:rPr>
              <w:t>4.1.</w:t>
            </w:r>
            <w:r>
              <w:rPr>
                <w:rFonts w:asciiTheme="minorHAnsi" w:eastAsiaTheme="minorEastAsia" w:hAnsiTheme="minorHAnsi"/>
                <w:noProof/>
                <w:kern w:val="2"/>
                <w:szCs w:val="24"/>
                <w:lang w:eastAsia="en-GB"/>
                <w14:ligatures w14:val="standardContextual"/>
              </w:rPr>
              <w:tab/>
            </w:r>
            <w:r w:rsidRPr="008B5B13">
              <w:rPr>
                <w:rStyle w:val="Hyperlink"/>
                <w:noProof/>
              </w:rPr>
              <w:t>Definition of Employability</w:t>
            </w:r>
            <w:r>
              <w:rPr>
                <w:noProof/>
                <w:webHidden/>
              </w:rPr>
              <w:tab/>
            </w:r>
            <w:r>
              <w:rPr>
                <w:noProof/>
                <w:webHidden/>
              </w:rPr>
              <w:fldChar w:fldCharType="begin"/>
            </w:r>
            <w:r>
              <w:rPr>
                <w:noProof/>
                <w:webHidden/>
              </w:rPr>
              <w:instrText xml:space="preserve"> PAGEREF _Toc192683416 \h </w:instrText>
            </w:r>
            <w:r>
              <w:rPr>
                <w:noProof/>
                <w:webHidden/>
              </w:rPr>
            </w:r>
            <w:r>
              <w:rPr>
                <w:noProof/>
                <w:webHidden/>
              </w:rPr>
              <w:fldChar w:fldCharType="separate"/>
            </w:r>
            <w:r>
              <w:rPr>
                <w:noProof/>
                <w:webHidden/>
              </w:rPr>
              <w:t>6</w:t>
            </w:r>
            <w:r>
              <w:rPr>
                <w:noProof/>
                <w:webHidden/>
              </w:rPr>
              <w:fldChar w:fldCharType="end"/>
            </w:r>
          </w:hyperlink>
        </w:p>
        <w:p w14:paraId="1531BBA9" w14:textId="0B086ED4"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7" w:history="1">
            <w:r w:rsidRPr="008B5B13">
              <w:rPr>
                <w:rStyle w:val="Hyperlink"/>
                <w:noProof/>
              </w:rPr>
              <w:t>5.</w:t>
            </w:r>
            <w:r>
              <w:rPr>
                <w:rFonts w:asciiTheme="minorHAnsi" w:eastAsiaTheme="minorEastAsia" w:hAnsiTheme="minorHAnsi"/>
                <w:noProof/>
                <w:kern w:val="2"/>
                <w:szCs w:val="24"/>
                <w:lang w:eastAsia="en-GB"/>
                <w14:ligatures w14:val="standardContextual"/>
              </w:rPr>
              <w:tab/>
            </w:r>
            <w:r w:rsidRPr="008B5B13">
              <w:rPr>
                <w:rStyle w:val="Hyperlink"/>
                <w:noProof/>
              </w:rPr>
              <w:t>Employability Strategy 2025-2030 Primary Objectives</w:t>
            </w:r>
            <w:r>
              <w:rPr>
                <w:noProof/>
                <w:webHidden/>
              </w:rPr>
              <w:tab/>
            </w:r>
            <w:r>
              <w:rPr>
                <w:noProof/>
                <w:webHidden/>
              </w:rPr>
              <w:fldChar w:fldCharType="begin"/>
            </w:r>
            <w:r>
              <w:rPr>
                <w:noProof/>
                <w:webHidden/>
              </w:rPr>
              <w:instrText xml:space="preserve"> PAGEREF _Toc192683417 \h </w:instrText>
            </w:r>
            <w:r>
              <w:rPr>
                <w:noProof/>
                <w:webHidden/>
              </w:rPr>
            </w:r>
            <w:r>
              <w:rPr>
                <w:noProof/>
                <w:webHidden/>
              </w:rPr>
              <w:fldChar w:fldCharType="separate"/>
            </w:r>
            <w:r>
              <w:rPr>
                <w:noProof/>
                <w:webHidden/>
              </w:rPr>
              <w:t>6</w:t>
            </w:r>
            <w:r>
              <w:rPr>
                <w:noProof/>
                <w:webHidden/>
              </w:rPr>
              <w:fldChar w:fldCharType="end"/>
            </w:r>
          </w:hyperlink>
        </w:p>
        <w:p w14:paraId="2FF8F319" w14:textId="030A2FBB"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18" w:history="1">
            <w:r w:rsidRPr="008B5B13">
              <w:rPr>
                <w:rStyle w:val="Hyperlink"/>
                <w:noProof/>
              </w:rPr>
              <w:t>6.</w:t>
            </w:r>
            <w:r>
              <w:rPr>
                <w:rFonts w:asciiTheme="minorHAnsi" w:eastAsiaTheme="minorEastAsia" w:hAnsiTheme="minorHAnsi"/>
                <w:noProof/>
                <w:kern w:val="2"/>
                <w:szCs w:val="24"/>
                <w:lang w:eastAsia="en-GB"/>
                <w14:ligatures w14:val="standardContextual"/>
              </w:rPr>
              <w:tab/>
            </w:r>
            <w:r w:rsidRPr="008B5B13">
              <w:rPr>
                <w:rStyle w:val="Hyperlink"/>
                <w:noProof/>
              </w:rPr>
              <w:t>Careers Support</w:t>
            </w:r>
            <w:r>
              <w:rPr>
                <w:noProof/>
                <w:webHidden/>
              </w:rPr>
              <w:tab/>
            </w:r>
            <w:r>
              <w:rPr>
                <w:noProof/>
                <w:webHidden/>
              </w:rPr>
              <w:fldChar w:fldCharType="begin"/>
            </w:r>
            <w:r>
              <w:rPr>
                <w:noProof/>
                <w:webHidden/>
              </w:rPr>
              <w:instrText xml:space="preserve"> PAGEREF _Toc192683418 \h </w:instrText>
            </w:r>
            <w:r>
              <w:rPr>
                <w:noProof/>
                <w:webHidden/>
              </w:rPr>
            </w:r>
            <w:r>
              <w:rPr>
                <w:noProof/>
                <w:webHidden/>
              </w:rPr>
              <w:fldChar w:fldCharType="separate"/>
            </w:r>
            <w:r>
              <w:rPr>
                <w:noProof/>
                <w:webHidden/>
              </w:rPr>
              <w:t>7</w:t>
            </w:r>
            <w:r>
              <w:rPr>
                <w:noProof/>
                <w:webHidden/>
              </w:rPr>
              <w:fldChar w:fldCharType="end"/>
            </w:r>
          </w:hyperlink>
        </w:p>
        <w:p w14:paraId="7C92E277" w14:textId="0471D5E2" w:rsidR="00BC69E2" w:rsidRDefault="00BC69E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92683419" w:history="1">
            <w:r w:rsidRPr="008B5B13">
              <w:rPr>
                <w:rStyle w:val="Hyperlink"/>
                <w:noProof/>
              </w:rPr>
              <w:t>6.1.</w:t>
            </w:r>
            <w:r>
              <w:rPr>
                <w:rFonts w:asciiTheme="minorHAnsi" w:eastAsiaTheme="minorEastAsia" w:hAnsiTheme="minorHAnsi"/>
                <w:noProof/>
                <w:kern w:val="2"/>
                <w:szCs w:val="24"/>
                <w:lang w:eastAsia="en-GB"/>
                <w14:ligatures w14:val="standardContextual"/>
              </w:rPr>
              <w:tab/>
            </w:r>
            <w:r w:rsidRPr="008B5B13">
              <w:rPr>
                <w:rStyle w:val="Hyperlink"/>
                <w:noProof/>
              </w:rPr>
              <w:t>Student Focused Approach</w:t>
            </w:r>
            <w:r>
              <w:rPr>
                <w:noProof/>
                <w:webHidden/>
              </w:rPr>
              <w:tab/>
            </w:r>
            <w:r>
              <w:rPr>
                <w:noProof/>
                <w:webHidden/>
              </w:rPr>
              <w:fldChar w:fldCharType="begin"/>
            </w:r>
            <w:r>
              <w:rPr>
                <w:noProof/>
                <w:webHidden/>
              </w:rPr>
              <w:instrText xml:space="preserve"> PAGEREF _Toc192683419 \h </w:instrText>
            </w:r>
            <w:r>
              <w:rPr>
                <w:noProof/>
                <w:webHidden/>
              </w:rPr>
            </w:r>
            <w:r>
              <w:rPr>
                <w:noProof/>
                <w:webHidden/>
              </w:rPr>
              <w:fldChar w:fldCharType="separate"/>
            </w:r>
            <w:r>
              <w:rPr>
                <w:noProof/>
                <w:webHidden/>
              </w:rPr>
              <w:t>8</w:t>
            </w:r>
            <w:r>
              <w:rPr>
                <w:noProof/>
                <w:webHidden/>
              </w:rPr>
              <w:fldChar w:fldCharType="end"/>
            </w:r>
          </w:hyperlink>
        </w:p>
        <w:p w14:paraId="2A06EE03" w14:textId="1251CE14" w:rsidR="00BC69E2" w:rsidRDefault="00BC69E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92683420" w:history="1">
            <w:r w:rsidRPr="008B5B13">
              <w:rPr>
                <w:rStyle w:val="Hyperlink"/>
                <w:noProof/>
              </w:rPr>
              <w:t>6.2.</w:t>
            </w:r>
            <w:r>
              <w:rPr>
                <w:rFonts w:asciiTheme="minorHAnsi" w:eastAsiaTheme="minorEastAsia" w:hAnsiTheme="minorHAnsi"/>
                <w:noProof/>
                <w:kern w:val="2"/>
                <w:szCs w:val="24"/>
                <w:lang w:eastAsia="en-GB"/>
                <w14:ligatures w14:val="standardContextual"/>
              </w:rPr>
              <w:tab/>
            </w:r>
            <w:r w:rsidRPr="008B5B13">
              <w:rPr>
                <w:rStyle w:val="Hyperlink"/>
                <w:noProof/>
              </w:rPr>
              <w:t>Career Development Programme</w:t>
            </w:r>
            <w:r>
              <w:rPr>
                <w:noProof/>
                <w:webHidden/>
              </w:rPr>
              <w:tab/>
            </w:r>
            <w:r>
              <w:rPr>
                <w:noProof/>
                <w:webHidden/>
              </w:rPr>
              <w:fldChar w:fldCharType="begin"/>
            </w:r>
            <w:r>
              <w:rPr>
                <w:noProof/>
                <w:webHidden/>
              </w:rPr>
              <w:instrText xml:space="preserve"> PAGEREF _Toc192683420 \h </w:instrText>
            </w:r>
            <w:r>
              <w:rPr>
                <w:noProof/>
                <w:webHidden/>
              </w:rPr>
            </w:r>
            <w:r>
              <w:rPr>
                <w:noProof/>
                <w:webHidden/>
              </w:rPr>
              <w:fldChar w:fldCharType="separate"/>
            </w:r>
            <w:r>
              <w:rPr>
                <w:noProof/>
                <w:webHidden/>
              </w:rPr>
              <w:t>8</w:t>
            </w:r>
            <w:r>
              <w:rPr>
                <w:noProof/>
                <w:webHidden/>
              </w:rPr>
              <w:fldChar w:fldCharType="end"/>
            </w:r>
          </w:hyperlink>
        </w:p>
        <w:p w14:paraId="66E5A974" w14:textId="3C967E02"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21" w:history="1">
            <w:r w:rsidRPr="008B5B13">
              <w:rPr>
                <w:rStyle w:val="Hyperlink"/>
                <w:noProof/>
              </w:rPr>
              <w:t>7.</w:t>
            </w:r>
            <w:r>
              <w:rPr>
                <w:rFonts w:asciiTheme="minorHAnsi" w:eastAsiaTheme="minorEastAsia" w:hAnsiTheme="minorHAnsi"/>
                <w:noProof/>
                <w:kern w:val="2"/>
                <w:szCs w:val="24"/>
                <w:lang w:eastAsia="en-GB"/>
                <w14:ligatures w14:val="standardContextual"/>
              </w:rPr>
              <w:tab/>
            </w:r>
            <w:r w:rsidRPr="008B5B13">
              <w:rPr>
                <w:rStyle w:val="Hyperlink"/>
                <w:noProof/>
              </w:rPr>
              <w:t>Key Performance Metrics and KPIs</w:t>
            </w:r>
            <w:r>
              <w:rPr>
                <w:noProof/>
                <w:webHidden/>
              </w:rPr>
              <w:tab/>
            </w:r>
            <w:r>
              <w:rPr>
                <w:noProof/>
                <w:webHidden/>
              </w:rPr>
              <w:fldChar w:fldCharType="begin"/>
            </w:r>
            <w:r>
              <w:rPr>
                <w:noProof/>
                <w:webHidden/>
              </w:rPr>
              <w:instrText xml:space="preserve"> PAGEREF _Toc192683421 \h </w:instrText>
            </w:r>
            <w:r>
              <w:rPr>
                <w:noProof/>
                <w:webHidden/>
              </w:rPr>
            </w:r>
            <w:r>
              <w:rPr>
                <w:noProof/>
                <w:webHidden/>
              </w:rPr>
              <w:fldChar w:fldCharType="separate"/>
            </w:r>
            <w:r>
              <w:rPr>
                <w:noProof/>
                <w:webHidden/>
              </w:rPr>
              <w:t>10</w:t>
            </w:r>
            <w:r>
              <w:rPr>
                <w:noProof/>
                <w:webHidden/>
              </w:rPr>
              <w:fldChar w:fldCharType="end"/>
            </w:r>
          </w:hyperlink>
        </w:p>
        <w:p w14:paraId="13A2A21B" w14:textId="6B70C070"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22" w:history="1">
            <w:r w:rsidRPr="008B5B13">
              <w:rPr>
                <w:rStyle w:val="Hyperlink"/>
                <w:noProof/>
              </w:rPr>
              <w:t>8.</w:t>
            </w:r>
            <w:r>
              <w:rPr>
                <w:rFonts w:asciiTheme="minorHAnsi" w:eastAsiaTheme="minorEastAsia" w:hAnsiTheme="minorHAnsi"/>
                <w:noProof/>
                <w:kern w:val="2"/>
                <w:szCs w:val="24"/>
                <w:lang w:eastAsia="en-GB"/>
                <w14:ligatures w14:val="standardContextual"/>
              </w:rPr>
              <w:tab/>
            </w:r>
            <w:r w:rsidRPr="008B5B13">
              <w:rPr>
                <w:rStyle w:val="Hyperlink"/>
                <w:noProof/>
              </w:rPr>
              <w:t>Employability Committee Reporting Schedule</w:t>
            </w:r>
            <w:r>
              <w:rPr>
                <w:noProof/>
                <w:webHidden/>
              </w:rPr>
              <w:tab/>
            </w:r>
            <w:r>
              <w:rPr>
                <w:noProof/>
                <w:webHidden/>
              </w:rPr>
              <w:fldChar w:fldCharType="begin"/>
            </w:r>
            <w:r>
              <w:rPr>
                <w:noProof/>
                <w:webHidden/>
              </w:rPr>
              <w:instrText xml:space="preserve"> PAGEREF _Toc192683422 \h </w:instrText>
            </w:r>
            <w:r>
              <w:rPr>
                <w:noProof/>
                <w:webHidden/>
              </w:rPr>
            </w:r>
            <w:r>
              <w:rPr>
                <w:noProof/>
                <w:webHidden/>
              </w:rPr>
              <w:fldChar w:fldCharType="separate"/>
            </w:r>
            <w:r>
              <w:rPr>
                <w:noProof/>
                <w:webHidden/>
              </w:rPr>
              <w:t>10</w:t>
            </w:r>
            <w:r>
              <w:rPr>
                <w:noProof/>
                <w:webHidden/>
              </w:rPr>
              <w:fldChar w:fldCharType="end"/>
            </w:r>
          </w:hyperlink>
        </w:p>
        <w:p w14:paraId="6131ACEA" w14:textId="3B774A70" w:rsidR="00BC69E2" w:rsidRDefault="00BC69E2">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2683423" w:history="1">
            <w:r w:rsidRPr="008B5B13">
              <w:rPr>
                <w:rStyle w:val="Hyperlink"/>
                <w:noProof/>
              </w:rPr>
              <w:t>8.1.</w:t>
            </w:r>
            <w:r>
              <w:rPr>
                <w:rFonts w:asciiTheme="minorHAnsi" w:eastAsiaTheme="minorEastAsia" w:hAnsiTheme="minorHAnsi"/>
                <w:noProof/>
                <w:kern w:val="2"/>
                <w:szCs w:val="24"/>
                <w:lang w:eastAsia="en-GB"/>
                <w14:ligatures w14:val="standardContextual"/>
              </w:rPr>
              <w:tab/>
            </w:r>
            <w:r w:rsidRPr="008B5B13">
              <w:rPr>
                <w:rStyle w:val="Hyperlink"/>
                <w:noProof/>
              </w:rPr>
              <w:t>Autumn meeting</w:t>
            </w:r>
            <w:r>
              <w:rPr>
                <w:noProof/>
                <w:webHidden/>
              </w:rPr>
              <w:tab/>
            </w:r>
            <w:r>
              <w:rPr>
                <w:noProof/>
                <w:webHidden/>
              </w:rPr>
              <w:fldChar w:fldCharType="begin"/>
            </w:r>
            <w:r>
              <w:rPr>
                <w:noProof/>
                <w:webHidden/>
              </w:rPr>
              <w:instrText xml:space="preserve"> PAGEREF _Toc192683423 \h </w:instrText>
            </w:r>
            <w:r>
              <w:rPr>
                <w:noProof/>
                <w:webHidden/>
              </w:rPr>
            </w:r>
            <w:r>
              <w:rPr>
                <w:noProof/>
                <w:webHidden/>
              </w:rPr>
              <w:fldChar w:fldCharType="separate"/>
            </w:r>
            <w:r>
              <w:rPr>
                <w:noProof/>
                <w:webHidden/>
              </w:rPr>
              <w:t>10</w:t>
            </w:r>
            <w:r>
              <w:rPr>
                <w:noProof/>
                <w:webHidden/>
              </w:rPr>
              <w:fldChar w:fldCharType="end"/>
            </w:r>
          </w:hyperlink>
        </w:p>
        <w:p w14:paraId="49C3754F" w14:textId="3671D18D" w:rsidR="00BC69E2" w:rsidRDefault="00BC69E2">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2683424" w:history="1">
            <w:r w:rsidRPr="008B5B13">
              <w:rPr>
                <w:rStyle w:val="Hyperlink"/>
                <w:noProof/>
              </w:rPr>
              <w:t>8.2.</w:t>
            </w:r>
            <w:r>
              <w:rPr>
                <w:rFonts w:asciiTheme="minorHAnsi" w:eastAsiaTheme="minorEastAsia" w:hAnsiTheme="minorHAnsi"/>
                <w:noProof/>
                <w:kern w:val="2"/>
                <w:szCs w:val="24"/>
                <w:lang w:eastAsia="en-GB"/>
                <w14:ligatures w14:val="standardContextual"/>
              </w:rPr>
              <w:tab/>
            </w:r>
            <w:r w:rsidRPr="008B5B13">
              <w:rPr>
                <w:rStyle w:val="Hyperlink"/>
                <w:noProof/>
              </w:rPr>
              <w:t>Winter meeting</w:t>
            </w:r>
            <w:r>
              <w:rPr>
                <w:noProof/>
                <w:webHidden/>
              </w:rPr>
              <w:tab/>
            </w:r>
            <w:r>
              <w:rPr>
                <w:noProof/>
                <w:webHidden/>
              </w:rPr>
              <w:fldChar w:fldCharType="begin"/>
            </w:r>
            <w:r>
              <w:rPr>
                <w:noProof/>
                <w:webHidden/>
              </w:rPr>
              <w:instrText xml:space="preserve"> PAGEREF _Toc192683424 \h </w:instrText>
            </w:r>
            <w:r>
              <w:rPr>
                <w:noProof/>
                <w:webHidden/>
              </w:rPr>
            </w:r>
            <w:r>
              <w:rPr>
                <w:noProof/>
                <w:webHidden/>
              </w:rPr>
              <w:fldChar w:fldCharType="separate"/>
            </w:r>
            <w:r>
              <w:rPr>
                <w:noProof/>
                <w:webHidden/>
              </w:rPr>
              <w:t>10</w:t>
            </w:r>
            <w:r>
              <w:rPr>
                <w:noProof/>
                <w:webHidden/>
              </w:rPr>
              <w:fldChar w:fldCharType="end"/>
            </w:r>
          </w:hyperlink>
        </w:p>
        <w:p w14:paraId="6A782B8B" w14:textId="3EC7BED3" w:rsidR="00BC69E2" w:rsidRDefault="00BC69E2">
          <w:pPr>
            <w:pStyle w:val="TOC3"/>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92683425" w:history="1">
            <w:r w:rsidRPr="008B5B13">
              <w:rPr>
                <w:rStyle w:val="Hyperlink"/>
                <w:noProof/>
              </w:rPr>
              <w:t>8.3.</w:t>
            </w:r>
            <w:r>
              <w:rPr>
                <w:rFonts w:asciiTheme="minorHAnsi" w:eastAsiaTheme="minorEastAsia" w:hAnsiTheme="minorHAnsi"/>
                <w:noProof/>
                <w:kern w:val="2"/>
                <w:szCs w:val="24"/>
                <w:lang w:eastAsia="en-GB"/>
                <w14:ligatures w14:val="standardContextual"/>
              </w:rPr>
              <w:tab/>
            </w:r>
            <w:r w:rsidRPr="008B5B13">
              <w:rPr>
                <w:rStyle w:val="Hyperlink"/>
                <w:noProof/>
              </w:rPr>
              <w:t>Spring meeting</w:t>
            </w:r>
            <w:r>
              <w:rPr>
                <w:noProof/>
                <w:webHidden/>
              </w:rPr>
              <w:tab/>
            </w:r>
            <w:r>
              <w:rPr>
                <w:noProof/>
                <w:webHidden/>
              </w:rPr>
              <w:fldChar w:fldCharType="begin"/>
            </w:r>
            <w:r>
              <w:rPr>
                <w:noProof/>
                <w:webHidden/>
              </w:rPr>
              <w:instrText xml:space="preserve"> PAGEREF _Toc192683425 \h </w:instrText>
            </w:r>
            <w:r>
              <w:rPr>
                <w:noProof/>
                <w:webHidden/>
              </w:rPr>
            </w:r>
            <w:r>
              <w:rPr>
                <w:noProof/>
                <w:webHidden/>
              </w:rPr>
              <w:fldChar w:fldCharType="separate"/>
            </w:r>
            <w:r>
              <w:rPr>
                <w:noProof/>
                <w:webHidden/>
              </w:rPr>
              <w:t>11</w:t>
            </w:r>
            <w:r>
              <w:rPr>
                <w:noProof/>
                <w:webHidden/>
              </w:rPr>
              <w:fldChar w:fldCharType="end"/>
            </w:r>
          </w:hyperlink>
        </w:p>
        <w:p w14:paraId="1F2B5727" w14:textId="409C71B8" w:rsidR="00BC69E2" w:rsidRDefault="00BC69E2">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2683426" w:history="1">
            <w:r w:rsidRPr="008B5B13">
              <w:rPr>
                <w:rStyle w:val="Hyperlink"/>
                <w:noProof/>
              </w:rPr>
              <w:t>9.</w:t>
            </w:r>
            <w:r>
              <w:rPr>
                <w:rFonts w:asciiTheme="minorHAnsi" w:eastAsiaTheme="minorEastAsia" w:hAnsiTheme="minorHAnsi"/>
                <w:noProof/>
                <w:kern w:val="2"/>
                <w:szCs w:val="24"/>
                <w:lang w:eastAsia="en-GB"/>
                <w14:ligatures w14:val="standardContextual"/>
              </w:rPr>
              <w:tab/>
            </w:r>
            <w:r w:rsidRPr="008B5B13">
              <w:rPr>
                <w:rStyle w:val="Hyperlink"/>
                <w:noProof/>
              </w:rPr>
              <w:t>Staff Development and Recognition</w:t>
            </w:r>
            <w:r>
              <w:rPr>
                <w:noProof/>
                <w:webHidden/>
              </w:rPr>
              <w:tab/>
            </w:r>
            <w:r>
              <w:rPr>
                <w:noProof/>
                <w:webHidden/>
              </w:rPr>
              <w:fldChar w:fldCharType="begin"/>
            </w:r>
            <w:r>
              <w:rPr>
                <w:noProof/>
                <w:webHidden/>
              </w:rPr>
              <w:instrText xml:space="preserve"> PAGEREF _Toc192683426 \h </w:instrText>
            </w:r>
            <w:r>
              <w:rPr>
                <w:noProof/>
                <w:webHidden/>
              </w:rPr>
            </w:r>
            <w:r>
              <w:rPr>
                <w:noProof/>
                <w:webHidden/>
              </w:rPr>
              <w:fldChar w:fldCharType="separate"/>
            </w:r>
            <w:r>
              <w:rPr>
                <w:noProof/>
                <w:webHidden/>
              </w:rPr>
              <w:t>11</w:t>
            </w:r>
            <w:r>
              <w:rPr>
                <w:noProof/>
                <w:webHidden/>
              </w:rPr>
              <w:fldChar w:fldCharType="end"/>
            </w:r>
          </w:hyperlink>
        </w:p>
        <w:p w14:paraId="5CBB3CF9" w14:textId="543A62C1" w:rsidR="00BC69E2" w:rsidRDefault="00BC69E2">
          <w:pPr>
            <w:pStyle w:val="TOC1"/>
            <w:rPr>
              <w:rFonts w:asciiTheme="minorHAnsi" w:eastAsiaTheme="minorEastAsia" w:hAnsiTheme="minorHAnsi"/>
              <w:noProof/>
              <w:kern w:val="2"/>
              <w:szCs w:val="24"/>
              <w:lang w:eastAsia="en-GB"/>
              <w14:ligatures w14:val="standardContextual"/>
            </w:rPr>
          </w:pPr>
          <w:hyperlink w:anchor="_Toc192683427" w:history="1">
            <w:r w:rsidRPr="008B5B13">
              <w:rPr>
                <w:rStyle w:val="Hyperlink"/>
                <w:noProof/>
              </w:rPr>
              <w:t>Annexes</w:t>
            </w:r>
            <w:r>
              <w:rPr>
                <w:noProof/>
                <w:webHidden/>
              </w:rPr>
              <w:tab/>
            </w:r>
            <w:r>
              <w:rPr>
                <w:noProof/>
                <w:webHidden/>
              </w:rPr>
              <w:fldChar w:fldCharType="begin"/>
            </w:r>
            <w:r>
              <w:rPr>
                <w:noProof/>
                <w:webHidden/>
              </w:rPr>
              <w:instrText xml:space="preserve"> PAGEREF _Toc192683427 \h </w:instrText>
            </w:r>
            <w:r>
              <w:rPr>
                <w:noProof/>
                <w:webHidden/>
              </w:rPr>
            </w:r>
            <w:r>
              <w:rPr>
                <w:noProof/>
                <w:webHidden/>
              </w:rPr>
              <w:fldChar w:fldCharType="separate"/>
            </w:r>
            <w:r>
              <w:rPr>
                <w:noProof/>
                <w:webHidden/>
              </w:rPr>
              <w:t>12</w:t>
            </w:r>
            <w:r>
              <w:rPr>
                <w:noProof/>
                <w:webHidden/>
              </w:rPr>
              <w:fldChar w:fldCharType="end"/>
            </w:r>
          </w:hyperlink>
        </w:p>
        <w:p w14:paraId="161EF314" w14:textId="5647DBFF" w:rsidR="00BC69E2" w:rsidRDefault="00BC69E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683428" w:history="1">
            <w:r w:rsidRPr="008B5B13">
              <w:rPr>
                <w:rStyle w:val="Hyperlink"/>
                <w:noProof/>
              </w:rPr>
              <w:t>Appendix 1: Hierarchy of Work Experience Activities</w:t>
            </w:r>
            <w:r>
              <w:rPr>
                <w:noProof/>
                <w:webHidden/>
              </w:rPr>
              <w:tab/>
            </w:r>
            <w:r>
              <w:rPr>
                <w:noProof/>
                <w:webHidden/>
              </w:rPr>
              <w:fldChar w:fldCharType="begin"/>
            </w:r>
            <w:r>
              <w:rPr>
                <w:noProof/>
                <w:webHidden/>
              </w:rPr>
              <w:instrText xml:space="preserve"> PAGEREF _Toc192683428 \h </w:instrText>
            </w:r>
            <w:r>
              <w:rPr>
                <w:noProof/>
                <w:webHidden/>
              </w:rPr>
            </w:r>
            <w:r>
              <w:rPr>
                <w:noProof/>
                <w:webHidden/>
              </w:rPr>
              <w:fldChar w:fldCharType="separate"/>
            </w:r>
            <w:r>
              <w:rPr>
                <w:noProof/>
                <w:webHidden/>
              </w:rPr>
              <w:t>13</w:t>
            </w:r>
            <w:r>
              <w:rPr>
                <w:noProof/>
                <w:webHidden/>
              </w:rPr>
              <w:fldChar w:fldCharType="end"/>
            </w:r>
          </w:hyperlink>
        </w:p>
        <w:p w14:paraId="3C5FF8D8" w14:textId="05CAC680" w:rsidR="00BC69E2" w:rsidRDefault="00BC69E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683429" w:history="1">
            <w:r w:rsidRPr="008B5B13">
              <w:rPr>
                <w:rStyle w:val="Hyperlink"/>
                <w:noProof/>
              </w:rPr>
              <w:t>Appendix 2: Faculty Employability Action Plan Template</w:t>
            </w:r>
            <w:r>
              <w:rPr>
                <w:noProof/>
                <w:webHidden/>
              </w:rPr>
              <w:tab/>
            </w:r>
            <w:r>
              <w:rPr>
                <w:noProof/>
                <w:webHidden/>
              </w:rPr>
              <w:fldChar w:fldCharType="begin"/>
            </w:r>
            <w:r>
              <w:rPr>
                <w:noProof/>
                <w:webHidden/>
              </w:rPr>
              <w:instrText xml:space="preserve"> PAGEREF _Toc192683429 \h </w:instrText>
            </w:r>
            <w:r>
              <w:rPr>
                <w:noProof/>
                <w:webHidden/>
              </w:rPr>
            </w:r>
            <w:r>
              <w:rPr>
                <w:noProof/>
                <w:webHidden/>
              </w:rPr>
              <w:fldChar w:fldCharType="separate"/>
            </w:r>
            <w:r>
              <w:rPr>
                <w:noProof/>
                <w:webHidden/>
              </w:rPr>
              <w:t>14</w:t>
            </w:r>
            <w:r>
              <w:rPr>
                <w:noProof/>
                <w:webHidden/>
              </w:rPr>
              <w:fldChar w:fldCharType="end"/>
            </w:r>
          </w:hyperlink>
        </w:p>
        <w:p w14:paraId="48DA413F" w14:textId="35533943" w:rsidR="00BC69E2" w:rsidRDefault="00BC69E2">
          <w:pPr>
            <w:pStyle w:val="TOC1"/>
            <w:rPr>
              <w:rFonts w:asciiTheme="minorHAnsi" w:eastAsiaTheme="minorEastAsia" w:hAnsiTheme="minorHAnsi"/>
              <w:noProof/>
              <w:kern w:val="2"/>
              <w:szCs w:val="24"/>
              <w:lang w:eastAsia="en-GB"/>
              <w14:ligatures w14:val="standardContextual"/>
            </w:rPr>
          </w:pPr>
          <w:hyperlink w:anchor="_Toc192683430" w:history="1">
            <w:r w:rsidRPr="008B5B13">
              <w:rPr>
                <w:rStyle w:val="Hyperlink"/>
                <w:noProof/>
              </w:rPr>
              <w:t>Endmatter</w:t>
            </w:r>
            <w:r>
              <w:rPr>
                <w:noProof/>
                <w:webHidden/>
              </w:rPr>
              <w:tab/>
            </w:r>
            <w:r>
              <w:rPr>
                <w:noProof/>
                <w:webHidden/>
              </w:rPr>
              <w:fldChar w:fldCharType="begin"/>
            </w:r>
            <w:r>
              <w:rPr>
                <w:noProof/>
                <w:webHidden/>
              </w:rPr>
              <w:instrText xml:space="preserve"> PAGEREF _Toc192683430 \h </w:instrText>
            </w:r>
            <w:r>
              <w:rPr>
                <w:noProof/>
                <w:webHidden/>
              </w:rPr>
            </w:r>
            <w:r>
              <w:rPr>
                <w:noProof/>
                <w:webHidden/>
              </w:rPr>
              <w:fldChar w:fldCharType="separate"/>
            </w:r>
            <w:r>
              <w:rPr>
                <w:noProof/>
                <w:webHidden/>
              </w:rPr>
              <w:t>15</w:t>
            </w:r>
            <w:r>
              <w:rPr>
                <w:noProof/>
                <w:webHidden/>
              </w:rPr>
              <w:fldChar w:fldCharType="end"/>
            </w:r>
          </w:hyperlink>
        </w:p>
        <w:p w14:paraId="6D359BDE" w14:textId="7805F25D" w:rsidR="00351BCA" w:rsidRDefault="00351BCA">
          <w:r>
            <w:rPr>
              <w:b/>
              <w:bCs/>
              <w:noProof/>
            </w:rPr>
            <w:fldChar w:fldCharType="end"/>
          </w:r>
        </w:p>
      </w:sdtContent>
    </w:sdt>
    <w:p w14:paraId="3CA97761" w14:textId="77777777" w:rsidR="00C625B0" w:rsidRDefault="00C625B0">
      <w:r>
        <w:br w:type="page"/>
      </w:r>
    </w:p>
    <w:p w14:paraId="1EACCBB3" w14:textId="77777777" w:rsidR="00D84C7A" w:rsidRDefault="00D84C7A" w:rsidP="00A73C4D">
      <w:pPr>
        <w:pStyle w:val="Heading1"/>
      </w:pPr>
      <w:bookmarkStart w:id="0" w:name="_Toc192683410"/>
      <w:r>
        <w:lastRenderedPageBreak/>
        <w:t>Glossary of Terms</w:t>
      </w:r>
      <w:bookmarkEnd w:id="0"/>
      <w:r>
        <w:t xml:space="preserve"> </w:t>
      </w:r>
    </w:p>
    <w:p w14:paraId="39085EC4" w14:textId="77777777" w:rsidR="00686C16" w:rsidRDefault="00624B53" w:rsidP="00992CC2">
      <w:r>
        <w:t xml:space="preserve">Employability: </w:t>
      </w:r>
      <w:r w:rsidR="00FD597E" w:rsidRPr="00FD597E">
        <w:t>“a set of achievements – skills, understandings and personal attributes – that makes graduates more likely to gain employment and be successful in their chosen occupations, which benefits themselves, the workforce, the community and the economy.” [Yorke (2006)]</w:t>
      </w:r>
    </w:p>
    <w:p w14:paraId="147BE7F8" w14:textId="572B73DA" w:rsidR="00E37FCE" w:rsidRDefault="00FD597E" w:rsidP="00992CC2">
      <w:r>
        <w:t>Career readiness: the annual process of understanding a students’ stage of career readiness</w:t>
      </w:r>
      <w:r w:rsidR="00E37FCE">
        <w:t>, undertaken at enrolment each year.</w:t>
      </w:r>
    </w:p>
    <w:p w14:paraId="208085B0" w14:textId="17716EAA" w:rsidR="00FD597E" w:rsidRDefault="00E37FCE" w:rsidP="006A5B50">
      <w:r>
        <w:t>Graduate attributes: the agreed set of common attributes that all students will develop during their time studying at Edge Hill.</w:t>
      </w:r>
      <w:r w:rsidR="00FD597E">
        <w:t xml:space="preserve"> </w:t>
      </w:r>
    </w:p>
    <w:p w14:paraId="0EBC931D" w14:textId="77777777" w:rsidR="00901327" w:rsidRDefault="00901327" w:rsidP="009421AF">
      <w:pPr>
        <w:pStyle w:val="Heading1"/>
        <w:sectPr w:rsidR="00901327" w:rsidSect="002F4662">
          <w:pgSz w:w="11906" w:h="16838"/>
          <w:pgMar w:top="1440" w:right="1440" w:bottom="1440" w:left="1440" w:header="708" w:footer="708" w:gutter="0"/>
          <w:cols w:space="708"/>
          <w:docGrid w:linePitch="360"/>
        </w:sectPr>
      </w:pPr>
    </w:p>
    <w:p w14:paraId="59823A02" w14:textId="38FDDDD8" w:rsidR="009421AF" w:rsidRDefault="009421AF" w:rsidP="009421AF">
      <w:pPr>
        <w:pStyle w:val="Heading1"/>
      </w:pPr>
      <w:bookmarkStart w:id="1" w:name="_Toc192683411"/>
      <w:r>
        <w:lastRenderedPageBreak/>
        <w:t>Strategy</w:t>
      </w:r>
      <w:bookmarkEnd w:id="1"/>
    </w:p>
    <w:p w14:paraId="38D76B4E" w14:textId="77777777" w:rsidR="002D3328" w:rsidRDefault="002D3328" w:rsidP="009421AF">
      <w:pPr>
        <w:pStyle w:val="Heading2"/>
        <w:numPr>
          <w:ilvl w:val="0"/>
          <w:numId w:val="12"/>
        </w:numPr>
      </w:pPr>
      <w:bookmarkStart w:id="2" w:name="_Toc192683412"/>
      <w:r>
        <w:t>Consultation</w:t>
      </w:r>
      <w:bookmarkEnd w:id="2"/>
    </w:p>
    <w:p w14:paraId="3B3C6B80" w14:textId="77777777" w:rsidR="002D3328" w:rsidRDefault="002D3328" w:rsidP="002D3328">
      <w:r>
        <w:t xml:space="preserve">The strategy has been developed and shared with the following groups, committees, and partners: </w:t>
      </w:r>
    </w:p>
    <w:p w14:paraId="17F4D103" w14:textId="77777777" w:rsidR="002D3328" w:rsidRDefault="002D3328" w:rsidP="009421AF">
      <w:pPr>
        <w:pStyle w:val="ListParagraph"/>
        <w:numPr>
          <w:ilvl w:val="0"/>
          <w:numId w:val="13"/>
        </w:numPr>
      </w:pPr>
      <w:r>
        <w:t>Employability Committee</w:t>
      </w:r>
    </w:p>
    <w:p w14:paraId="26032CD1" w14:textId="77777777" w:rsidR="002D3328" w:rsidRDefault="002D3328" w:rsidP="009421AF">
      <w:pPr>
        <w:pStyle w:val="ListParagraph"/>
        <w:numPr>
          <w:ilvl w:val="0"/>
          <w:numId w:val="13"/>
        </w:numPr>
      </w:pPr>
      <w:r>
        <w:t xml:space="preserve">Faculty leads for Employability or Student Experience </w:t>
      </w:r>
    </w:p>
    <w:p w14:paraId="62DB27C3" w14:textId="77777777" w:rsidR="002D3328" w:rsidRDefault="002D3328" w:rsidP="009421AF">
      <w:pPr>
        <w:pStyle w:val="ListParagraph"/>
        <w:numPr>
          <w:ilvl w:val="0"/>
          <w:numId w:val="13"/>
        </w:numPr>
      </w:pPr>
      <w:r>
        <w:t xml:space="preserve">Employers and other external stakeholders via an open consultation meeting on 23rd April 2024. </w:t>
      </w:r>
    </w:p>
    <w:p w14:paraId="0C915BE1" w14:textId="77777777" w:rsidR="002D3328" w:rsidRDefault="002D3328" w:rsidP="009421AF">
      <w:pPr>
        <w:pStyle w:val="ListParagraph"/>
        <w:numPr>
          <w:ilvl w:val="0"/>
          <w:numId w:val="13"/>
        </w:numPr>
      </w:pPr>
      <w:r>
        <w:t xml:space="preserve">Students Union </w:t>
      </w:r>
    </w:p>
    <w:p w14:paraId="3F7E79C4" w14:textId="77777777" w:rsidR="002D3328" w:rsidRDefault="002D3328" w:rsidP="009421AF">
      <w:pPr>
        <w:pStyle w:val="Heading2"/>
        <w:numPr>
          <w:ilvl w:val="0"/>
          <w:numId w:val="12"/>
        </w:numPr>
      </w:pPr>
      <w:bookmarkStart w:id="3" w:name="_Toc192683413"/>
      <w:r>
        <w:t>Introduction</w:t>
      </w:r>
      <w:bookmarkEnd w:id="3"/>
    </w:p>
    <w:p w14:paraId="7212226D" w14:textId="77777777" w:rsidR="002D3328" w:rsidRPr="00B37702" w:rsidRDefault="002D3328" w:rsidP="002D3328">
      <w:pPr>
        <w:pStyle w:val="ListParagraph"/>
        <w:numPr>
          <w:ilvl w:val="0"/>
          <w:numId w:val="10"/>
        </w:numPr>
        <w:rPr>
          <w:vanish/>
        </w:rPr>
      </w:pPr>
    </w:p>
    <w:p w14:paraId="3CBFA1B7" w14:textId="77777777" w:rsidR="002D3328" w:rsidRPr="00B37702" w:rsidRDefault="002D3328" w:rsidP="002D3328">
      <w:pPr>
        <w:pStyle w:val="ListParagraph"/>
        <w:numPr>
          <w:ilvl w:val="0"/>
          <w:numId w:val="10"/>
        </w:numPr>
        <w:rPr>
          <w:vanish/>
        </w:rPr>
      </w:pPr>
    </w:p>
    <w:p w14:paraId="1EABB589" w14:textId="77777777" w:rsidR="002D3328" w:rsidRPr="00E85470" w:rsidRDefault="002D3328" w:rsidP="002D3328">
      <w:r>
        <w:t>The aim of our employability strategy is to enhance the life chances for all students following the completion of their studies at Edge Hill University. This will be achieved by enabling them to access and succeed in graduate positions, further study or other positive life choices. To achieve this, there will be a coherent offer of employability development and exploration embedded into all courses, integrating work experience with academic studies. Our employability strategy will bring together the work of both professional support services, specifically Careers, and that of Faculties, Departments and programmes.</w:t>
      </w:r>
    </w:p>
    <w:p w14:paraId="75EF74BE" w14:textId="275890B5" w:rsidR="00B86B25" w:rsidRDefault="00E479D7" w:rsidP="009421AF">
      <w:pPr>
        <w:pStyle w:val="Heading2"/>
        <w:numPr>
          <w:ilvl w:val="0"/>
          <w:numId w:val="12"/>
        </w:numPr>
      </w:pPr>
      <w:bookmarkStart w:id="4" w:name="_Toc192683414"/>
      <w:r>
        <w:t>Background and Context</w:t>
      </w:r>
      <w:bookmarkEnd w:id="4"/>
    </w:p>
    <w:p w14:paraId="49B1D923" w14:textId="77777777" w:rsidR="00B31E41" w:rsidRDefault="00B31E41" w:rsidP="00B31E41">
      <w:r>
        <w:t xml:space="preserve">Since the introduction of graduate outcomes, the sector has been regulated through </w:t>
      </w:r>
      <w:proofErr w:type="spellStart"/>
      <w:r>
        <w:t>OfS</w:t>
      </w:r>
      <w:proofErr w:type="spellEnd"/>
      <w:r>
        <w:t xml:space="preserve"> conditions of registration, specifically B3:</w:t>
      </w:r>
    </w:p>
    <w:p w14:paraId="46E3EA08" w14:textId="77777777" w:rsidR="00B31E41" w:rsidRPr="00E67F96" w:rsidRDefault="00B31E41" w:rsidP="00B31E41">
      <w:pPr>
        <w:ind w:left="720"/>
      </w:pPr>
      <w:r w:rsidRPr="005F65EF">
        <w:rPr>
          <w:i/>
          <w:iCs/>
        </w:rPr>
        <w:t xml:space="preserve">The provider must deliver successful outcomes for </w:t>
      </w:r>
      <w:proofErr w:type="gramStart"/>
      <w:r w:rsidRPr="005F65EF">
        <w:rPr>
          <w:i/>
          <w:iCs/>
        </w:rPr>
        <w:t>all of</w:t>
      </w:r>
      <w:proofErr w:type="gramEnd"/>
      <w:r w:rsidRPr="005F65EF">
        <w:rPr>
          <w:i/>
          <w:iCs/>
        </w:rPr>
        <w:t xml:space="preserve"> its students, which are recognised and valued by employers, and/or enable further study</w:t>
      </w:r>
      <w:r>
        <w:rPr>
          <w:i/>
          <w:iCs/>
        </w:rPr>
        <w:t>.</w:t>
      </w:r>
      <w:r>
        <w:t xml:space="preserve"> [</w:t>
      </w:r>
      <w:proofErr w:type="spellStart"/>
      <w:r>
        <w:t>OfS</w:t>
      </w:r>
      <w:proofErr w:type="spellEnd"/>
      <w:r>
        <w:t xml:space="preserve"> 2022]</w:t>
      </w:r>
    </w:p>
    <w:p w14:paraId="30961856" w14:textId="77777777" w:rsidR="00B31E41" w:rsidRDefault="00B31E41" w:rsidP="00B31E41">
      <w:r>
        <w:t xml:space="preserve">and the Teaching Excellent Framework. We are also judged on our performance through league tables and other external requirements e.g. </w:t>
      </w:r>
      <w:proofErr w:type="spellStart"/>
      <w:r>
        <w:t>OfSTED</w:t>
      </w:r>
      <w:proofErr w:type="spellEnd"/>
      <w:r>
        <w:t xml:space="preserve"> but more importantly we have a moral imperative to ensure all our students move into a successful outcome – however they define this - once they have completed their studies with us.</w:t>
      </w:r>
    </w:p>
    <w:p w14:paraId="09307682" w14:textId="77777777" w:rsidR="00B31E41" w:rsidRDefault="00B31E41" w:rsidP="00B31E41">
      <w:r>
        <w:t>In November 2024, the Secretary of State for Education provided the sector with a letter outlining the rationale for an increase in the tuition fee. Also contained within this letter were five priorities for the reform of the higher education system. Three of these will be directly evidenced through our employability strategy:</w:t>
      </w:r>
    </w:p>
    <w:p w14:paraId="233F15D8" w14:textId="77777777" w:rsidR="00B31E41" w:rsidRDefault="00B31E41" w:rsidP="00B31E41">
      <w:pPr>
        <w:pStyle w:val="ListParagraph"/>
        <w:numPr>
          <w:ilvl w:val="0"/>
          <w:numId w:val="7"/>
        </w:numPr>
        <w:spacing w:after="160" w:line="259" w:lineRule="auto"/>
      </w:pPr>
      <w:r>
        <w:t xml:space="preserve">Play a stronger role in expanding access and improving outcomes for disadvantaged students. </w:t>
      </w:r>
    </w:p>
    <w:p w14:paraId="4635D749" w14:textId="77777777" w:rsidR="00B31E41" w:rsidRDefault="00B31E41" w:rsidP="00B31E41">
      <w:pPr>
        <w:pStyle w:val="ListParagraph"/>
        <w:numPr>
          <w:ilvl w:val="0"/>
          <w:numId w:val="7"/>
        </w:numPr>
        <w:spacing w:after="160" w:line="259" w:lineRule="auto"/>
      </w:pPr>
      <w:r>
        <w:t>Play a greater civic role in communities.</w:t>
      </w:r>
    </w:p>
    <w:p w14:paraId="1A90E0DE" w14:textId="77777777" w:rsidR="00B31E41" w:rsidRDefault="00B31E41" w:rsidP="00B31E41">
      <w:r>
        <w:lastRenderedPageBreak/>
        <w:t>The introduction to our Widening Access and Student Success strategy makes clear our commitment to all students and out role in communities. Our Employability Strategy is written as a sister strategy to this and other relevant internal strategies.</w:t>
      </w:r>
    </w:p>
    <w:p w14:paraId="430F53DA" w14:textId="77777777" w:rsidR="00B31E41" w:rsidRPr="00FA4D55" w:rsidRDefault="00B31E41" w:rsidP="00B31E41">
      <w:pPr>
        <w:ind w:left="720"/>
        <w:rPr>
          <w:i/>
          <w:iCs/>
        </w:rPr>
      </w:pPr>
      <w:r w:rsidRPr="00FA4D55">
        <w:rPr>
          <w:i/>
          <w:iCs/>
        </w:rPr>
        <w:t>At Edge Hill University, widening access and participation is in our DNA. When we first opened our doors in 1885, as a women-only college, we became the first place in the country where women were able to train to teach without having an affiliation to the church. Now, 140 years later, supporting students from all backgrounds remains core to what we do. Each year we attract and support a diverse student body, with over 70% of our undergraduate students being from backgrounds typically under-represented within higher education.</w:t>
      </w:r>
    </w:p>
    <w:p w14:paraId="3E10BCAB" w14:textId="77777777" w:rsidR="00B31E41" w:rsidRDefault="00B31E41" w:rsidP="00B31E41">
      <w:pPr>
        <w:pStyle w:val="ListParagraph"/>
        <w:numPr>
          <w:ilvl w:val="0"/>
          <w:numId w:val="7"/>
        </w:numPr>
        <w:spacing w:after="160" w:line="259" w:lineRule="auto"/>
      </w:pPr>
      <w:r>
        <w:t>Make a stronger contribution to economic growth.</w:t>
      </w:r>
    </w:p>
    <w:p w14:paraId="2322CA3C" w14:textId="77777777" w:rsidR="00B31E41" w:rsidRDefault="00B31E41" w:rsidP="00B31E41">
      <w:r>
        <w:t xml:space="preserve">Edge Hill’s strategic plan for 2020-2025 identified for employability a specific aim “to further strengthen our links to employers and the region and enhance student employability and self-employment”. The key performance indicator for graduate employability for the previous employability strategy was to secure employability above the sector norm. </w:t>
      </w:r>
    </w:p>
    <w:p w14:paraId="08B518AC" w14:textId="77777777" w:rsidR="00B31E41" w:rsidRDefault="00B31E41" w:rsidP="00B31E41">
      <w:r>
        <w:t>Our performance in the most recent graduate outcomes survey (2021-22) demonstrates we have met this KPI:</w:t>
      </w:r>
    </w:p>
    <w:p w14:paraId="26802CCB" w14:textId="77777777" w:rsidR="00B31E41" w:rsidRPr="000727B5" w:rsidRDefault="00B31E41" w:rsidP="00B31E41">
      <w:pPr>
        <w:ind w:left="720"/>
        <w:rPr>
          <w:i/>
        </w:rPr>
      </w:pPr>
      <w:r w:rsidRPr="000727B5">
        <w:rPr>
          <w:i/>
        </w:rPr>
        <w:t>Nationally, graduates in employment or unpaid work accounted for 83% of survey respondents (82% the previous year), including 10% who were engaged in both employment and further study (10% last year). At EHU our figures are 3.9% above the national data at 86.9%, including 10.4% in both employment and further study.</w:t>
      </w:r>
    </w:p>
    <w:p w14:paraId="1E4324F7" w14:textId="77777777" w:rsidR="00B31E41" w:rsidRPr="000727B5" w:rsidRDefault="00B31E41" w:rsidP="00B31E41">
      <w:pPr>
        <w:ind w:left="720"/>
        <w:rPr>
          <w:i/>
        </w:rPr>
      </w:pPr>
      <w:r w:rsidRPr="000727B5">
        <w:rPr>
          <w:i/>
        </w:rPr>
        <w:t xml:space="preserve">Excluding specialist providers, Edge Hill is top in the </w:t>
      </w:r>
      <w:proofErr w:type="gramStart"/>
      <w:r w:rsidRPr="000727B5">
        <w:rPr>
          <w:i/>
        </w:rPr>
        <w:t>North West</w:t>
      </w:r>
      <w:proofErr w:type="gramEnd"/>
      <w:r w:rsidRPr="000727B5">
        <w:rPr>
          <w:i/>
        </w:rPr>
        <w:t xml:space="preserve"> for the percentage of graduates in employment/further study.</w:t>
      </w:r>
    </w:p>
    <w:p w14:paraId="10EDDA92" w14:textId="77777777" w:rsidR="00B31E41" w:rsidRDefault="00B31E41" w:rsidP="00B31E41">
      <w:pPr>
        <w:ind w:left="720"/>
      </w:pPr>
      <w:r w:rsidRPr="000727B5">
        <w:rPr>
          <w:i/>
        </w:rPr>
        <w:t xml:space="preserve">If we exclude those who were unavailable for work from the population, the figure goes from 91.7% to 96.7% and we remain top, meaning EHU has the lowest unemployment rate in the </w:t>
      </w:r>
      <w:proofErr w:type="gramStart"/>
      <w:r w:rsidRPr="000727B5">
        <w:rPr>
          <w:i/>
        </w:rPr>
        <w:t>North West</w:t>
      </w:r>
      <w:proofErr w:type="gramEnd"/>
      <w:r w:rsidRPr="000727B5">
        <w:rPr>
          <w:i/>
        </w:rPr>
        <w:t>.</w:t>
      </w:r>
      <w:r w:rsidRPr="00FB3548">
        <w:rPr>
          <w:i/>
          <w:iCs/>
          <w:sz w:val="20"/>
          <w:szCs w:val="18"/>
        </w:rPr>
        <w:t xml:space="preserve"> (Graduate Outcomes Survey results 2021-22)</w:t>
      </w:r>
    </w:p>
    <w:p w14:paraId="0FE6C76B" w14:textId="77777777" w:rsidR="00B31E41" w:rsidRPr="009F68D1" w:rsidRDefault="00B31E41" w:rsidP="00B31E41">
      <w:r w:rsidRPr="009F68D1">
        <w:t xml:space="preserve">We have outgrown our previous strategy having achieved these KPIs. </w:t>
      </w:r>
      <w:r>
        <w:t xml:space="preserve">Our new strategy </w:t>
      </w:r>
      <w:r w:rsidRPr="009F68D1">
        <w:t>places the focus on continual improvement and localised focus to ensure we make a sustained and strengthened</w:t>
      </w:r>
      <w:r>
        <w:t xml:space="preserve"> contribution to economic growth.</w:t>
      </w:r>
    </w:p>
    <w:p w14:paraId="237D0613" w14:textId="77777777" w:rsidR="00B31E41" w:rsidRPr="007D23FE" w:rsidRDefault="00B31E41" w:rsidP="00B31E41">
      <w:r w:rsidRPr="007D23FE">
        <w:t xml:space="preserve">During the last five years we have: </w:t>
      </w:r>
    </w:p>
    <w:p w14:paraId="0E5ED535" w14:textId="77777777" w:rsidR="00B31E41" w:rsidRDefault="00B31E41" w:rsidP="00B31E41">
      <w:pPr>
        <w:pStyle w:val="ListParagraph"/>
        <w:numPr>
          <w:ilvl w:val="0"/>
          <w:numId w:val="6"/>
        </w:numPr>
        <w:spacing w:after="160" w:line="259" w:lineRule="auto"/>
      </w:pPr>
      <w:r>
        <w:t>I</w:t>
      </w:r>
      <w:r w:rsidRPr="0050335E">
        <w:t xml:space="preserve">ntroduced changes in expectations for programmes, e.g. </w:t>
      </w:r>
      <w:r>
        <w:t xml:space="preserve">graduate attributes </w:t>
      </w:r>
      <w:r w:rsidRPr="0050335E">
        <w:t>mapping</w:t>
      </w:r>
      <w:r>
        <w:t>.</w:t>
      </w:r>
    </w:p>
    <w:p w14:paraId="6725FE9C" w14:textId="77777777" w:rsidR="00B31E41" w:rsidRDefault="00B31E41" w:rsidP="00B31E41">
      <w:pPr>
        <w:pStyle w:val="ListParagraph"/>
        <w:numPr>
          <w:ilvl w:val="0"/>
          <w:numId w:val="6"/>
        </w:numPr>
        <w:spacing w:after="160" w:line="259" w:lineRule="auto"/>
      </w:pPr>
      <w:r>
        <w:t xml:space="preserve">Embedded an annual process of career readiness for all students which includes understanding their career goal and </w:t>
      </w:r>
      <w:proofErr w:type="gramStart"/>
      <w:r>
        <w:t>future plans</w:t>
      </w:r>
      <w:proofErr w:type="gramEnd"/>
      <w:r>
        <w:t>.</w:t>
      </w:r>
    </w:p>
    <w:p w14:paraId="37A594E4" w14:textId="77777777" w:rsidR="00B31E41" w:rsidRDefault="00B31E41" w:rsidP="00B31E41">
      <w:pPr>
        <w:pStyle w:val="ListParagraph"/>
        <w:numPr>
          <w:ilvl w:val="0"/>
          <w:numId w:val="6"/>
        </w:numPr>
        <w:spacing w:after="160" w:line="259" w:lineRule="auto"/>
      </w:pPr>
      <w:r>
        <w:lastRenderedPageBreak/>
        <w:t>Restructured the careers support available by growing the careers team and providing a dedicated, professionally qualified careers expert for all departments and schools.</w:t>
      </w:r>
    </w:p>
    <w:p w14:paraId="664DD015" w14:textId="77777777" w:rsidR="00B31E41" w:rsidRDefault="00B31E41" w:rsidP="00B31E41">
      <w:pPr>
        <w:pStyle w:val="ListParagraph"/>
        <w:numPr>
          <w:ilvl w:val="0"/>
          <w:numId w:val="6"/>
        </w:numPr>
        <w:spacing w:after="160" w:line="259" w:lineRule="auto"/>
      </w:pPr>
      <w:r>
        <w:t xml:space="preserve">Approved a compulsory </w:t>
      </w:r>
      <w:r w:rsidRPr="0050335E">
        <w:t xml:space="preserve">requirement </w:t>
      </w:r>
      <w:r>
        <w:t xml:space="preserve">for all programmes </w:t>
      </w:r>
      <w:r w:rsidRPr="0050335E">
        <w:t xml:space="preserve">to include </w:t>
      </w:r>
      <w:r>
        <w:t xml:space="preserve">at least one </w:t>
      </w:r>
      <w:r w:rsidRPr="0050335E">
        <w:t>work-based module</w:t>
      </w:r>
      <w:r>
        <w:t>.</w:t>
      </w:r>
    </w:p>
    <w:p w14:paraId="5AE34ED6" w14:textId="77777777" w:rsidR="002F4662" w:rsidRDefault="002F4662" w:rsidP="002F4662">
      <w:pPr>
        <w:pStyle w:val="Heading2"/>
        <w:numPr>
          <w:ilvl w:val="0"/>
          <w:numId w:val="12"/>
        </w:numPr>
      </w:pPr>
      <w:bookmarkStart w:id="5" w:name="_Toc192683415"/>
      <w:r>
        <w:t>Employability 2025-2030</w:t>
      </w:r>
      <w:bookmarkEnd w:id="5"/>
    </w:p>
    <w:p w14:paraId="5D544F11" w14:textId="77777777" w:rsidR="002F4662" w:rsidRDefault="002F4662" w:rsidP="002F4662">
      <w:r>
        <w:t xml:space="preserve">The focus for our new employability strategy 2025-2030 is to continue our success with supporting students and recent graduates (up to three years post-graduation) to secure a positive outcome that will be reflected not only in national metrics but also in the lived experiences of our students. </w:t>
      </w:r>
    </w:p>
    <w:p w14:paraId="066A2B87" w14:textId="77777777" w:rsidR="002F4662" w:rsidRDefault="002F4662" w:rsidP="002F4662">
      <w:r>
        <w:t xml:space="preserve">To build on the work that has already been done, it is recognised that there needs to be greater consistency in expectations across the university whilst allowing for bespoke approaches and targeted interventions. </w:t>
      </w:r>
    </w:p>
    <w:p w14:paraId="3214802F" w14:textId="77777777" w:rsidR="002F4662" w:rsidRDefault="002F4662" w:rsidP="00415AF4">
      <w:pPr>
        <w:pStyle w:val="Heading3"/>
        <w:numPr>
          <w:ilvl w:val="1"/>
          <w:numId w:val="12"/>
        </w:numPr>
      </w:pPr>
      <w:bookmarkStart w:id="6" w:name="_Toc192683416"/>
      <w:r>
        <w:t>Definition of Employability</w:t>
      </w:r>
      <w:bookmarkEnd w:id="6"/>
    </w:p>
    <w:p w14:paraId="57865002" w14:textId="77777777" w:rsidR="002F4662" w:rsidRDefault="002F4662" w:rsidP="002F4662">
      <w:r>
        <w:t>The following internationally recognised definition of employability is adopted to reflect the ambition and context of the University:</w:t>
      </w:r>
    </w:p>
    <w:p w14:paraId="56B83AC3" w14:textId="77777777" w:rsidR="002F4662" w:rsidRPr="006432B0" w:rsidRDefault="002F4662" w:rsidP="002F4662">
      <w:pPr>
        <w:rPr>
          <w:i/>
          <w:iCs/>
        </w:rPr>
      </w:pPr>
      <w:r>
        <w:t xml:space="preserve"> </w:t>
      </w:r>
      <w:r w:rsidRPr="006432B0">
        <w:rPr>
          <w:i/>
          <w:iCs/>
        </w:rPr>
        <w:t>Employability is taken as:</w:t>
      </w:r>
    </w:p>
    <w:p w14:paraId="74B3231A" w14:textId="77777777" w:rsidR="002F4662" w:rsidRDefault="002F4662" w:rsidP="002F4662">
      <w:pPr>
        <w:ind w:left="357"/>
      </w:pPr>
      <w:r>
        <w:rPr>
          <w:i/>
          <w:iCs/>
        </w:rPr>
        <w:t>“</w:t>
      </w:r>
      <w:r w:rsidRPr="00117923">
        <w:rPr>
          <w:i/>
          <w:iCs/>
        </w:rPr>
        <w:t>a set of achievements – skills, understandings and personal attributes – that makes graduates more likely to gain employment and be successful in their chosen occupations, which benefits themselves, the workforce, the community and the economy</w:t>
      </w:r>
      <w:r w:rsidRPr="00117923">
        <w:t>.</w:t>
      </w:r>
      <w:r>
        <w:t>”</w:t>
      </w:r>
      <w:r w:rsidRPr="00117923">
        <w:t xml:space="preserve"> [</w:t>
      </w:r>
      <w:hyperlink r:id="rId11" w:history="1">
        <w:r w:rsidRPr="00C267C2">
          <w:rPr>
            <w:rStyle w:val="Hyperlink"/>
          </w:rPr>
          <w:t>Yorke (2006)</w:t>
        </w:r>
      </w:hyperlink>
      <w:r w:rsidRPr="00117923">
        <w:t>]</w:t>
      </w:r>
      <w:r>
        <w:t xml:space="preserve"> </w:t>
      </w:r>
    </w:p>
    <w:p w14:paraId="17569B9A" w14:textId="77777777" w:rsidR="002F4662" w:rsidRDefault="002F4662" w:rsidP="00415AF4">
      <w:pPr>
        <w:pStyle w:val="Heading2"/>
        <w:numPr>
          <w:ilvl w:val="0"/>
          <w:numId w:val="12"/>
        </w:numPr>
      </w:pPr>
      <w:bookmarkStart w:id="7" w:name="_Toc192683417"/>
      <w:r>
        <w:t>Employability Strategy 2025-2030 Primary Objectives</w:t>
      </w:r>
      <w:bookmarkEnd w:id="7"/>
      <w:r>
        <w:t xml:space="preserve">  </w:t>
      </w:r>
    </w:p>
    <w:p w14:paraId="709C1FDC" w14:textId="77777777" w:rsidR="002F4662" w:rsidRDefault="002F4662" w:rsidP="002F4662">
      <w:pPr>
        <w:pStyle w:val="ListParagraph"/>
        <w:numPr>
          <w:ilvl w:val="0"/>
          <w:numId w:val="21"/>
        </w:numPr>
        <w:spacing w:after="160" w:line="259" w:lineRule="auto"/>
      </w:pPr>
      <w:r>
        <w:t>All programmes achieve minimum B3 expectations (latest set of data).</w:t>
      </w:r>
    </w:p>
    <w:p w14:paraId="307F2E9D" w14:textId="77777777" w:rsidR="002F4662" w:rsidRDefault="002F4662" w:rsidP="002F4662">
      <w:pPr>
        <w:pStyle w:val="ListParagraph"/>
        <w:numPr>
          <w:ilvl w:val="0"/>
          <w:numId w:val="21"/>
        </w:numPr>
        <w:spacing w:after="160" w:line="259" w:lineRule="auto"/>
      </w:pPr>
      <w:r>
        <w:t>All programmes achieve minimum B3 expectations (rolling 4-year trend data).</w:t>
      </w:r>
    </w:p>
    <w:p w14:paraId="1A2C01E6" w14:textId="77777777" w:rsidR="002F4662" w:rsidRDefault="002F4662" w:rsidP="002F4662">
      <w:pPr>
        <w:pStyle w:val="ListParagraph"/>
        <w:numPr>
          <w:ilvl w:val="0"/>
          <w:numId w:val="21"/>
        </w:numPr>
        <w:spacing w:after="160" w:line="259" w:lineRule="auto"/>
      </w:pPr>
      <w:r>
        <w:t xml:space="preserve">All programmes are benchmarked against local and nation data sets (TEF expectation). </w:t>
      </w:r>
    </w:p>
    <w:p w14:paraId="25518543" w14:textId="77777777" w:rsidR="002F4662" w:rsidRDefault="002F4662" w:rsidP="002F4662">
      <w:pPr>
        <w:pStyle w:val="ListParagraph"/>
        <w:numPr>
          <w:ilvl w:val="0"/>
          <w:numId w:val="21"/>
        </w:numPr>
        <w:spacing w:after="160" w:line="259" w:lineRule="auto"/>
      </w:pPr>
      <w:r>
        <w:t>Achieve more than B3 threshold for PRSB programmes.</w:t>
      </w:r>
    </w:p>
    <w:p w14:paraId="4372115D" w14:textId="77777777" w:rsidR="002F4662" w:rsidRDefault="002F4662" w:rsidP="002F4662">
      <w:pPr>
        <w:pStyle w:val="ListParagraph"/>
        <w:numPr>
          <w:ilvl w:val="0"/>
          <w:numId w:val="21"/>
        </w:numPr>
        <w:spacing w:after="160" w:line="259" w:lineRule="auto"/>
      </w:pPr>
      <w:r>
        <w:t>Ensure equitable outcomes for all as identified by the APP.</w:t>
      </w:r>
    </w:p>
    <w:p w14:paraId="0A10F534" w14:textId="77777777" w:rsidR="002F4662" w:rsidRDefault="002F4662" w:rsidP="002F4662">
      <w:pPr>
        <w:pStyle w:val="ListParagraph"/>
        <w:numPr>
          <w:ilvl w:val="0"/>
          <w:numId w:val="21"/>
        </w:numPr>
        <w:spacing w:after="160" w:line="259" w:lineRule="auto"/>
      </w:pPr>
      <w:r>
        <w:t>Develop a framework for delivery of appropriate work experience that meets the needs of our regional landscape.</w:t>
      </w:r>
    </w:p>
    <w:p w14:paraId="479B8C41" w14:textId="77777777" w:rsidR="002F4662" w:rsidRDefault="002F4662" w:rsidP="002F4662">
      <w:r>
        <w:t>We will achieve this through a consistent approach to development, monitoring and accountability of programmes, departments and faculties and where the expertise of careers is integrated into the planning, delivery and curriculum development of programmes. Intrinsic to this approach is the expectation that good practice is shared and adopted.</w:t>
      </w:r>
    </w:p>
    <w:p w14:paraId="35607494" w14:textId="77777777" w:rsidR="002F4662" w:rsidRDefault="002F4662" w:rsidP="002F4662">
      <w:r>
        <w:t>Central to this is approach is:</w:t>
      </w:r>
    </w:p>
    <w:p w14:paraId="506518DF" w14:textId="77777777" w:rsidR="002F4662" w:rsidRDefault="002F4662" w:rsidP="002F4662">
      <w:pPr>
        <w:pStyle w:val="ListParagraph"/>
        <w:numPr>
          <w:ilvl w:val="0"/>
          <w:numId w:val="23"/>
        </w:numPr>
        <w:spacing w:after="160" w:line="259" w:lineRule="auto"/>
      </w:pPr>
      <w:r>
        <w:t>The development of a university framework for employability which outlines the relationship between key colleagues and processes.</w:t>
      </w:r>
    </w:p>
    <w:p w14:paraId="51780B50" w14:textId="77777777" w:rsidR="002F4662" w:rsidRDefault="002F4662" w:rsidP="002F4662">
      <w:pPr>
        <w:pStyle w:val="ListParagraph"/>
        <w:numPr>
          <w:ilvl w:val="1"/>
          <w:numId w:val="23"/>
        </w:numPr>
        <w:spacing w:after="160" w:line="259" w:lineRule="auto"/>
      </w:pPr>
      <w:r>
        <w:lastRenderedPageBreak/>
        <w:t>Bespoke adaptations of this framework will be produced by each faculty.</w:t>
      </w:r>
    </w:p>
    <w:p w14:paraId="0556CFE9" w14:textId="77777777" w:rsidR="002F4662" w:rsidRDefault="002F4662" w:rsidP="002F4662">
      <w:pPr>
        <w:pStyle w:val="ListParagraph"/>
        <w:numPr>
          <w:ilvl w:val="0"/>
          <w:numId w:val="23"/>
        </w:numPr>
        <w:spacing w:after="160" w:line="259" w:lineRule="auto"/>
      </w:pPr>
      <w:r>
        <w:t>A common approach to action planning, where a cross-faculty agreed list of actions to be taken is applied. These actions are based on the primary objectives outlined above and are designed to address them.</w:t>
      </w:r>
    </w:p>
    <w:p w14:paraId="6E72DAEF" w14:textId="77777777" w:rsidR="002F4662" w:rsidRDefault="002F4662" w:rsidP="002F4662">
      <w:pPr>
        <w:pStyle w:val="ListParagraph"/>
        <w:numPr>
          <w:ilvl w:val="0"/>
          <w:numId w:val="23"/>
        </w:numPr>
        <w:spacing w:after="160" w:line="259" w:lineRule="auto"/>
      </w:pPr>
      <w:r>
        <w:t>Evidence of integration of the Careers Development Programme and engagement with the Careers team by all students at all levels of study.</w:t>
      </w:r>
    </w:p>
    <w:p w14:paraId="4745F2FE" w14:textId="77777777" w:rsidR="002F4662" w:rsidRDefault="002F4662" w:rsidP="00415AF4">
      <w:pPr>
        <w:pStyle w:val="Heading2"/>
        <w:numPr>
          <w:ilvl w:val="0"/>
          <w:numId w:val="12"/>
        </w:numPr>
      </w:pPr>
      <w:bookmarkStart w:id="8" w:name="_Toc192683418"/>
      <w:r>
        <w:t>Careers Support</w:t>
      </w:r>
      <w:bookmarkEnd w:id="8"/>
      <w:r>
        <w:t xml:space="preserve"> </w:t>
      </w:r>
    </w:p>
    <w:p w14:paraId="6187D0F7" w14:textId="77777777" w:rsidR="002F4662" w:rsidRPr="006A71DD" w:rsidRDefault="002F4662" w:rsidP="002F4662">
      <w:r>
        <w:t>Careers support will adapt according to the needs of our students and the evaluation of strategies adopted. The approach of the Careers team is to ensure that all students are engaged in:</w:t>
      </w:r>
    </w:p>
    <w:p w14:paraId="326873A4" w14:textId="77777777" w:rsidR="002F4662" w:rsidRDefault="002F4662" w:rsidP="002F4662">
      <w:pPr>
        <w:pStyle w:val="ListParagraph"/>
        <w:numPr>
          <w:ilvl w:val="0"/>
          <w:numId w:val="22"/>
        </w:numPr>
        <w:spacing w:after="160" w:line="259" w:lineRule="auto"/>
      </w:pPr>
      <w:r>
        <w:rPr>
          <w:b/>
          <w:bCs/>
        </w:rPr>
        <w:t>Discovering</w:t>
      </w:r>
      <w:r>
        <w:t xml:space="preserve"> their career options and graduate attributes. </w:t>
      </w:r>
    </w:p>
    <w:p w14:paraId="6C29213C" w14:textId="77777777" w:rsidR="002F4662" w:rsidRDefault="002F4662" w:rsidP="002F4662">
      <w:pPr>
        <w:pStyle w:val="ListParagraph"/>
        <w:numPr>
          <w:ilvl w:val="0"/>
          <w:numId w:val="22"/>
        </w:numPr>
        <w:spacing w:after="160" w:line="259" w:lineRule="auto"/>
      </w:pPr>
      <w:r>
        <w:rPr>
          <w:b/>
          <w:bCs/>
        </w:rPr>
        <w:t>D</w:t>
      </w:r>
      <w:r w:rsidRPr="00AB088B">
        <w:rPr>
          <w:b/>
          <w:bCs/>
        </w:rPr>
        <w:t>eveloping</w:t>
      </w:r>
      <w:r>
        <w:t xml:space="preserve"> their graduate attributes and engaging in meaningful and authentic work experience as part of their course.</w:t>
      </w:r>
    </w:p>
    <w:p w14:paraId="00ECDFA8" w14:textId="77777777" w:rsidR="002F4662" w:rsidRDefault="002F4662" w:rsidP="002F4662">
      <w:pPr>
        <w:pStyle w:val="ListParagraph"/>
        <w:numPr>
          <w:ilvl w:val="0"/>
          <w:numId w:val="22"/>
        </w:numPr>
        <w:spacing w:after="160" w:line="259" w:lineRule="auto"/>
      </w:pPr>
      <w:r>
        <w:rPr>
          <w:b/>
          <w:bCs/>
        </w:rPr>
        <w:t>Preparing to compete</w:t>
      </w:r>
      <w:r>
        <w:t xml:space="preserve"> for a positive graduate outcome.</w:t>
      </w:r>
    </w:p>
    <w:p w14:paraId="1A4CD007" w14:textId="77777777" w:rsidR="002F4662" w:rsidRDefault="002F4662" w:rsidP="002F4662">
      <w:r>
        <w:t>Our approach to career readiness embeds the needs of employers, and specifically our regional partners, by ensuring our programmes can respond to regional LMI needs and that our alumni are able to adapt to an ever-changing employability landscape and context.</w:t>
      </w:r>
    </w:p>
    <w:p w14:paraId="0FD56587" w14:textId="77777777" w:rsidR="002F4662" w:rsidRDefault="002F4662" w:rsidP="002F4662">
      <w:r>
        <w:t>We achieve this through working collaboratively with Faculties and external stakeholders to:</w:t>
      </w:r>
    </w:p>
    <w:p w14:paraId="08A4A7E0" w14:textId="77777777" w:rsidR="002F4662" w:rsidRDefault="002F4662" w:rsidP="002F4662">
      <w:pPr>
        <w:pStyle w:val="ListParagraph"/>
        <w:numPr>
          <w:ilvl w:val="0"/>
          <w:numId w:val="14"/>
        </w:numPr>
        <w:spacing w:after="160" w:line="259" w:lineRule="auto"/>
      </w:pPr>
      <w:r>
        <w:t xml:space="preserve">Understand individual stages of career readiness, </w:t>
      </w:r>
      <w:proofErr w:type="gramStart"/>
      <w:r>
        <w:t>future plans</w:t>
      </w:r>
      <w:proofErr w:type="gramEnd"/>
      <w:r>
        <w:t xml:space="preserve"> and career goals from our </w:t>
      </w:r>
      <w:r w:rsidRPr="00E16C1F">
        <w:rPr>
          <w:b/>
          <w:bCs/>
        </w:rPr>
        <w:t>career readiness approach</w:t>
      </w:r>
      <w:r>
        <w:t>.</w:t>
      </w:r>
      <w:r w:rsidRPr="00A55F75">
        <w:t xml:space="preserve"> </w:t>
      </w:r>
    </w:p>
    <w:p w14:paraId="2FC90492" w14:textId="77777777" w:rsidR="002F4662" w:rsidRDefault="002F4662" w:rsidP="002F4662">
      <w:pPr>
        <w:pStyle w:val="ListParagraph"/>
        <w:numPr>
          <w:ilvl w:val="0"/>
          <w:numId w:val="14"/>
        </w:numPr>
        <w:spacing w:after="160" w:line="259" w:lineRule="auto"/>
      </w:pPr>
      <w:r>
        <w:t xml:space="preserve">Implement the </w:t>
      </w:r>
      <w:r w:rsidRPr="00C4028D">
        <w:t>Edge Hill Model of Career Development</w:t>
      </w:r>
      <w:r>
        <w:t>:</w:t>
      </w:r>
    </w:p>
    <w:p w14:paraId="4DC11C1C" w14:textId="77777777" w:rsidR="002F4662" w:rsidRDefault="002F4662" w:rsidP="002F4662">
      <w:pPr>
        <w:ind w:left="360"/>
        <w:jc w:val="center"/>
      </w:pPr>
      <w:r w:rsidRPr="00B84E6C">
        <w:rPr>
          <w:noProof/>
        </w:rPr>
        <w:drawing>
          <wp:inline distT="0" distB="0" distL="0" distR="0" wp14:anchorId="46FEF9ED" wp14:editId="65630D46">
            <wp:extent cx="2348701" cy="2114506"/>
            <wp:effectExtent l="0" t="0" r="0" b="635"/>
            <wp:docPr id="9" name="Picture 8" descr="A diagram of the Edge Hill Model of Career Development. A pie chart split into equal quarters contains the following phrases:&#10;1) Take Action&#10;2) Self-Awareness&#10;3) Explore options&#10;4) Plan and Decide&#10;Words at equal thirds of the chart sit outside of it &quot;Compete&quot;, &quot;Discover&quot;, and &quot; Develop&quot;">
              <a:extLst xmlns:a="http://schemas.openxmlformats.org/drawingml/2006/main">
                <a:ext uri="{FF2B5EF4-FFF2-40B4-BE49-F238E27FC236}">
                  <a16:creationId xmlns:a16="http://schemas.microsoft.com/office/drawing/2014/main" id="{D48EB963-2AAE-07C2-5D15-1633253F4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the Edge Hill Model of Career Development. A pie chart split into equal quarters contains the following phrases:&#10;1) Take Action&#10;2) Self-Awareness&#10;3) Explore options&#10;4) Plan and Decide&#10;Words at equal thirds of the chart sit outside of it &quot;Compete&quot;, &quot;Discover&quot;, and &quot; Develop&quot;">
                      <a:extLst>
                        <a:ext uri="{FF2B5EF4-FFF2-40B4-BE49-F238E27FC236}">
                          <a16:creationId xmlns:a16="http://schemas.microsoft.com/office/drawing/2014/main" id="{D48EB963-2AAE-07C2-5D15-1633253F4FA2}"/>
                        </a:ext>
                      </a:extLst>
                    </pic:cNvPr>
                    <pic:cNvPicPr>
                      <a:picLocks noChangeAspect="1"/>
                    </pic:cNvPicPr>
                  </pic:nvPicPr>
                  <pic:blipFill>
                    <a:blip r:embed="rId12"/>
                    <a:stretch>
                      <a:fillRect/>
                    </a:stretch>
                  </pic:blipFill>
                  <pic:spPr>
                    <a:xfrm>
                      <a:off x="0" y="0"/>
                      <a:ext cx="2364527" cy="2128754"/>
                    </a:xfrm>
                    <a:prstGeom prst="rect">
                      <a:avLst/>
                    </a:prstGeom>
                  </pic:spPr>
                </pic:pic>
              </a:graphicData>
            </a:graphic>
          </wp:inline>
        </w:drawing>
      </w:r>
    </w:p>
    <w:p w14:paraId="04602FCF" w14:textId="77777777" w:rsidR="002F4662" w:rsidRDefault="002F4662" w:rsidP="002F4662">
      <w:pPr>
        <w:pStyle w:val="ListParagraph"/>
        <w:numPr>
          <w:ilvl w:val="0"/>
          <w:numId w:val="14"/>
        </w:numPr>
        <w:spacing w:after="160" w:line="259" w:lineRule="auto"/>
      </w:pPr>
      <w:r>
        <w:t xml:space="preserve">Embed the </w:t>
      </w:r>
      <w:r w:rsidRPr="00E16C1F">
        <w:rPr>
          <w:b/>
          <w:bCs/>
        </w:rPr>
        <w:t>Career Development Programme</w:t>
      </w:r>
      <w:r>
        <w:t xml:space="preserve"> into all courses at all levels of study.​</w:t>
      </w:r>
    </w:p>
    <w:p w14:paraId="7916DAE2" w14:textId="77777777" w:rsidR="002F4662" w:rsidRDefault="002F4662" w:rsidP="002F4662">
      <w:pPr>
        <w:pStyle w:val="ListParagraph"/>
        <w:numPr>
          <w:ilvl w:val="0"/>
          <w:numId w:val="14"/>
        </w:numPr>
        <w:spacing w:after="160" w:line="259" w:lineRule="auto"/>
      </w:pPr>
      <w:r w:rsidRPr="3998C94C">
        <w:rPr>
          <w:b/>
          <w:bCs/>
        </w:rPr>
        <w:t>Involve employers and other partners</w:t>
      </w:r>
      <w:r>
        <w:t xml:space="preserve"> in the development, delivery and assessment of our portfolio, understanding their needs and aligning to gaps in the labour market. Their feedback and expertise to be clearly visible in validation processes and documentation.</w:t>
      </w:r>
    </w:p>
    <w:p w14:paraId="7CD80343" w14:textId="77777777" w:rsidR="002F4662" w:rsidRDefault="002F4662" w:rsidP="002F4662">
      <w:pPr>
        <w:pStyle w:val="ListParagraph"/>
        <w:numPr>
          <w:ilvl w:val="0"/>
          <w:numId w:val="14"/>
        </w:numPr>
        <w:spacing w:after="160" w:line="259" w:lineRule="auto"/>
      </w:pPr>
      <w:r w:rsidRPr="002F105A">
        <w:lastRenderedPageBreak/>
        <w:t>Implement a consistent approach to the strategic oversight of graduate outcomes</w:t>
      </w:r>
      <w:r>
        <w:t xml:space="preserve"> across the University. </w:t>
      </w:r>
    </w:p>
    <w:p w14:paraId="06022897" w14:textId="77777777" w:rsidR="002F4662" w:rsidRDefault="002F4662" w:rsidP="002F4662">
      <w:pPr>
        <w:pStyle w:val="ListParagraph"/>
        <w:numPr>
          <w:ilvl w:val="0"/>
          <w:numId w:val="14"/>
        </w:numPr>
        <w:spacing w:after="160" w:line="259" w:lineRule="auto"/>
      </w:pPr>
      <w:r>
        <w:rPr>
          <w:b/>
          <w:bCs/>
        </w:rPr>
        <w:t>Devolve responsibility for identifying areas of focus to departments/Schools</w:t>
      </w:r>
      <w:r>
        <w:t>, enabling our approach to be agile and responsive to changes in policy and local requirements.</w:t>
      </w:r>
    </w:p>
    <w:p w14:paraId="1BDBD717" w14:textId="77777777" w:rsidR="002F4662" w:rsidRDefault="002F4662" w:rsidP="002F4662">
      <w:pPr>
        <w:pStyle w:val="ListParagraph"/>
        <w:numPr>
          <w:ilvl w:val="0"/>
          <w:numId w:val="14"/>
        </w:numPr>
        <w:spacing w:after="160" w:line="259" w:lineRule="auto"/>
      </w:pPr>
      <w:r w:rsidRPr="00B03E52">
        <w:t>Utilise</w:t>
      </w:r>
      <w:r>
        <w:t xml:space="preserve"> </w:t>
      </w:r>
      <w:r w:rsidRPr="00B03E52">
        <w:t>authentic learning, teaching and assessment strategies</w:t>
      </w:r>
      <w:r>
        <w:t xml:space="preserve"> within all courses.</w:t>
      </w:r>
    </w:p>
    <w:p w14:paraId="7EEF3653" w14:textId="77777777" w:rsidR="000F4C28" w:rsidRDefault="002F4662" w:rsidP="000F4C28">
      <w:r>
        <w:t>Every programme is already required to include at least one compulsory module which provides students with opportunities for work experience. The hierarchy of work experience included at Appendix 1 provides an overview of suitable authentic work-based learning opportunities.</w:t>
      </w:r>
    </w:p>
    <w:p w14:paraId="6C495843" w14:textId="431104BA" w:rsidR="002F4662" w:rsidRDefault="002F4662" w:rsidP="004C6C1F">
      <w:pPr>
        <w:pStyle w:val="Heading2"/>
        <w:numPr>
          <w:ilvl w:val="1"/>
          <w:numId w:val="12"/>
        </w:numPr>
      </w:pPr>
      <w:bookmarkStart w:id="9" w:name="_Toc192683419"/>
      <w:r>
        <w:t>Student Focused Approach</w:t>
      </w:r>
      <w:bookmarkEnd w:id="9"/>
    </w:p>
    <w:p w14:paraId="54CC0311" w14:textId="77777777" w:rsidR="002F4662" w:rsidRDefault="002F4662" w:rsidP="002F4662">
      <w:r>
        <w:t xml:space="preserve">Our approach will be student focused </w:t>
      </w:r>
      <w:proofErr w:type="gramStart"/>
      <w:r>
        <w:t>at</w:t>
      </w:r>
      <w:proofErr w:type="gramEnd"/>
      <w:r>
        <w:t xml:space="preserve"> all times:</w:t>
      </w:r>
      <w:r w:rsidRPr="00D24C27">
        <w:rPr>
          <w:noProof/>
        </w:rPr>
        <w:t xml:space="preserve"> </w:t>
      </w:r>
    </w:p>
    <w:p w14:paraId="319E7F6A" w14:textId="77777777" w:rsidR="002F4662" w:rsidRDefault="002F4662" w:rsidP="002F4662">
      <w:r w:rsidRPr="00616EE2">
        <w:rPr>
          <w:noProof/>
        </w:rPr>
        <mc:AlternateContent>
          <mc:Choice Requires="wps">
            <w:drawing>
              <wp:anchor distT="0" distB="0" distL="114300" distR="114300" simplePos="0" relativeHeight="251658243" behindDoc="0" locked="0" layoutInCell="1" allowOverlap="1" wp14:anchorId="6C6914ED" wp14:editId="4C43C909">
                <wp:simplePos x="0" y="0"/>
                <wp:positionH relativeFrom="column">
                  <wp:posOffset>3360420</wp:posOffset>
                </wp:positionH>
                <wp:positionV relativeFrom="paragraph">
                  <wp:posOffset>161925</wp:posOffset>
                </wp:positionV>
                <wp:extent cx="1615440" cy="4213860"/>
                <wp:effectExtent l="0" t="0" r="22860" b="0"/>
                <wp:wrapNone/>
                <wp:docPr id="11" name="Arrow: Curved Right 10" descr="An arrow pointing from the top of the diagram around to the bottom, labelled with the phrase &quot;Personal tutors are key to linking between curriculum content and referring to support services&quot; ">
                  <a:extLst xmlns:a="http://schemas.openxmlformats.org/drawingml/2006/main">
                    <a:ext uri="{FF2B5EF4-FFF2-40B4-BE49-F238E27FC236}">
                      <a16:creationId xmlns:a16="http://schemas.microsoft.com/office/drawing/2014/main" id="{5F4E3885-54F6-6B03-F7BE-86788199EB0E}"/>
                    </a:ext>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flipH="1">
                          <a:off x="0" y="0"/>
                          <a:ext cx="1615440" cy="4213860"/>
                        </a:xfrm>
                        <a:prstGeom prst="curvedRightArrow">
                          <a:avLst>
                            <a:gd name="adj1" fmla="val 12382"/>
                            <a:gd name="adj2" fmla="val 24522"/>
                            <a:gd name="adj3" fmla="val 27775"/>
                          </a:avLst>
                        </a:prstGeom>
                        <a:solidFill>
                          <a:schemeClr val="accent1">
                            <a:lumMod val="60000"/>
                            <a:lumOff val="4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EEDA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 o:spid="_x0000_s1026" type="#_x0000_t102" alt="An arrow pointing from the top of the diagram around to the bottom, labelled with the phrase &quot;Personal tutors are key to linking between curriculum content and referring to support services&quot; " style="position:absolute;margin-left:264.6pt;margin-top:12.75pt;width:127.2pt;height:331.8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" adj="19569,21097,15601" fillcolor="#d04ecc [1940]" strokecolor="#51154f [2404]" strokeweight="2pt"/>
            </w:pict>
          </mc:Fallback>
        </mc:AlternateContent>
      </w:r>
      <w:r w:rsidRPr="00616EE2">
        <w:rPr>
          <w:noProof/>
        </w:rPr>
        <mc:AlternateContent>
          <mc:Choice Requires="wps">
            <w:drawing>
              <wp:anchor distT="0" distB="0" distL="114300" distR="114300" simplePos="0" relativeHeight="251658244" behindDoc="0" locked="0" layoutInCell="1" allowOverlap="1" wp14:anchorId="4BE5D71E" wp14:editId="30ED7C99">
                <wp:simplePos x="0" y="0"/>
                <wp:positionH relativeFrom="margin">
                  <wp:posOffset>929640</wp:posOffset>
                </wp:positionH>
                <wp:positionV relativeFrom="paragraph">
                  <wp:posOffset>84455</wp:posOffset>
                </wp:positionV>
                <wp:extent cx="1714500" cy="4236720"/>
                <wp:effectExtent l="0" t="0" r="19050" b="11430"/>
                <wp:wrapNone/>
                <wp:docPr id="834134342" name="Arrow: Curved Right 10" descr="An arrow pointing around from the bottom of the diagram to the top, labelled &quot;External engagement activities meet the needs of our students and courses through active collaboration&quot;"/>
                <wp:cNvGraphicFramePr/>
                <a:graphic xmlns:a="http://schemas.openxmlformats.org/drawingml/2006/main">
                  <a:graphicData uri="http://schemas.microsoft.com/office/word/2010/wordprocessingShape">
                    <wps:wsp>
                      <wps:cNvSpPr/>
                      <wps:spPr>
                        <a:xfrm rot="10800000" flipH="1">
                          <a:off x="0" y="0"/>
                          <a:ext cx="1714500" cy="4236720"/>
                        </a:xfrm>
                        <a:prstGeom prst="curvedRightArrow">
                          <a:avLst>
                            <a:gd name="adj1" fmla="val 12382"/>
                            <a:gd name="adj2" fmla="val 24522"/>
                            <a:gd name="adj3" fmla="val 27775"/>
                          </a:avLst>
                        </a:prstGeom>
                        <a:solidFill>
                          <a:schemeClr val="accent1">
                            <a:lumMod val="60000"/>
                            <a:lumOff val="4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B5CD" id="Arrow: Curved Right 10" o:spid="_x0000_s1026" type="#_x0000_t102" alt="An arrow pointing around from the bottom of the diagram to the top, labelled &quot;External engagement activities meet the needs of our students and courses through active collaboration&quot;" style="position:absolute;margin-left:73.2pt;margin-top:6.65pt;width:135pt;height:333.6pt;rotation:180;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" adj="19457,21070,15601" fillcolor="#d04ecc [1940]" strokecolor="#51154f [2404]" strokeweight="2pt">
                <w10:wrap anchorx="margin"/>
              </v:shape>
            </w:pict>
          </mc:Fallback>
        </mc:AlternateContent>
      </w:r>
    </w:p>
    <w:p w14:paraId="288ACFFD" w14:textId="4BA50095" w:rsidR="002F4662" w:rsidRPr="003D215B" w:rsidRDefault="000F4C28" w:rsidP="002F4662">
      <w:r w:rsidRPr="00D24C27">
        <w:rPr>
          <w:noProof/>
        </w:rPr>
        <mc:AlternateContent>
          <mc:Choice Requires="wps">
            <w:drawing>
              <wp:anchor distT="0" distB="0" distL="114300" distR="114300" simplePos="0" relativeHeight="251658246" behindDoc="0" locked="0" layoutInCell="1" allowOverlap="1" wp14:anchorId="1B4DDEEA" wp14:editId="66FDDB65">
                <wp:simplePos x="0" y="0"/>
                <wp:positionH relativeFrom="column">
                  <wp:posOffset>4930140</wp:posOffset>
                </wp:positionH>
                <wp:positionV relativeFrom="paragraph">
                  <wp:posOffset>1417955</wp:posOffset>
                </wp:positionV>
                <wp:extent cx="1455420" cy="1280160"/>
                <wp:effectExtent l="0" t="0" r="0" b="0"/>
                <wp:wrapNone/>
                <wp:docPr id="1443339989" name="Text Box 166033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CD5A7A"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sidRPr="005F5304">
                              <w:rPr>
                                <w:rFonts w:eastAsia="Times New Roman" w:cstheme="minorHAnsi"/>
                                <w:color w:val="0D0D0D"/>
                                <w:kern w:val="24"/>
                                <w:sz w:val="22"/>
                                <w:szCs w:val="20"/>
                                <w:lang w:val="en-US"/>
                              </w:rPr>
                              <w:t>Personal tutors are key to linking between curriculum content and referring to support services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DEEA" id="_x0000_t202" coordsize="21600,21600" o:spt="202" path="m,l,21600r21600,l21600,xe">
                <v:stroke joinstyle="miter"/>
                <v:path gradientshapeok="t" o:connecttype="rect"/>
              </v:shapetype>
              <v:shape id="Text Box 1660331134" o:spid="_x0000_s1026" type="#_x0000_t202" style="position:absolute;margin-left:388.2pt;margin-top:111.65pt;width:114.6pt;height:100.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" filled="f" stroked="f" strokeweight=".5pt">
                <v:textbox>
                  <w:txbxContent>
                    <w:p w14:paraId="6DCD5A7A"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sidRPr="005F5304">
                        <w:rPr>
                          <w:rFonts w:eastAsia="Times New Roman" w:cstheme="minorHAnsi"/>
                          <w:color w:val="0D0D0D"/>
                          <w:kern w:val="24"/>
                          <w:sz w:val="22"/>
                          <w:szCs w:val="20"/>
                          <w:lang w:val="en-US"/>
                        </w:rPr>
                        <w:t>Personal tutors are key to linking between curriculum content and referring to support services</w:t>
                      </w:r>
                    </w:p>
                  </w:txbxContent>
                </v:textbox>
              </v:shape>
            </w:pict>
          </mc:Fallback>
        </mc:AlternateContent>
      </w:r>
      <w:r w:rsidR="002F4662" w:rsidRPr="00D24C27">
        <w:rPr>
          <w:noProof/>
        </w:rPr>
        <mc:AlternateContent>
          <mc:Choice Requires="wps">
            <w:drawing>
              <wp:anchor distT="0" distB="0" distL="114300" distR="114300" simplePos="0" relativeHeight="251658245" behindDoc="0" locked="0" layoutInCell="1" allowOverlap="1" wp14:anchorId="3557B895" wp14:editId="0150EF6B">
                <wp:simplePos x="0" y="0"/>
                <wp:positionH relativeFrom="column">
                  <wp:posOffset>4930140</wp:posOffset>
                </wp:positionH>
                <wp:positionV relativeFrom="paragraph">
                  <wp:posOffset>1421765</wp:posOffset>
                </wp:positionV>
                <wp:extent cx="1455420" cy="1082040"/>
                <wp:effectExtent l="0" t="0" r="0" b="3810"/>
                <wp:wrapNone/>
                <wp:docPr id="2100051476" name="Text Box 166033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96B658"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sidRPr="005F5304">
                              <w:rPr>
                                <w:rFonts w:eastAsia="Times New Roman" w:cstheme="minorHAnsi"/>
                                <w:color w:val="0D0D0D"/>
                                <w:kern w:val="24"/>
                                <w:sz w:val="22"/>
                                <w:szCs w:val="20"/>
                                <w:lang w:val="en-US"/>
                              </w:rPr>
                              <w:t>Personal tutors are key to linking between curriculum content and referring to support services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7B895" id="_x0000_s1027" type="#_x0000_t202" style="position:absolute;margin-left:388.2pt;margin-top:111.95pt;width:114.6pt;height:8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" filled="f" stroked="f" strokeweight=".5pt">
                <v:textbox>
                  <w:txbxContent>
                    <w:p w14:paraId="3C96B658"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sidRPr="005F5304">
                        <w:rPr>
                          <w:rFonts w:eastAsia="Times New Roman" w:cstheme="minorHAnsi"/>
                          <w:color w:val="0D0D0D"/>
                          <w:kern w:val="24"/>
                          <w:sz w:val="22"/>
                          <w:szCs w:val="20"/>
                          <w:lang w:val="en-US"/>
                        </w:rPr>
                        <w:t>Personal tutors are key to linking between curriculum content and referring to support services</w:t>
                      </w:r>
                    </w:p>
                  </w:txbxContent>
                </v:textbox>
              </v:shape>
            </w:pict>
          </mc:Fallback>
        </mc:AlternateContent>
      </w:r>
      <w:r w:rsidR="002F4662" w:rsidRPr="00D24C27">
        <w:rPr>
          <w:noProof/>
        </w:rPr>
        <mc:AlternateContent>
          <mc:Choice Requires="wps">
            <w:drawing>
              <wp:anchor distT="0" distB="0" distL="114300" distR="114300" simplePos="0" relativeHeight="251658248" behindDoc="0" locked="0" layoutInCell="1" allowOverlap="1" wp14:anchorId="18FD93B2" wp14:editId="5317D381">
                <wp:simplePos x="0" y="0"/>
                <wp:positionH relativeFrom="column">
                  <wp:posOffset>-480060</wp:posOffset>
                </wp:positionH>
                <wp:positionV relativeFrom="paragraph">
                  <wp:posOffset>1383665</wp:posOffset>
                </wp:positionV>
                <wp:extent cx="1455420" cy="1409700"/>
                <wp:effectExtent l="0" t="0" r="0" b="0"/>
                <wp:wrapNone/>
                <wp:docPr id="1467142130" name="Text Box 166033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453AE2"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Pr>
                                <w:rFonts w:eastAsia="Times New Roman" w:cstheme="minorHAnsi"/>
                                <w:color w:val="0D0D0D"/>
                                <w:kern w:val="24"/>
                                <w:sz w:val="22"/>
                                <w:szCs w:val="20"/>
                                <w:lang w:val="en-US"/>
                              </w:rPr>
                              <w:t>External engagement activities meet the needs of our students and courses through active collaboration with appropriate stakeholders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D93B2" id="_x0000_s1028" type="#_x0000_t202" style="position:absolute;margin-left:-37.8pt;margin-top:108.95pt;width:114.6pt;height:11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" filled="f" stroked="f" strokeweight=".5pt">
                <v:textbox>
                  <w:txbxContent>
                    <w:p w14:paraId="72453AE2"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Pr>
                          <w:rFonts w:eastAsia="Times New Roman" w:cstheme="minorHAnsi"/>
                          <w:color w:val="0D0D0D"/>
                          <w:kern w:val="24"/>
                          <w:sz w:val="22"/>
                          <w:szCs w:val="20"/>
                          <w:lang w:val="en-US"/>
                        </w:rPr>
                        <w:t>External engagement activities meet the needs of our students and courses through active collaboration with appropriate stakeholders</w:t>
                      </w:r>
                    </w:p>
                  </w:txbxContent>
                </v:textbox>
              </v:shape>
            </w:pict>
          </mc:Fallback>
        </mc:AlternateContent>
      </w:r>
      <w:r w:rsidR="002F4662" w:rsidRPr="00616EE2">
        <w:rPr>
          <w:noProof/>
        </w:rPr>
        <mc:AlternateContent>
          <mc:Choice Requires="wps">
            <w:drawing>
              <wp:anchor distT="0" distB="0" distL="114300" distR="114300" simplePos="0" relativeHeight="251658247" behindDoc="0" locked="0" layoutInCell="1" allowOverlap="1" wp14:anchorId="5419D7E9" wp14:editId="6287B6B5">
                <wp:simplePos x="0" y="0"/>
                <wp:positionH relativeFrom="column">
                  <wp:posOffset>1275080</wp:posOffset>
                </wp:positionH>
                <wp:positionV relativeFrom="paragraph">
                  <wp:posOffset>2395220</wp:posOffset>
                </wp:positionV>
                <wp:extent cx="1366972" cy="1035039"/>
                <wp:effectExtent l="76200" t="266700" r="24130" b="280035"/>
                <wp:wrapNone/>
                <wp:docPr id="144485087" name="Text Box 2080168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72560">
                          <a:off x="0" y="0"/>
                          <a:ext cx="1366972" cy="1035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53A5AC" w14:textId="77777777" w:rsidR="002F4662" w:rsidRPr="005F5304" w:rsidRDefault="002F4662" w:rsidP="002F4662">
                            <w:pPr>
                              <w:kinsoku w:val="0"/>
                              <w:overflowPunct w:val="0"/>
                              <w:jc w:val="center"/>
                              <w:textAlignment w:val="baseline"/>
                              <w:rPr>
                                <w:rFonts w:eastAsia="Times New Roman" w:cstheme="minorHAnsi"/>
                                <w:color w:val="0D0D0D"/>
                                <w:kern w:val="24"/>
                                <w:sz w:val="22"/>
                                <w:lang w:val="en-US"/>
                              </w:rPr>
                            </w:pPr>
                            <w:r w:rsidRPr="005F5304">
                              <w:rPr>
                                <w:rFonts w:eastAsia="Times New Roman" w:cstheme="minorHAnsi"/>
                                <w:color w:val="0D0D0D"/>
                                <w:kern w:val="24"/>
                                <w:sz w:val="22"/>
                                <w:lang w:val="en-US"/>
                              </w:rPr>
                              <w:t xml:space="preserve">Supporting access 24/7/365; providing a stimulating </w:t>
                            </w:r>
                            <w:proofErr w:type="spellStart"/>
                            <w:r w:rsidRPr="005F5304">
                              <w:rPr>
                                <w:rFonts w:eastAsia="Times New Roman" w:cstheme="minorHAnsi"/>
                                <w:color w:val="0D0D0D"/>
                                <w:kern w:val="24"/>
                                <w:sz w:val="22"/>
                                <w:lang w:val="en-US"/>
                              </w:rPr>
                              <w:t>programme</w:t>
                            </w:r>
                            <w:proofErr w:type="spellEnd"/>
                            <w:r w:rsidRPr="005F5304">
                              <w:rPr>
                                <w:rFonts w:eastAsia="Times New Roman" w:cstheme="minorHAnsi"/>
                                <w:color w:val="0D0D0D"/>
                                <w:kern w:val="24"/>
                                <w:sz w:val="22"/>
                                <w:lang w:val="en-US"/>
                              </w:rPr>
                              <w:t xml:space="preserve"> of </w:t>
                            </w:r>
                            <w:proofErr w:type="spellStart"/>
                            <w:r w:rsidRPr="005F5304">
                              <w:rPr>
                                <w:rFonts w:eastAsia="Times New Roman" w:cstheme="minorHAnsi"/>
                                <w:color w:val="0D0D0D"/>
                                <w:kern w:val="24"/>
                                <w:sz w:val="22"/>
                                <w:lang w:val="en-US"/>
                              </w:rPr>
                              <w:t>extra curricular</w:t>
                            </w:r>
                            <w:proofErr w:type="spellEnd"/>
                            <w:r w:rsidRPr="005F5304">
                              <w:rPr>
                                <w:rFonts w:eastAsia="Times New Roman" w:cstheme="minorHAnsi"/>
                                <w:color w:val="0D0D0D"/>
                                <w:kern w:val="24"/>
                                <w:sz w:val="22"/>
                                <w:lang w:val="en-US"/>
                              </w:rPr>
                              <w:t xml:space="preserve"> activity</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D7E9" id="Text Box 2080168865" o:spid="_x0000_s1029" type="#_x0000_t202" style="position:absolute;margin-left:100.4pt;margin-top:188.6pt;width:107.65pt;height:81.5pt;rotation:2919148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" filled="f" stroked="f" strokeweight=".5pt">
                <v:textbox>
                  <w:txbxContent>
                    <w:p w14:paraId="0B53A5AC" w14:textId="77777777" w:rsidR="002F4662" w:rsidRPr="005F5304" w:rsidRDefault="002F4662" w:rsidP="002F4662">
                      <w:pPr>
                        <w:kinsoku w:val="0"/>
                        <w:overflowPunct w:val="0"/>
                        <w:jc w:val="center"/>
                        <w:textAlignment w:val="baseline"/>
                        <w:rPr>
                          <w:rFonts w:eastAsia="Times New Roman" w:cstheme="minorHAnsi"/>
                          <w:color w:val="0D0D0D"/>
                          <w:kern w:val="24"/>
                          <w:sz w:val="22"/>
                          <w:lang w:val="en-US"/>
                        </w:rPr>
                      </w:pPr>
                      <w:r w:rsidRPr="005F5304">
                        <w:rPr>
                          <w:rFonts w:eastAsia="Times New Roman" w:cstheme="minorHAnsi"/>
                          <w:color w:val="0D0D0D"/>
                          <w:kern w:val="24"/>
                          <w:sz w:val="22"/>
                          <w:lang w:val="en-US"/>
                        </w:rPr>
                        <w:t xml:space="preserve">Supporting access 24/7/365; providing a stimulating </w:t>
                      </w:r>
                      <w:proofErr w:type="spellStart"/>
                      <w:r w:rsidRPr="005F5304">
                        <w:rPr>
                          <w:rFonts w:eastAsia="Times New Roman" w:cstheme="minorHAnsi"/>
                          <w:color w:val="0D0D0D"/>
                          <w:kern w:val="24"/>
                          <w:sz w:val="22"/>
                          <w:lang w:val="en-US"/>
                        </w:rPr>
                        <w:t>programme</w:t>
                      </w:r>
                      <w:proofErr w:type="spellEnd"/>
                      <w:r w:rsidRPr="005F5304">
                        <w:rPr>
                          <w:rFonts w:eastAsia="Times New Roman" w:cstheme="minorHAnsi"/>
                          <w:color w:val="0D0D0D"/>
                          <w:kern w:val="24"/>
                          <w:sz w:val="22"/>
                          <w:lang w:val="en-US"/>
                        </w:rPr>
                        <w:t xml:space="preserve"> of </w:t>
                      </w:r>
                      <w:proofErr w:type="spellStart"/>
                      <w:r w:rsidRPr="005F5304">
                        <w:rPr>
                          <w:rFonts w:eastAsia="Times New Roman" w:cstheme="minorHAnsi"/>
                          <w:color w:val="0D0D0D"/>
                          <w:kern w:val="24"/>
                          <w:sz w:val="22"/>
                          <w:lang w:val="en-US"/>
                        </w:rPr>
                        <w:t>extra curricular</w:t>
                      </w:r>
                      <w:proofErr w:type="spellEnd"/>
                      <w:r w:rsidRPr="005F5304">
                        <w:rPr>
                          <w:rFonts w:eastAsia="Times New Roman" w:cstheme="minorHAnsi"/>
                          <w:color w:val="0D0D0D"/>
                          <w:kern w:val="24"/>
                          <w:sz w:val="22"/>
                          <w:lang w:val="en-US"/>
                        </w:rPr>
                        <w:t xml:space="preserve"> activity</w:t>
                      </w:r>
                    </w:p>
                  </w:txbxContent>
                </v:textbox>
              </v:shape>
            </w:pict>
          </mc:Fallback>
        </mc:AlternateContent>
      </w:r>
      <w:r w:rsidR="002F4662" w:rsidRPr="00D24C27">
        <w:rPr>
          <w:noProof/>
        </w:rPr>
        <mc:AlternateContent>
          <mc:Choice Requires="wps">
            <w:drawing>
              <wp:anchor distT="0" distB="0" distL="114300" distR="114300" simplePos="0" relativeHeight="251658249" behindDoc="0" locked="0" layoutInCell="1" allowOverlap="1" wp14:anchorId="24190C03" wp14:editId="6FEE87F5">
                <wp:simplePos x="0" y="0"/>
                <wp:positionH relativeFrom="column">
                  <wp:posOffset>-480060</wp:posOffset>
                </wp:positionH>
                <wp:positionV relativeFrom="paragraph">
                  <wp:posOffset>1383665</wp:posOffset>
                </wp:positionV>
                <wp:extent cx="1455420" cy="1409700"/>
                <wp:effectExtent l="0" t="0" r="0" b="0"/>
                <wp:wrapNone/>
                <wp:docPr id="1454590743" name="Text Box 166033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E1A39B"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Pr>
                                <w:rFonts w:eastAsia="Times New Roman" w:cstheme="minorHAnsi"/>
                                <w:color w:val="0D0D0D"/>
                                <w:kern w:val="24"/>
                                <w:sz w:val="22"/>
                                <w:szCs w:val="20"/>
                                <w:lang w:val="en-US"/>
                              </w:rPr>
                              <w:t>External engagement activities meet the needs of our students and courses through active collaboration with appropriate stakeholders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90C03" id="_x0000_s1030" type="#_x0000_t202" style="position:absolute;margin-left:-37.8pt;margin-top:108.95pt;width:114.6pt;height:11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" filled="f" stroked="f" strokeweight=".5pt">
                <v:textbox>
                  <w:txbxContent>
                    <w:p w14:paraId="10E1A39B" w14:textId="77777777" w:rsidR="002F4662" w:rsidRPr="005F5304" w:rsidRDefault="002F4662" w:rsidP="002F4662">
                      <w:pPr>
                        <w:kinsoku w:val="0"/>
                        <w:overflowPunct w:val="0"/>
                        <w:textAlignment w:val="baseline"/>
                        <w:rPr>
                          <w:rFonts w:eastAsia="Times New Roman" w:cstheme="minorHAnsi"/>
                          <w:color w:val="0D0D0D"/>
                          <w:kern w:val="24"/>
                          <w:sz w:val="22"/>
                          <w:lang w:val="en-US"/>
                        </w:rPr>
                      </w:pPr>
                      <w:r>
                        <w:rPr>
                          <w:rFonts w:eastAsia="Times New Roman" w:cstheme="minorHAnsi"/>
                          <w:color w:val="0D0D0D"/>
                          <w:kern w:val="24"/>
                          <w:sz w:val="22"/>
                          <w:szCs w:val="20"/>
                          <w:lang w:val="en-US"/>
                        </w:rPr>
                        <w:t>External engagement activities meet the needs of our students and courses through active collaboration with appropriate stakeholders</w:t>
                      </w:r>
                    </w:p>
                  </w:txbxContent>
                </v:textbox>
              </v:shape>
            </w:pict>
          </mc:Fallback>
        </mc:AlternateContent>
      </w:r>
      <w:r w:rsidR="002F4662" w:rsidRPr="00616EE2">
        <w:rPr>
          <w:noProof/>
        </w:rPr>
        <mc:AlternateContent>
          <mc:Choice Requires="wps">
            <w:drawing>
              <wp:anchor distT="0" distB="0" distL="114300" distR="114300" simplePos="0" relativeHeight="251658240" behindDoc="0" locked="0" layoutInCell="1" allowOverlap="1" wp14:anchorId="2CE2BD0A" wp14:editId="117AE601">
                <wp:simplePos x="0" y="0"/>
                <wp:positionH relativeFrom="column">
                  <wp:posOffset>3401695</wp:posOffset>
                </wp:positionH>
                <wp:positionV relativeFrom="paragraph">
                  <wp:posOffset>2639060</wp:posOffset>
                </wp:positionV>
                <wp:extent cx="1390015" cy="579120"/>
                <wp:effectExtent l="0" t="342900" r="0" b="354330"/>
                <wp:wrapNone/>
                <wp:docPr id="7" name="Text Box 1057395410">
                  <a:extLst xmlns:a="http://schemas.openxmlformats.org/drawingml/2006/main">
                    <a:ext uri="{FF2B5EF4-FFF2-40B4-BE49-F238E27FC236}">
                      <a16:creationId xmlns:a16="http://schemas.microsoft.com/office/drawing/2014/main" id="{0507128D-8087-2160-947A-CEFA737745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81020">
                          <a:off x="0" y="0"/>
                          <a:ext cx="139001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D46E73" w14:textId="77777777" w:rsidR="002F4662" w:rsidRPr="002B7439" w:rsidRDefault="002F4662" w:rsidP="002F4662">
                            <w:pPr>
                              <w:pStyle w:val="NoSpacing"/>
                            </w:pPr>
                            <w:r w:rsidRPr="002B7439">
                              <w:t>Implementing early engagement in careers activities.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BD0A" id="Text Box 1057395410" o:spid="_x0000_s1031" type="#_x0000_t202" style="position:absolute;margin-left:267.85pt;margin-top:207.8pt;width:109.45pt;height:45.6pt;rotation:-286062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" filled="f" stroked="f" strokeweight=".5pt">
                <v:textbox>
                  <w:txbxContent>
                    <w:p w14:paraId="41D46E73" w14:textId="77777777" w:rsidR="002F4662" w:rsidRPr="002B7439" w:rsidRDefault="002F4662" w:rsidP="002F4662">
                      <w:pPr>
                        <w:pStyle w:val="NoSpacing"/>
                      </w:pPr>
                      <w:r w:rsidRPr="002B7439">
                        <w:t>Implementing early engagement in careers activities.</w:t>
                      </w:r>
                    </w:p>
                  </w:txbxContent>
                </v:textbox>
              </v:shape>
            </w:pict>
          </mc:Fallback>
        </mc:AlternateContent>
      </w:r>
      <w:r w:rsidR="002F4662" w:rsidRPr="00616EE2">
        <w:rPr>
          <w:noProof/>
        </w:rPr>
        <mc:AlternateContent>
          <mc:Choice Requires="wps">
            <w:drawing>
              <wp:anchor distT="0" distB="0" distL="114300" distR="114300" simplePos="0" relativeHeight="251658242" behindDoc="0" locked="0" layoutInCell="1" allowOverlap="1" wp14:anchorId="32D65EC6" wp14:editId="64FEA46C">
                <wp:simplePos x="0" y="0"/>
                <wp:positionH relativeFrom="column">
                  <wp:posOffset>1440179</wp:posOffset>
                </wp:positionH>
                <wp:positionV relativeFrom="paragraph">
                  <wp:posOffset>607695</wp:posOffset>
                </wp:positionV>
                <wp:extent cx="1211060" cy="582295"/>
                <wp:effectExtent l="180975" t="0" r="284480" b="0"/>
                <wp:wrapNone/>
                <wp:docPr id="10" name="Text Box 523204132">
                  <a:extLst xmlns:a="http://schemas.openxmlformats.org/drawingml/2006/main">
                    <a:ext uri="{FF2B5EF4-FFF2-40B4-BE49-F238E27FC236}">
                      <a16:creationId xmlns:a16="http://schemas.microsoft.com/office/drawing/2014/main" id="{72A1D9C4-5121-4EFD-C84A-DB255E8B2F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26737">
                          <a:off x="0" y="0"/>
                          <a:ext cx="121106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61DE68" w14:textId="77777777" w:rsidR="002F4662" w:rsidRPr="00D41AD5" w:rsidRDefault="002F4662" w:rsidP="002F4662">
                            <w:pPr>
                              <w:pStyle w:val="NoSpacing"/>
                              <w:rPr>
                                <w:lang w:val="en-US"/>
                              </w:rPr>
                            </w:pPr>
                            <w:r w:rsidRPr="00D41AD5">
                              <w:rPr>
                                <w:lang w:val="en-US"/>
                              </w:rPr>
                              <w:t>Student feedback and co-design</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32D65EC6" id="Text Box 523204132" o:spid="_x0000_s1032" type="#_x0000_t202" style="position:absolute;margin-left:113.4pt;margin-top:47.85pt;width:95.35pt;height:45.85pt;rotation:-3029143fd;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" filled="f" stroked="f" strokeweight=".5pt">
                <v:textbox>
                  <w:txbxContent>
                    <w:p w14:paraId="0061DE68" w14:textId="77777777" w:rsidR="002F4662" w:rsidRPr="00D41AD5" w:rsidRDefault="002F4662" w:rsidP="002F4662">
                      <w:pPr>
                        <w:pStyle w:val="NoSpacing"/>
                        <w:rPr>
                          <w:lang w:val="en-US"/>
                        </w:rPr>
                      </w:pPr>
                      <w:r w:rsidRPr="00D41AD5">
                        <w:rPr>
                          <w:lang w:val="en-US"/>
                        </w:rPr>
                        <w:t>Student feedback and co-design</w:t>
                      </w:r>
                    </w:p>
                  </w:txbxContent>
                </v:textbox>
              </v:shape>
            </w:pict>
          </mc:Fallback>
        </mc:AlternateContent>
      </w:r>
      <w:r w:rsidR="002F4662" w:rsidRPr="00616EE2">
        <w:rPr>
          <w:noProof/>
        </w:rPr>
        <mc:AlternateContent>
          <mc:Choice Requires="wps">
            <w:drawing>
              <wp:anchor distT="0" distB="0" distL="114300" distR="114300" simplePos="0" relativeHeight="251658241" behindDoc="0" locked="0" layoutInCell="1" allowOverlap="1" wp14:anchorId="17F6C2EA" wp14:editId="70A05243">
                <wp:simplePos x="0" y="0"/>
                <wp:positionH relativeFrom="column">
                  <wp:posOffset>3352800</wp:posOffset>
                </wp:positionH>
                <wp:positionV relativeFrom="paragraph">
                  <wp:posOffset>306070</wp:posOffset>
                </wp:positionV>
                <wp:extent cx="997311" cy="1372556"/>
                <wp:effectExtent l="285750" t="95250" r="241300" b="113665"/>
                <wp:wrapNone/>
                <wp:docPr id="8" name="Text Box 1660331134">
                  <a:extLst xmlns:a="http://schemas.openxmlformats.org/drawingml/2006/main">
                    <a:ext uri="{FF2B5EF4-FFF2-40B4-BE49-F238E27FC236}">
                      <a16:creationId xmlns:a16="http://schemas.microsoft.com/office/drawing/2014/main" id="{E75DE721-9C0C-4AFE-A979-29BE52EC53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16473">
                          <a:off x="0" y="0"/>
                          <a:ext cx="997311" cy="1372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0A92FF" w14:textId="77777777" w:rsidR="002F4662" w:rsidRPr="002B7439" w:rsidRDefault="002F4662" w:rsidP="002F4662">
                            <w:pPr>
                              <w:pStyle w:val="NoSpacing"/>
                              <w:rPr>
                                <w:lang w:val="en-US"/>
                              </w:rPr>
                            </w:pPr>
                            <w:r w:rsidRPr="002B7439">
                              <w:rPr>
                                <w:lang w:val="en-US"/>
                              </w:rPr>
                              <w:t xml:space="preserve">Embedding employability within the curriculum; engaging </w:t>
                            </w:r>
                            <w:r>
                              <w:rPr>
                                <w:lang w:val="en-US"/>
                              </w:rPr>
                              <w:t>students, staff and externals</w:t>
                            </w:r>
                            <w:r w:rsidRPr="002B7439">
                              <w:rPr>
                                <w:lang w:val="en-US"/>
                              </w:rPr>
                              <w:t>.</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6C2EA" id="_x0000_s1033" type="#_x0000_t202" style="position:absolute;margin-left:264pt;margin-top:24.1pt;width:78.55pt;height:108.1pt;rotation:2857886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" filled="f" stroked="f" strokeweight=".5pt">
                <v:textbox>
                  <w:txbxContent>
                    <w:p w14:paraId="560A92FF" w14:textId="77777777" w:rsidR="002F4662" w:rsidRPr="002B7439" w:rsidRDefault="002F4662" w:rsidP="002F4662">
                      <w:pPr>
                        <w:pStyle w:val="NoSpacing"/>
                        <w:rPr>
                          <w:lang w:val="en-US"/>
                        </w:rPr>
                      </w:pPr>
                      <w:r w:rsidRPr="002B7439">
                        <w:rPr>
                          <w:lang w:val="en-US"/>
                        </w:rPr>
                        <w:t xml:space="preserve">Embedding employability within the curriculum; engaging </w:t>
                      </w:r>
                      <w:r>
                        <w:rPr>
                          <w:lang w:val="en-US"/>
                        </w:rPr>
                        <w:t>students, staff and externals</w:t>
                      </w:r>
                      <w:r w:rsidRPr="002B7439">
                        <w:rPr>
                          <w:lang w:val="en-US"/>
                        </w:rPr>
                        <w:t>.</w:t>
                      </w:r>
                    </w:p>
                  </w:txbxContent>
                </v:textbox>
              </v:shape>
            </w:pict>
          </mc:Fallback>
        </mc:AlternateContent>
      </w:r>
      <w:r w:rsidR="002F4662" w:rsidRPr="00616EE2">
        <w:rPr>
          <w:noProof/>
        </w:rPr>
        <w:drawing>
          <wp:inline distT="0" distB="0" distL="0" distR="0" wp14:anchorId="5180CA93" wp14:editId="773F50B5">
            <wp:extent cx="5175250" cy="3893820"/>
            <wp:effectExtent l="0" t="0" r="0" b="0"/>
            <wp:docPr id="1785604358" name="Diagram 1" descr="Five circles are positioned on the diagram. The circle in the middle is labelled &quot;The student&quot;. There are four arrows pointing out from this circle, up, down, left and right. The arrow pointing up leads to a circle labelled &quot;Their Degree&quot;, the arrow to the right leads to a circle labelled &quot;Support Services&quot;, the arrow pointing down leads to a circle labelled &quot;Extra-Curricular Activity&quot; and the arrow to the left points to a circle labelled &quot;Self-Sourced Support&quot;">
              <a:extLst xmlns:a="http://schemas.openxmlformats.org/drawingml/2006/main">
                <a:ext uri="{FF2B5EF4-FFF2-40B4-BE49-F238E27FC236}">
                  <a16:creationId xmlns:a16="http://schemas.microsoft.com/office/drawing/2014/main" id="{0E4F2FEF-0ED1-6ED1-07CD-B7FE09F012E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059E583" w14:textId="77777777" w:rsidR="002F4662" w:rsidRDefault="002F4662" w:rsidP="002F4662">
      <w:pPr>
        <w:pStyle w:val="Heading2"/>
      </w:pPr>
    </w:p>
    <w:p w14:paraId="43C6D32B" w14:textId="77777777" w:rsidR="002F4662" w:rsidRDefault="002F4662" w:rsidP="00415AF4">
      <w:pPr>
        <w:pStyle w:val="Heading2"/>
        <w:numPr>
          <w:ilvl w:val="1"/>
          <w:numId w:val="12"/>
        </w:numPr>
      </w:pPr>
      <w:bookmarkStart w:id="10" w:name="_Toc192683420"/>
      <w:r>
        <w:t>Career Development Programme</w:t>
      </w:r>
      <w:bookmarkEnd w:id="10"/>
    </w:p>
    <w:p w14:paraId="3D9FE6C6" w14:textId="77777777" w:rsidR="002F4662" w:rsidRDefault="002F4662" w:rsidP="002F4662">
      <w:r>
        <w:t xml:space="preserve">We recognise that our students arrive with different expectations about their future careers and with different experiences of pre-HE careers advice and guidance. </w:t>
      </w:r>
    </w:p>
    <w:p w14:paraId="3A64FEB7" w14:textId="77777777" w:rsidR="002F4662" w:rsidRDefault="002F4662" w:rsidP="002F4662">
      <w:r>
        <w:t xml:space="preserve">To ensure all students are provided with appropriate information, advice and guidance during their studies, a set of Edge Hill specific learning outcomes have </w:t>
      </w:r>
      <w:r>
        <w:lastRenderedPageBreak/>
        <w:t xml:space="preserve">been developed to provide enhancement to the sector recognised standards from the </w:t>
      </w:r>
      <w:proofErr w:type="spellStart"/>
      <w:r>
        <w:t>OfS</w:t>
      </w:r>
      <w:proofErr w:type="spellEnd"/>
      <w:r>
        <w:t>.</w:t>
      </w:r>
    </w:p>
    <w:p w14:paraId="4F8C8294" w14:textId="77777777" w:rsidR="002F4662" w:rsidRDefault="002F4662" w:rsidP="002F4662">
      <w:r>
        <w:t xml:space="preserve">The Edge Hill model of Career Development embodies sector recognised standards and our career readiness process. </w:t>
      </w:r>
    </w:p>
    <w:p w14:paraId="5C7A4846" w14:textId="77777777" w:rsidR="002F4662" w:rsidRDefault="002F4662" w:rsidP="002F4662">
      <w:r>
        <w:t xml:space="preserve">As approved by Academic Board, the following six learning outcomes have been embedded into all courses from 2024-25. This content is delivered by staff in the Careers team and constitutes a </w:t>
      </w:r>
      <w:r w:rsidRPr="00A931CB">
        <w:rPr>
          <w:b/>
          <w:bCs/>
        </w:rPr>
        <w:t>minimum of two taught sessions per academic year</w:t>
      </w:r>
      <w:r>
        <w:t xml:space="preserve">. </w:t>
      </w:r>
    </w:p>
    <w:p w14:paraId="04614ED9" w14:textId="77777777" w:rsidR="002F4662" w:rsidRDefault="002F4662" w:rsidP="002F4662">
      <w:r w:rsidRPr="00243696">
        <w:rPr>
          <w:b/>
          <w:bCs/>
        </w:rPr>
        <w:t>Level 4</w:t>
      </w:r>
      <w:r>
        <w:t xml:space="preserve"> students</w:t>
      </w:r>
      <w:r w:rsidRPr="007A235C">
        <w:t xml:space="preserve"> will have</w:t>
      </w:r>
      <w:r>
        <w:t xml:space="preserve"> </w:t>
      </w:r>
      <w:r w:rsidRPr="007A235C">
        <w:t>the qualities and transferable skills necessary for employment requiring the exercise of some personal responsibility</w:t>
      </w:r>
      <w:r>
        <w:t>:</w:t>
      </w:r>
    </w:p>
    <w:p w14:paraId="241A7DAD" w14:textId="77777777" w:rsidR="002F4662" w:rsidRPr="00226431" w:rsidRDefault="002F4662" w:rsidP="002F4662">
      <w:pPr>
        <w:pStyle w:val="ListParagraph"/>
        <w:numPr>
          <w:ilvl w:val="0"/>
          <w:numId w:val="18"/>
        </w:numPr>
        <w:spacing w:after="160" w:line="259" w:lineRule="auto"/>
      </w:pPr>
      <w:r w:rsidRPr="00226431">
        <w:t>LO1 - I know how to find careers info and get career support</w:t>
      </w:r>
    </w:p>
    <w:p w14:paraId="27541B15" w14:textId="77777777" w:rsidR="002F4662" w:rsidRPr="00226431" w:rsidRDefault="002F4662" w:rsidP="002F4662">
      <w:pPr>
        <w:pStyle w:val="ListParagraph"/>
        <w:numPr>
          <w:ilvl w:val="0"/>
          <w:numId w:val="18"/>
        </w:numPr>
        <w:spacing w:after="160" w:line="259" w:lineRule="auto"/>
      </w:pPr>
      <w:r w:rsidRPr="00226431">
        <w:t>LO2 - I know how to research career ideas related to my degree and beyond</w:t>
      </w:r>
    </w:p>
    <w:p w14:paraId="609FC82C" w14:textId="77777777" w:rsidR="002F4662" w:rsidRPr="00226431" w:rsidRDefault="002F4662" w:rsidP="002F4662">
      <w:pPr>
        <w:pStyle w:val="ListParagraph"/>
        <w:numPr>
          <w:ilvl w:val="0"/>
          <w:numId w:val="18"/>
        </w:numPr>
        <w:spacing w:after="160" w:line="259" w:lineRule="auto"/>
      </w:pPr>
      <w:r w:rsidRPr="00226431">
        <w:t>LO3 - I know my CR stage and how I can prepare for my future</w:t>
      </w:r>
    </w:p>
    <w:p w14:paraId="6CCF2E20" w14:textId="77777777" w:rsidR="002F4662" w:rsidRPr="00226431" w:rsidRDefault="002F4662" w:rsidP="002F4662">
      <w:pPr>
        <w:pStyle w:val="ListParagraph"/>
        <w:numPr>
          <w:ilvl w:val="0"/>
          <w:numId w:val="18"/>
        </w:numPr>
        <w:spacing w:after="160" w:line="259" w:lineRule="auto"/>
      </w:pPr>
      <w:r>
        <w:t>LO4 - I am aware of my strengths and skills I need to develop</w:t>
      </w:r>
    </w:p>
    <w:p w14:paraId="63298246" w14:textId="77777777" w:rsidR="002F4662" w:rsidRPr="00226431" w:rsidRDefault="002F4662" w:rsidP="002F4662">
      <w:pPr>
        <w:pStyle w:val="ListParagraph"/>
        <w:numPr>
          <w:ilvl w:val="0"/>
          <w:numId w:val="18"/>
        </w:numPr>
        <w:spacing w:after="160" w:line="259" w:lineRule="auto"/>
      </w:pPr>
      <w:r w:rsidRPr="00226431">
        <w:t>LO5 - I can evaluate how my own interests match with potential career paths</w:t>
      </w:r>
    </w:p>
    <w:p w14:paraId="4A77B2FC" w14:textId="77777777" w:rsidR="002F4662" w:rsidRPr="00226431" w:rsidRDefault="002F4662" w:rsidP="002F4662">
      <w:pPr>
        <w:pStyle w:val="ListParagraph"/>
        <w:numPr>
          <w:ilvl w:val="0"/>
          <w:numId w:val="18"/>
        </w:numPr>
        <w:spacing w:after="160" w:line="259" w:lineRule="auto"/>
      </w:pPr>
      <w:r w:rsidRPr="00226431">
        <w:t>LO6 - I have some career ideas / areas of interest and have identified at least one way to help me move forward</w:t>
      </w:r>
    </w:p>
    <w:p w14:paraId="6D1A5B8A" w14:textId="77777777" w:rsidR="002F4662" w:rsidRDefault="002F4662" w:rsidP="002F4662">
      <w:r w:rsidRPr="00243696">
        <w:rPr>
          <w:b/>
          <w:bCs/>
        </w:rPr>
        <w:t xml:space="preserve">Level 5 </w:t>
      </w:r>
      <w:r w:rsidRPr="007D1518">
        <w:t>students</w:t>
      </w:r>
      <w:r>
        <w:t xml:space="preserve"> will have the </w:t>
      </w:r>
      <w:r w:rsidRPr="007A235C">
        <w:t>qualities and transferable skills necessary for employment requiring the exercise of personal responsibility and decision-making</w:t>
      </w:r>
      <w:r>
        <w:t>:</w:t>
      </w:r>
    </w:p>
    <w:p w14:paraId="2736AFDA" w14:textId="77777777" w:rsidR="002F4662" w:rsidRPr="00226431" w:rsidRDefault="002F4662" w:rsidP="002F4662">
      <w:pPr>
        <w:pStyle w:val="ListParagraph"/>
        <w:numPr>
          <w:ilvl w:val="0"/>
          <w:numId w:val="19"/>
        </w:numPr>
        <w:spacing w:after="160" w:line="259" w:lineRule="auto"/>
      </w:pPr>
      <w:r w:rsidRPr="00226431">
        <w:t xml:space="preserve">LO1 - I know of ways to develop my experience or skills </w:t>
      </w:r>
    </w:p>
    <w:p w14:paraId="7804F544" w14:textId="77777777" w:rsidR="002F4662" w:rsidRPr="00226431" w:rsidRDefault="002F4662" w:rsidP="002F4662">
      <w:pPr>
        <w:pStyle w:val="ListParagraph"/>
        <w:numPr>
          <w:ilvl w:val="0"/>
          <w:numId w:val="19"/>
        </w:numPr>
        <w:spacing w:after="160" w:line="259" w:lineRule="auto"/>
      </w:pPr>
      <w:r>
        <w:t>LO2 – I can describe how I am developing these skills, or have a plan in place to do this</w:t>
      </w:r>
    </w:p>
    <w:p w14:paraId="71421EF2" w14:textId="77777777" w:rsidR="002F4662" w:rsidRPr="00226431" w:rsidRDefault="002F4662" w:rsidP="002F4662">
      <w:pPr>
        <w:pStyle w:val="ListParagraph"/>
        <w:numPr>
          <w:ilvl w:val="0"/>
          <w:numId w:val="19"/>
        </w:numPr>
        <w:spacing w:after="160" w:line="259" w:lineRule="auto"/>
      </w:pPr>
      <w:r w:rsidRPr="00226431">
        <w:t>LO3 - I can identify the skills and knowledge I have gained from a variety of experiences.</w:t>
      </w:r>
    </w:p>
    <w:p w14:paraId="10AA23D3" w14:textId="77777777" w:rsidR="002F4662" w:rsidRPr="00226431" w:rsidRDefault="002F4662" w:rsidP="002F4662">
      <w:pPr>
        <w:pStyle w:val="ListParagraph"/>
        <w:numPr>
          <w:ilvl w:val="0"/>
          <w:numId w:val="19"/>
        </w:numPr>
        <w:spacing w:after="160" w:line="259" w:lineRule="auto"/>
      </w:pPr>
      <w:r w:rsidRPr="00226431">
        <w:t>LO4 – I can effectively describe my skills and experience within recruitment and application processes, relating these to set criteria.</w:t>
      </w:r>
    </w:p>
    <w:p w14:paraId="6A2D1D82" w14:textId="77777777" w:rsidR="002F4662" w:rsidRPr="00226431" w:rsidRDefault="002F4662" w:rsidP="002F4662">
      <w:pPr>
        <w:pStyle w:val="ListParagraph"/>
        <w:numPr>
          <w:ilvl w:val="0"/>
          <w:numId w:val="19"/>
        </w:numPr>
        <w:spacing w:after="160" w:line="259" w:lineRule="auto"/>
      </w:pPr>
      <w:r w:rsidRPr="00226431">
        <w:t xml:space="preserve">LO5 - I know the timescales to apply for graduate jobs, graduate schemes and postgraduate study and the tools and support available to help me prepare for recruitment processes </w:t>
      </w:r>
    </w:p>
    <w:p w14:paraId="5FD1E57B" w14:textId="77777777" w:rsidR="002F4662" w:rsidRPr="00226431" w:rsidRDefault="002F4662" w:rsidP="002F4662">
      <w:pPr>
        <w:pStyle w:val="ListParagraph"/>
        <w:numPr>
          <w:ilvl w:val="0"/>
          <w:numId w:val="19"/>
        </w:numPr>
        <w:spacing w:after="160" w:line="259" w:lineRule="auto"/>
      </w:pPr>
      <w:r w:rsidRPr="00226431">
        <w:t>LO6 - I can create a personal career plan, including realistic short-term and long-term career goals</w:t>
      </w:r>
    </w:p>
    <w:p w14:paraId="125D970C" w14:textId="77777777" w:rsidR="002F4662" w:rsidRDefault="002F4662" w:rsidP="002F4662">
      <w:r w:rsidRPr="00243696">
        <w:rPr>
          <w:b/>
          <w:bCs/>
        </w:rPr>
        <w:t xml:space="preserve">Level 6 </w:t>
      </w:r>
      <w:r w:rsidRPr="007D1518">
        <w:t>students</w:t>
      </w:r>
      <w:r>
        <w:t xml:space="preserve"> will have </w:t>
      </w:r>
      <w:r w:rsidRPr="002D6FC4">
        <w:t>the qualities and transferable skills necessary for employment requiring</w:t>
      </w:r>
      <w:r>
        <w:t xml:space="preserve"> </w:t>
      </w:r>
      <w:r w:rsidRPr="002D6FC4">
        <w:t>the exercise of initiative and personal responsibility</w:t>
      </w:r>
      <w:r>
        <w:t xml:space="preserve">; </w:t>
      </w:r>
      <w:r w:rsidRPr="002D6FC4">
        <w:t>decision-making in complex and unpredictable contexts</w:t>
      </w:r>
      <w:r>
        <w:t xml:space="preserve"> and t</w:t>
      </w:r>
      <w:r w:rsidRPr="002D6FC4">
        <w:t>he learning ability needed to undertake appropriate further training of a professional or equivalent nature.</w:t>
      </w:r>
    </w:p>
    <w:p w14:paraId="2B786866" w14:textId="77777777" w:rsidR="002F4662" w:rsidRPr="00226431" w:rsidRDefault="002F4662" w:rsidP="002F4662">
      <w:pPr>
        <w:pStyle w:val="ListParagraph"/>
        <w:numPr>
          <w:ilvl w:val="0"/>
          <w:numId w:val="20"/>
        </w:numPr>
        <w:spacing w:after="160" w:line="259" w:lineRule="auto"/>
      </w:pPr>
      <w:r w:rsidRPr="00226431">
        <w:t>LO1 - I know where to find and apply for work/further study</w:t>
      </w:r>
    </w:p>
    <w:p w14:paraId="4549DE02" w14:textId="77777777" w:rsidR="002F4662" w:rsidRPr="00226431" w:rsidRDefault="002F4662" w:rsidP="002F4662">
      <w:pPr>
        <w:pStyle w:val="ListParagraph"/>
        <w:numPr>
          <w:ilvl w:val="0"/>
          <w:numId w:val="20"/>
        </w:numPr>
        <w:spacing w:after="160" w:line="259" w:lineRule="auto"/>
      </w:pPr>
      <w:r w:rsidRPr="00226431">
        <w:t>LO2 - I understand the options available and how to consider which is best for me</w:t>
      </w:r>
    </w:p>
    <w:p w14:paraId="3DD6BB1C" w14:textId="77777777" w:rsidR="002F4662" w:rsidRPr="00226431" w:rsidRDefault="002F4662" w:rsidP="002F4662">
      <w:pPr>
        <w:pStyle w:val="ListParagraph"/>
        <w:numPr>
          <w:ilvl w:val="0"/>
          <w:numId w:val="20"/>
        </w:numPr>
        <w:spacing w:after="160" w:line="259" w:lineRule="auto"/>
      </w:pPr>
      <w:r w:rsidRPr="00226431">
        <w:t>LO3 - I have experience of applications and/or recruitment processes and know what to expect</w:t>
      </w:r>
    </w:p>
    <w:p w14:paraId="71D4E67A" w14:textId="77777777" w:rsidR="002F4662" w:rsidRPr="00226431" w:rsidRDefault="002F4662" w:rsidP="002F4662">
      <w:pPr>
        <w:pStyle w:val="ListParagraph"/>
        <w:numPr>
          <w:ilvl w:val="0"/>
          <w:numId w:val="20"/>
        </w:numPr>
        <w:spacing w:after="160" w:line="259" w:lineRule="auto"/>
      </w:pPr>
      <w:r w:rsidRPr="00226431">
        <w:lastRenderedPageBreak/>
        <w:t xml:space="preserve">LO4 - I can identify any gaps and how to mitigate these </w:t>
      </w:r>
    </w:p>
    <w:p w14:paraId="0F9AD733" w14:textId="77777777" w:rsidR="002F4662" w:rsidRPr="00226431" w:rsidRDefault="002F4662" w:rsidP="002F4662">
      <w:pPr>
        <w:pStyle w:val="ListParagraph"/>
        <w:numPr>
          <w:ilvl w:val="0"/>
          <w:numId w:val="20"/>
        </w:numPr>
        <w:spacing w:after="160" w:line="259" w:lineRule="auto"/>
      </w:pPr>
      <w:r w:rsidRPr="00226431">
        <w:t>LO5 - I understand the factors influencing decision making e.g. pressures, expectations, research</w:t>
      </w:r>
    </w:p>
    <w:p w14:paraId="423E8330" w14:textId="77777777" w:rsidR="002F4662" w:rsidRPr="00226431" w:rsidRDefault="002F4662" w:rsidP="002F4662">
      <w:pPr>
        <w:pStyle w:val="ListParagraph"/>
        <w:numPr>
          <w:ilvl w:val="0"/>
          <w:numId w:val="20"/>
        </w:numPr>
        <w:spacing w:after="160" w:line="259" w:lineRule="auto"/>
      </w:pPr>
      <w:r w:rsidRPr="00226431">
        <w:t>LO6 - I know how to prepare for life after my degree and understand what may be expected of me in work/further study</w:t>
      </w:r>
    </w:p>
    <w:p w14:paraId="733BA319" w14:textId="77777777" w:rsidR="002F4662" w:rsidRDefault="002F4662" w:rsidP="00415AF4">
      <w:pPr>
        <w:pStyle w:val="Heading2"/>
        <w:numPr>
          <w:ilvl w:val="0"/>
          <w:numId w:val="12"/>
        </w:numPr>
      </w:pPr>
      <w:bookmarkStart w:id="11" w:name="_Toc192683421"/>
      <w:r>
        <w:t>Key Performance Metrics and KPIs</w:t>
      </w:r>
      <w:bookmarkEnd w:id="11"/>
    </w:p>
    <w:p w14:paraId="51ECEE0B" w14:textId="77777777" w:rsidR="002F4662" w:rsidRPr="000C654A" w:rsidRDefault="002F4662" w:rsidP="002F4662">
      <w:r>
        <w:t xml:space="preserve">Clear evidence of our impact on student outcomes must be apparent. </w:t>
      </w:r>
      <w:r w:rsidRPr="005E6A83">
        <w:t>B3</w:t>
      </w:r>
      <w:r>
        <w:t xml:space="preserve"> and TEF metrics, as evidenced by our</w:t>
      </w:r>
      <w:r w:rsidRPr="005E6A83">
        <w:t xml:space="preserve"> Graduate Outcomes</w:t>
      </w:r>
      <w:r>
        <w:t>,</w:t>
      </w:r>
      <w:r w:rsidRPr="005E6A83">
        <w:t xml:space="preserve"> </w:t>
      </w:r>
      <w:r>
        <w:t xml:space="preserve">are the </w:t>
      </w:r>
      <w:r w:rsidRPr="005E6A83">
        <w:t>key metric</w:t>
      </w:r>
      <w:r>
        <w:t xml:space="preserve"> that will demonstrate the success of our refreshed employability strategy. These will </w:t>
      </w:r>
      <w:r w:rsidRPr="005E6A83">
        <w:t xml:space="preserve">form the basis of the KPIs on which </w:t>
      </w:r>
      <w:r>
        <w:t>the u</w:t>
      </w:r>
      <w:r w:rsidRPr="005E6A83">
        <w:t>niversity</w:t>
      </w:r>
      <w:r>
        <w:t xml:space="preserve">’s, </w:t>
      </w:r>
      <w:r w:rsidRPr="005E6A83">
        <w:t xml:space="preserve">and the </w:t>
      </w:r>
      <w:r>
        <w:t xml:space="preserve">employability </w:t>
      </w:r>
      <w:r w:rsidRPr="005E6A83">
        <w:t>strategy’s</w:t>
      </w:r>
      <w:r>
        <w:t xml:space="preserve"> </w:t>
      </w:r>
      <w:r w:rsidRPr="005E6A83">
        <w:t>success</w:t>
      </w:r>
      <w:r>
        <w:t>, will be measured on. These metrics include ensuring equitable outcomes are achieved as identified in our primary objectives.</w:t>
      </w:r>
    </w:p>
    <w:p w14:paraId="0974EE7F" w14:textId="77777777" w:rsidR="002F4662" w:rsidRDefault="002F4662" w:rsidP="002F4662">
      <w:r>
        <w:t xml:space="preserve">Each department will be responsible for setting their own key performance metrics and KPIs, determined by their performance in the graduate outcomes survey. These will be reviewed by </w:t>
      </w:r>
      <w:proofErr w:type="gramStart"/>
      <w:r>
        <w:t>Employability  Sub</w:t>
      </w:r>
      <w:proofErr w:type="gramEnd"/>
      <w:r>
        <w:t>-Committee annually as outlined below. Faculties should ensure that plans have been scrutinised by relevant departmental/school and/or faculty meetings as appropriate.</w:t>
      </w:r>
    </w:p>
    <w:p w14:paraId="65EE3116" w14:textId="77777777" w:rsidR="002F4662" w:rsidRDefault="002F4662" w:rsidP="002F4662">
      <w:r>
        <w:t xml:space="preserve">Plans will address the national context of the subject area and identify relevant performance metrics on an annual basis. </w:t>
      </w:r>
    </w:p>
    <w:p w14:paraId="7DDE069C" w14:textId="77777777" w:rsidR="002F4662" w:rsidRDefault="002F4662" w:rsidP="00415AF4">
      <w:pPr>
        <w:pStyle w:val="Heading2"/>
        <w:numPr>
          <w:ilvl w:val="0"/>
          <w:numId w:val="12"/>
        </w:numPr>
      </w:pPr>
      <w:bookmarkStart w:id="12" w:name="_Toc192683422"/>
      <w:r>
        <w:t>Employability Committee Reporting Schedule</w:t>
      </w:r>
      <w:bookmarkEnd w:id="12"/>
      <w:r>
        <w:t xml:space="preserve"> </w:t>
      </w:r>
    </w:p>
    <w:p w14:paraId="49B084E9" w14:textId="77777777" w:rsidR="002F4662" w:rsidRPr="00083486" w:rsidRDefault="002F4662" w:rsidP="002F4662">
      <w:r>
        <w:t>The outline schedule presented below is intended to fit the needs of our largest cohort that becomes cohort D for graduate outcomes. An amended schedule can be produced for courses that fall into cohorts A, B or C or where these timescales are not appropriate.</w:t>
      </w:r>
    </w:p>
    <w:p w14:paraId="13E7AA66" w14:textId="554649AA" w:rsidR="002F4662" w:rsidRDefault="00BC69E2" w:rsidP="00415AF4">
      <w:pPr>
        <w:pStyle w:val="Heading3"/>
        <w:numPr>
          <w:ilvl w:val="1"/>
          <w:numId w:val="12"/>
        </w:numPr>
      </w:pPr>
      <w:bookmarkStart w:id="13" w:name="_Toc192683423"/>
      <w:r>
        <w:t>Autumn</w:t>
      </w:r>
      <w:r w:rsidR="002F4662" w:rsidRPr="00141EF1">
        <w:t xml:space="preserve"> meeting</w:t>
      </w:r>
      <w:bookmarkEnd w:id="13"/>
    </w:p>
    <w:p w14:paraId="3980D708" w14:textId="77777777" w:rsidR="002F4662" w:rsidRDefault="002F4662" w:rsidP="002F4662">
      <w:pPr>
        <w:pStyle w:val="ListParagraph"/>
        <w:numPr>
          <w:ilvl w:val="0"/>
          <w:numId w:val="15"/>
        </w:numPr>
        <w:spacing w:after="160" w:line="259" w:lineRule="auto"/>
      </w:pPr>
      <w:r>
        <w:t xml:space="preserve">Results of the most recent graduate outcomes survey are analysed and presented to the meeting. </w:t>
      </w:r>
    </w:p>
    <w:p w14:paraId="1EC62ECA" w14:textId="77777777" w:rsidR="002F4662" w:rsidRDefault="002F4662" w:rsidP="002F4662">
      <w:pPr>
        <w:pStyle w:val="ListParagraph"/>
        <w:numPr>
          <w:ilvl w:val="0"/>
          <w:numId w:val="15"/>
        </w:numPr>
        <w:spacing w:after="160" w:line="259" w:lineRule="auto"/>
      </w:pPr>
      <w:r>
        <w:t xml:space="preserve">Outcomes RAG rated with a clear action plan produced addressing how performance will be enhanced, maintained or improved. </w:t>
      </w:r>
    </w:p>
    <w:p w14:paraId="33FDCFE7" w14:textId="77777777" w:rsidR="002F4662" w:rsidRDefault="002F4662" w:rsidP="002F4662">
      <w:pPr>
        <w:pStyle w:val="ListParagraph"/>
        <w:numPr>
          <w:ilvl w:val="0"/>
          <w:numId w:val="15"/>
        </w:numPr>
        <w:spacing w:after="160" w:line="259" w:lineRule="auto"/>
      </w:pPr>
      <w:r>
        <w:t>Data will be set within the national context identifying areas at risk on both an internal and national basis.</w:t>
      </w:r>
    </w:p>
    <w:p w14:paraId="2B1DA690" w14:textId="77777777" w:rsidR="002F4662" w:rsidRDefault="002F4662" w:rsidP="002F4662">
      <w:pPr>
        <w:pStyle w:val="ListParagraph"/>
        <w:numPr>
          <w:ilvl w:val="0"/>
          <w:numId w:val="15"/>
        </w:numPr>
        <w:spacing w:after="160" w:line="259" w:lineRule="auto"/>
      </w:pPr>
      <w:r>
        <w:t xml:space="preserve">Career readiness data available for interrogation. </w:t>
      </w:r>
    </w:p>
    <w:p w14:paraId="2B8BAD64" w14:textId="755F778F" w:rsidR="002F4662" w:rsidRDefault="00BC69E2" w:rsidP="00415AF4">
      <w:pPr>
        <w:pStyle w:val="Heading3"/>
        <w:numPr>
          <w:ilvl w:val="1"/>
          <w:numId w:val="12"/>
        </w:numPr>
      </w:pPr>
      <w:bookmarkStart w:id="14" w:name="_Toc192683424"/>
      <w:r>
        <w:t>Winter</w:t>
      </w:r>
      <w:r w:rsidR="002F4662" w:rsidRPr="00141EF1">
        <w:t xml:space="preserve"> meeting</w:t>
      </w:r>
      <w:bookmarkEnd w:id="14"/>
    </w:p>
    <w:p w14:paraId="2887AF52" w14:textId="77777777" w:rsidR="002F4662" w:rsidRDefault="002F4662" w:rsidP="002F4662">
      <w:pPr>
        <w:pStyle w:val="ListParagraph"/>
        <w:numPr>
          <w:ilvl w:val="0"/>
          <w:numId w:val="16"/>
        </w:numPr>
        <w:spacing w:after="160" w:line="259" w:lineRule="auto"/>
      </w:pPr>
      <w:r>
        <w:t xml:space="preserve">Graduate outcomes Cohort D (our biggest cohort) spring/summer activity for finalists is shared. </w:t>
      </w:r>
    </w:p>
    <w:p w14:paraId="785D9608" w14:textId="77777777" w:rsidR="002F4662" w:rsidRDefault="002F4662" w:rsidP="002F4662">
      <w:pPr>
        <w:pStyle w:val="ListParagraph"/>
        <w:numPr>
          <w:ilvl w:val="0"/>
          <w:numId w:val="16"/>
        </w:numPr>
        <w:spacing w:after="160" w:line="259" w:lineRule="auto"/>
      </w:pPr>
      <w:r>
        <w:t xml:space="preserve">Survey week plans for cohort D to be presented to the committee. These plans to be jointly organised and delivered by Faculties and the Careers team. </w:t>
      </w:r>
    </w:p>
    <w:p w14:paraId="3951A86B" w14:textId="77777777" w:rsidR="002F4662" w:rsidRDefault="002F4662" w:rsidP="002F4662">
      <w:pPr>
        <w:pStyle w:val="ListParagraph"/>
        <w:numPr>
          <w:ilvl w:val="0"/>
          <w:numId w:val="16"/>
        </w:numPr>
        <w:spacing w:after="160" w:line="259" w:lineRule="auto"/>
      </w:pPr>
      <w:r>
        <w:t>This activity to be replicated in October and April for Cohorts A-C as appropriate.</w:t>
      </w:r>
    </w:p>
    <w:p w14:paraId="0CB6DFED" w14:textId="3E2ED482" w:rsidR="002F4662" w:rsidRDefault="00BC69E2" w:rsidP="00415AF4">
      <w:pPr>
        <w:pStyle w:val="Heading3"/>
        <w:numPr>
          <w:ilvl w:val="1"/>
          <w:numId w:val="12"/>
        </w:numPr>
      </w:pPr>
      <w:bookmarkStart w:id="15" w:name="_Toc192683425"/>
      <w:r>
        <w:lastRenderedPageBreak/>
        <w:t>Spring</w:t>
      </w:r>
      <w:r w:rsidR="002F4662" w:rsidRPr="00141EF1">
        <w:t xml:space="preserve"> meeting</w:t>
      </w:r>
      <w:bookmarkEnd w:id="15"/>
    </w:p>
    <w:p w14:paraId="5EB92C69" w14:textId="77777777" w:rsidR="002F4662" w:rsidRDefault="002F4662" w:rsidP="002F4662">
      <w:pPr>
        <w:pStyle w:val="ListParagraph"/>
        <w:numPr>
          <w:ilvl w:val="0"/>
          <w:numId w:val="17"/>
        </w:numPr>
        <w:spacing w:after="160" w:line="259" w:lineRule="auto"/>
      </w:pPr>
      <w:r>
        <w:t xml:space="preserve">Plans for the forthcoming academic year are presented to the committee, including reflections and evaluations on activity delivered during the current academic year. </w:t>
      </w:r>
    </w:p>
    <w:p w14:paraId="00E9A385" w14:textId="77777777" w:rsidR="002F4662" w:rsidRDefault="002F4662" w:rsidP="002F4662">
      <w:pPr>
        <w:pStyle w:val="ListParagraph"/>
        <w:numPr>
          <w:ilvl w:val="0"/>
          <w:numId w:val="17"/>
        </w:numPr>
        <w:spacing w:after="160" w:line="259" w:lineRule="auto"/>
      </w:pPr>
      <w:r>
        <w:t>Indicative graduate outcomes results are addressed if the data is available, ditto data from Ofsted and other PRSB bodies.</w:t>
      </w:r>
    </w:p>
    <w:p w14:paraId="1E32E3F5" w14:textId="77777777" w:rsidR="002F4662" w:rsidRDefault="002F4662" w:rsidP="00415AF4">
      <w:pPr>
        <w:pStyle w:val="Heading2"/>
        <w:numPr>
          <w:ilvl w:val="0"/>
          <w:numId w:val="12"/>
        </w:numPr>
      </w:pPr>
      <w:bookmarkStart w:id="16" w:name="_Toc192683426"/>
      <w:r>
        <w:t>Staff Development and Recognition</w:t>
      </w:r>
      <w:bookmarkEnd w:id="16"/>
    </w:p>
    <w:p w14:paraId="21600227" w14:textId="77777777" w:rsidR="002F4662" w:rsidRDefault="002F4662" w:rsidP="002F4662">
      <w:r w:rsidRPr="00AF610C">
        <w:t xml:space="preserve">Employability leads are to be encouraged to engage in research and scholarship. This is to be their own research on institutional or departmental initiatives, or scholarship i.e. the application of research.  This </w:t>
      </w:r>
      <w:r>
        <w:t xml:space="preserve">activity </w:t>
      </w:r>
      <w:r w:rsidRPr="00AF610C">
        <w:t>needs to be reflected in activities that could ultimately lead to an academic L&amp;T or KE career path.</w:t>
      </w:r>
    </w:p>
    <w:p w14:paraId="7B3F5078" w14:textId="77777777" w:rsidR="002F4662" w:rsidRDefault="002F4662" w:rsidP="002F4662">
      <w:r>
        <w:t xml:space="preserve">A consistent approach to strategic leads for employability underpins this strategy, ensuring all departments/School have someone accountable at a strategic level for employability. This role will be responsible for providing the reports outlined above to the </w:t>
      </w:r>
      <w:proofErr w:type="gramStart"/>
      <w:r>
        <w:t>Faculty</w:t>
      </w:r>
      <w:proofErr w:type="gramEnd"/>
      <w:r>
        <w:t xml:space="preserve"> lead for employability.</w:t>
      </w:r>
    </w:p>
    <w:p w14:paraId="67B9596C" w14:textId="77777777" w:rsidR="00222584" w:rsidRDefault="00222584" w:rsidP="00222584"/>
    <w:p w14:paraId="392DE12C" w14:textId="77777777" w:rsidR="00222584" w:rsidRDefault="00222584" w:rsidP="002F4662"/>
    <w:p w14:paraId="77504462" w14:textId="77777777" w:rsidR="00222584" w:rsidRDefault="00222584" w:rsidP="002F4662"/>
    <w:p w14:paraId="7F15B51C" w14:textId="77777777" w:rsidR="000D23AF" w:rsidRDefault="000D23AF"/>
    <w:p w14:paraId="25B5A742" w14:textId="77777777" w:rsidR="00A30B15" w:rsidRDefault="00A30B15" w:rsidP="00D84C7A">
      <w:pPr>
        <w:pStyle w:val="Heading1"/>
        <w:sectPr w:rsidR="00A30B15" w:rsidSect="008233FC">
          <w:footerReference w:type="default" r:id="rId18"/>
          <w:footerReference w:type="first" r:id="rId19"/>
          <w:pgSz w:w="11906" w:h="16838"/>
          <w:pgMar w:top="1440" w:right="1440" w:bottom="1440" w:left="1440" w:header="706" w:footer="706" w:gutter="0"/>
          <w:cols w:space="708"/>
          <w:titlePg/>
          <w:docGrid w:linePitch="360"/>
        </w:sectPr>
      </w:pPr>
    </w:p>
    <w:p w14:paraId="26626579" w14:textId="77777777" w:rsidR="003A3880" w:rsidRDefault="00D84C7A" w:rsidP="00D84C7A">
      <w:pPr>
        <w:pStyle w:val="Heading1"/>
      </w:pPr>
      <w:bookmarkStart w:id="17" w:name="_Toc192683427"/>
      <w:r>
        <w:lastRenderedPageBreak/>
        <w:t>Annexes</w:t>
      </w:r>
      <w:bookmarkEnd w:id="17"/>
      <w:r>
        <w:t xml:space="preserve"> </w:t>
      </w:r>
    </w:p>
    <w:p w14:paraId="42F59DBF" w14:textId="77777777" w:rsidR="00631D2B" w:rsidRDefault="00631D2B" w:rsidP="00A31E12">
      <w:pPr>
        <w:pStyle w:val="Heading2"/>
        <w:sectPr w:rsidR="00631D2B" w:rsidSect="003F261F">
          <w:pgSz w:w="11906" w:h="16838"/>
          <w:pgMar w:top="1440" w:right="1440" w:bottom="1440" w:left="1440" w:header="706" w:footer="706" w:gutter="0"/>
          <w:cols w:space="708"/>
          <w:titlePg/>
          <w:docGrid w:linePitch="360"/>
        </w:sectPr>
      </w:pPr>
    </w:p>
    <w:p w14:paraId="5BDB538F" w14:textId="77777777" w:rsidR="00A31E12" w:rsidRDefault="00A31E12" w:rsidP="00A31E12">
      <w:pPr>
        <w:pStyle w:val="Heading2"/>
      </w:pPr>
      <w:bookmarkStart w:id="18" w:name="_Toc192683428"/>
      <w:r>
        <w:lastRenderedPageBreak/>
        <w:t>Appendix 1: Hierarchy of Work Experience Activities</w:t>
      </w:r>
      <w:bookmarkEnd w:id="18"/>
    </w:p>
    <w:p w14:paraId="52E9D265" w14:textId="6F3944CE" w:rsidR="00631D2B" w:rsidRPr="00631D2B" w:rsidRDefault="00631D2B" w:rsidP="00631D2B">
      <w:r>
        <w:rPr>
          <w:noProof/>
        </w:rPr>
        <w:drawing>
          <wp:inline distT="0" distB="0" distL="0" distR="0" wp14:anchorId="0311840E" wp14:editId="24FF2883">
            <wp:extent cx="7490974" cy="4213831"/>
            <wp:effectExtent l="0" t="0" r="0" b="0"/>
            <wp:docPr id="1038263951" name="Graphic 1" descr="A diagram depicting the Hierarchy of Work Experience Activities.&#10;1. Employer/External input into the curriculum&#10;2. Careers Fair (including part time work, volunteering, placements and graduate roles)&#10;3. Insight activity/Live brief/Simulation&#10;4. Site visit&#10;5. Taster day&#10;6. Placement/Volunt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63951" name="Graphic 1" descr="A diagram depicting the Hierarchy of Work Experience Activities.&#10;1. Employer/External input into the curriculum&#10;2. Careers Fair (including part time work, volunteering, placements and graduate roles)&#10;3. Insight activity/Live brief/Simulation&#10;4. Site visit&#10;5. Taster day&#10;6. Placement/Volunteering"/>
                    <pic:cNvPicPr/>
                  </pic:nvPicPr>
                  <pic:blipFill>
                    <a:blip r:embed="rId20">
                      <a:extLst>
                        <a:ext uri="{96DAC541-7B7A-43D3-8B79-37D633B846F1}">
                          <asvg:svgBlip xmlns:asvg="http://schemas.microsoft.com/office/drawing/2016/SVG/main" r:embed="rId21"/>
                        </a:ext>
                      </a:extLst>
                    </a:blip>
                    <a:stretch>
                      <a:fillRect/>
                    </a:stretch>
                  </pic:blipFill>
                  <pic:spPr>
                    <a:xfrm>
                      <a:off x="0" y="0"/>
                      <a:ext cx="7494098" cy="4215588"/>
                    </a:xfrm>
                    <a:prstGeom prst="rect">
                      <a:avLst/>
                    </a:prstGeom>
                  </pic:spPr>
                </pic:pic>
              </a:graphicData>
            </a:graphic>
          </wp:inline>
        </w:drawing>
      </w:r>
    </w:p>
    <w:p w14:paraId="40FB68D4" w14:textId="77777777" w:rsidR="00631D2B" w:rsidRDefault="00631D2B" w:rsidP="0008498C">
      <w:pPr>
        <w:pStyle w:val="Heading2"/>
      </w:pPr>
    </w:p>
    <w:p w14:paraId="63B193C2" w14:textId="77777777" w:rsidR="00631D2B" w:rsidRPr="00631D2B" w:rsidRDefault="00631D2B" w:rsidP="00631D2B">
      <w:pPr>
        <w:sectPr w:rsidR="00631D2B" w:rsidRPr="00631D2B" w:rsidSect="003F261F">
          <w:pgSz w:w="16838" w:h="11906" w:orient="landscape"/>
          <w:pgMar w:top="1440" w:right="1440" w:bottom="1440" w:left="1440" w:header="706" w:footer="706" w:gutter="0"/>
          <w:cols w:space="708"/>
          <w:titlePg/>
          <w:docGrid w:linePitch="360"/>
        </w:sectPr>
      </w:pPr>
    </w:p>
    <w:p w14:paraId="46B08D4E" w14:textId="77777777" w:rsidR="0008498C" w:rsidRDefault="0008498C" w:rsidP="0008498C">
      <w:pPr>
        <w:pStyle w:val="Heading2"/>
      </w:pPr>
      <w:bookmarkStart w:id="19" w:name="_Toc192683429"/>
      <w:r>
        <w:lastRenderedPageBreak/>
        <w:t>Appendix 2: Faculty Employability Action Plan Template</w:t>
      </w:r>
      <w:bookmarkEnd w:id="19"/>
    </w:p>
    <w:p w14:paraId="2F86B930" w14:textId="77777777" w:rsidR="0094320F" w:rsidRDefault="0094320F" w:rsidP="0094320F">
      <w:pPr>
        <w:pStyle w:val="ListParagraph"/>
        <w:numPr>
          <w:ilvl w:val="0"/>
          <w:numId w:val="24"/>
        </w:numPr>
        <w:spacing w:after="160" w:line="259" w:lineRule="auto"/>
      </w:pPr>
      <w:r>
        <w:t>Name of Faculty, Department/School</w:t>
      </w:r>
    </w:p>
    <w:p w14:paraId="5E7B2081" w14:textId="77777777" w:rsidR="0094320F" w:rsidRDefault="0094320F" w:rsidP="0094320F">
      <w:pPr>
        <w:pStyle w:val="ListParagraph"/>
        <w:numPr>
          <w:ilvl w:val="0"/>
          <w:numId w:val="24"/>
        </w:numPr>
        <w:spacing w:after="160" w:line="259" w:lineRule="auto"/>
      </w:pPr>
      <w:r>
        <w:t>Academic year</w:t>
      </w:r>
    </w:p>
    <w:p w14:paraId="349AEC4D" w14:textId="77777777" w:rsidR="0094320F" w:rsidRDefault="0094320F" w:rsidP="0094320F">
      <w:pPr>
        <w:pStyle w:val="ListParagraph"/>
        <w:numPr>
          <w:ilvl w:val="0"/>
          <w:numId w:val="24"/>
        </w:numPr>
        <w:spacing w:after="160" w:line="259" w:lineRule="auto"/>
      </w:pPr>
      <w:r>
        <w:t>Data from Tableau: Undergraduate and Postgraduate graduate outcomes.</w:t>
      </w:r>
    </w:p>
    <w:p w14:paraId="36680DFB" w14:textId="77777777" w:rsidR="0094320F" w:rsidRDefault="0094320F" w:rsidP="0094320F">
      <w:pPr>
        <w:pStyle w:val="ListParagraph"/>
        <w:numPr>
          <w:ilvl w:val="0"/>
          <w:numId w:val="24"/>
        </w:numPr>
        <w:spacing w:after="160" w:line="259" w:lineRule="auto"/>
      </w:pPr>
      <w:r>
        <w:t>Destination data broken down by course and set into the context of CAH groupings for national scrutiny.</w:t>
      </w:r>
    </w:p>
    <w:p w14:paraId="50ED1F03" w14:textId="77777777" w:rsidR="0094320F" w:rsidRDefault="0094320F" w:rsidP="0094320F">
      <w:pPr>
        <w:pStyle w:val="ListParagraph"/>
        <w:numPr>
          <w:ilvl w:val="0"/>
          <w:numId w:val="24"/>
        </w:numPr>
        <w:spacing w:after="160" w:line="259" w:lineRule="auto"/>
      </w:pPr>
      <w:r>
        <w:t>Data from national league tables e.g. career prospects from Guardian league table.</w:t>
      </w:r>
    </w:p>
    <w:p w14:paraId="33CBA536" w14:textId="77777777" w:rsidR="0094320F" w:rsidRDefault="0094320F" w:rsidP="0094320F">
      <w:pPr>
        <w:pStyle w:val="ListParagraph"/>
        <w:numPr>
          <w:ilvl w:val="0"/>
          <w:numId w:val="24"/>
        </w:numPr>
        <w:spacing w:after="160" w:line="259" w:lineRule="auto"/>
      </w:pPr>
      <w:r>
        <w:t>RAG rating for all courses based on likelihood of achieving score of 60 or above in graduate outcomes.</w:t>
      </w:r>
    </w:p>
    <w:p w14:paraId="268DCA68" w14:textId="77777777" w:rsidR="0094320F" w:rsidRDefault="0094320F" w:rsidP="0094320F">
      <w:pPr>
        <w:pStyle w:val="ListParagraph"/>
        <w:numPr>
          <w:ilvl w:val="0"/>
          <w:numId w:val="24"/>
        </w:numPr>
        <w:spacing w:after="160" w:line="259" w:lineRule="auto"/>
      </w:pPr>
      <w:r>
        <w:t>Career readiness and career goal data analysed to help identify emerging trends or issues.</w:t>
      </w:r>
    </w:p>
    <w:p w14:paraId="289ABDB1" w14:textId="77777777" w:rsidR="0094320F" w:rsidRDefault="0094320F" w:rsidP="0094320F">
      <w:pPr>
        <w:pStyle w:val="ListParagraph"/>
        <w:numPr>
          <w:ilvl w:val="0"/>
          <w:numId w:val="24"/>
        </w:numPr>
        <w:spacing w:after="160" w:line="259" w:lineRule="auto"/>
      </w:pPr>
      <w:r>
        <w:t>Mapping of graduate attributes to programmes, to ensure all graduate attributes are covered with appropriately varied authentic learning, teaching and assessment activities.</w:t>
      </w:r>
    </w:p>
    <w:p w14:paraId="536BF4D5" w14:textId="77777777" w:rsidR="0094320F" w:rsidRDefault="0094320F" w:rsidP="0094320F">
      <w:pPr>
        <w:pStyle w:val="ListParagraph"/>
        <w:numPr>
          <w:ilvl w:val="0"/>
          <w:numId w:val="24"/>
        </w:numPr>
        <w:spacing w:after="160" w:line="259" w:lineRule="auto"/>
      </w:pPr>
      <w:r>
        <w:t xml:space="preserve">Overview of intra- and extra-curricular activity planned, delivered, and evaluated focusing on graduate outcomes and graduate attributes. Produced in conjunction with the Careers Adviser (Faculty Consultant). </w:t>
      </w:r>
    </w:p>
    <w:p w14:paraId="6F9C7ECB" w14:textId="77777777" w:rsidR="0094320F" w:rsidRDefault="0094320F" w:rsidP="0094320F">
      <w:pPr>
        <w:pStyle w:val="ListParagraph"/>
        <w:numPr>
          <w:ilvl w:val="0"/>
          <w:numId w:val="24"/>
        </w:numPr>
        <w:spacing w:after="160" w:line="259" w:lineRule="auto"/>
      </w:pPr>
      <w:r>
        <w:t>Graduate outcomes communications plan to be developed and overseen by Faculty lead.</w:t>
      </w:r>
    </w:p>
    <w:p w14:paraId="61B935C5" w14:textId="77777777" w:rsidR="0094320F" w:rsidRDefault="0094320F" w:rsidP="0094320F">
      <w:pPr>
        <w:pStyle w:val="ListParagraph"/>
        <w:numPr>
          <w:ilvl w:val="0"/>
          <w:numId w:val="24"/>
        </w:numPr>
        <w:spacing w:after="160" w:line="259" w:lineRule="auto"/>
      </w:pPr>
      <w:r>
        <w:t>For all areas at risk of not meeting threshold an action plan of activity to be delivered to:</w:t>
      </w:r>
    </w:p>
    <w:p w14:paraId="1950A282" w14:textId="77777777" w:rsidR="0094320F" w:rsidRDefault="0094320F" w:rsidP="0094320F">
      <w:pPr>
        <w:pStyle w:val="ListParagraph"/>
        <w:numPr>
          <w:ilvl w:val="1"/>
          <w:numId w:val="24"/>
        </w:numPr>
        <w:spacing w:after="160" w:line="259" w:lineRule="auto"/>
      </w:pPr>
      <w:r>
        <w:t>Finalists from February onwards.</w:t>
      </w:r>
    </w:p>
    <w:p w14:paraId="457703D5" w14:textId="77777777" w:rsidR="0094320F" w:rsidRDefault="0094320F" w:rsidP="0094320F">
      <w:pPr>
        <w:pStyle w:val="ListParagraph"/>
        <w:numPr>
          <w:ilvl w:val="1"/>
          <w:numId w:val="24"/>
        </w:numPr>
        <w:spacing w:after="160" w:line="259" w:lineRule="auto"/>
      </w:pPr>
      <w:r>
        <w:t>Recent graduates from January to June.</w:t>
      </w:r>
    </w:p>
    <w:p w14:paraId="01DADB79" w14:textId="77777777" w:rsidR="0094320F" w:rsidRDefault="0094320F" w:rsidP="0094320F">
      <w:pPr>
        <w:pStyle w:val="ListParagraph"/>
        <w:numPr>
          <w:ilvl w:val="1"/>
          <w:numId w:val="24"/>
        </w:numPr>
        <w:spacing w:after="160" w:line="259" w:lineRule="auto"/>
      </w:pPr>
      <w:r>
        <w:t xml:space="preserve">Survey week activities to count as positive graduate outcome. </w:t>
      </w:r>
    </w:p>
    <w:p w14:paraId="4422634F" w14:textId="77777777" w:rsidR="0094320F" w:rsidRDefault="0094320F" w:rsidP="0094320F">
      <w:r>
        <w:t>Timings for the above will vary depending on graduate outcomes cohort, the example above is for Cohort D.</w:t>
      </w:r>
    </w:p>
    <w:p w14:paraId="7648A9EF" w14:textId="77777777" w:rsidR="0094320F" w:rsidRDefault="0094320F" w:rsidP="0094320F">
      <w:r>
        <w:t>Ongoing staff development and support is available from the Careers team.</w:t>
      </w:r>
    </w:p>
    <w:p w14:paraId="5CAC3DAB" w14:textId="77777777" w:rsidR="0094320F" w:rsidRDefault="0094320F" w:rsidP="0094320F">
      <w:r>
        <w:t>Support from Careers Advisers (Faculty Consultants) to devise and implement relevant intra- and extra-curricular activities.</w:t>
      </w:r>
    </w:p>
    <w:p w14:paraId="56C6AF19" w14:textId="77777777" w:rsidR="0094320F" w:rsidRDefault="0094320F" w:rsidP="0094320F">
      <w:hyperlink r:id="rId22" w:history="1">
        <w:r w:rsidRPr="00D16D73">
          <w:rPr>
            <w:rStyle w:val="Hyperlink"/>
          </w:rPr>
          <w:t xml:space="preserve">Exemplar from </w:t>
        </w:r>
        <w:proofErr w:type="spellStart"/>
        <w:r>
          <w:rPr>
            <w:rStyle w:val="Hyperlink"/>
          </w:rPr>
          <w:t>FoE</w:t>
        </w:r>
        <w:proofErr w:type="spellEnd"/>
        <w:r>
          <w:rPr>
            <w:rStyle w:val="Hyperlink"/>
          </w:rPr>
          <w:t xml:space="preserve">: </w:t>
        </w:r>
        <w:r w:rsidRPr="00D16D73">
          <w:rPr>
            <w:rStyle w:val="Hyperlink"/>
          </w:rPr>
          <w:t>Early Years</w:t>
        </w:r>
      </w:hyperlink>
      <w:r>
        <w:t>.</w:t>
      </w:r>
    </w:p>
    <w:p w14:paraId="77C1AB73" w14:textId="77777777" w:rsidR="00A31E12" w:rsidRPr="00A31E12" w:rsidRDefault="00A31E12" w:rsidP="00A31E12"/>
    <w:p w14:paraId="7ED1FBD6" w14:textId="14F56CFA" w:rsidR="000D23AF" w:rsidRDefault="000D23AF" w:rsidP="00D84C7A">
      <w:pPr>
        <w:pStyle w:val="Heading1"/>
      </w:pPr>
      <w:r>
        <w:br w:type="page"/>
      </w:r>
    </w:p>
    <w:p w14:paraId="64E20810" w14:textId="77777777" w:rsidR="007E6D66" w:rsidRPr="006A5B50" w:rsidRDefault="007E6D66" w:rsidP="007E6D66">
      <w:pPr>
        <w:pStyle w:val="Heading1"/>
      </w:pPr>
      <w:bookmarkStart w:id="20" w:name="_Toc192683430"/>
      <w:proofErr w:type="spellStart"/>
      <w:r w:rsidRPr="000D23AF">
        <w:lastRenderedPageBreak/>
        <w:t>Endmatter</w:t>
      </w:r>
      <w:bookmarkEnd w:id="20"/>
      <w:proofErr w:type="spellEnd"/>
    </w:p>
    <w:tbl>
      <w:tblPr>
        <w:tblStyle w:val="TableGrid"/>
        <w:tblW w:w="0" w:type="auto"/>
        <w:tblLook w:val="04A0" w:firstRow="1" w:lastRow="0" w:firstColumn="1" w:lastColumn="0" w:noHBand="0" w:noVBand="1"/>
      </w:tblPr>
      <w:tblGrid>
        <w:gridCol w:w="2758"/>
        <w:gridCol w:w="6258"/>
      </w:tblGrid>
      <w:tr w:rsidR="007E6D66" w14:paraId="76EA6757" w14:textId="77777777" w:rsidTr="0044086D">
        <w:trPr>
          <w:tblHeader/>
        </w:trPr>
        <w:tc>
          <w:tcPr>
            <w:tcW w:w="2758" w:type="dxa"/>
          </w:tcPr>
          <w:p w14:paraId="4E5C31B1" w14:textId="77777777" w:rsidR="007E6D66" w:rsidRDefault="007E6D66" w:rsidP="00840BF2">
            <w:r>
              <w:t>Title</w:t>
            </w:r>
          </w:p>
        </w:tc>
        <w:tc>
          <w:tcPr>
            <w:tcW w:w="6258" w:type="dxa"/>
          </w:tcPr>
          <w:p w14:paraId="41EB3203" w14:textId="77777777" w:rsidR="007E6D66" w:rsidRDefault="007E6D66" w:rsidP="00840BF2">
            <w:r>
              <w:t>Employability Strategy 2025-2030</w:t>
            </w:r>
          </w:p>
        </w:tc>
      </w:tr>
      <w:tr w:rsidR="007E6D66" w14:paraId="55D45412" w14:textId="77777777" w:rsidTr="00840BF2">
        <w:tc>
          <w:tcPr>
            <w:tcW w:w="2758" w:type="dxa"/>
          </w:tcPr>
          <w:p w14:paraId="198B7509" w14:textId="77777777" w:rsidR="007E6D66" w:rsidRDefault="007E6D66" w:rsidP="00840BF2">
            <w:r>
              <w:t>Policy Owner</w:t>
            </w:r>
          </w:p>
        </w:tc>
        <w:tc>
          <w:tcPr>
            <w:tcW w:w="6258" w:type="dxa"/>
          </w:tcPr>
          <w:p w14:paraId="16159A7C" w14:textId="77777777" w:rsidR="007E6D66" w:rsidRDefault="007E6D66" w:rsidP="00840BF2">
            <w:r>
              <w:t xml:space="preserve">Head of Careers and Graduate Employability </w:t>
            </w:r>
          </w:p>
        </w:tc>
      </w:tr>
      <w:tr w:rsidR="007E6D66" w14:paraId="3A23E55D" w14:textId="77777777" w:rsidTr="00840BF2">
        <w:tc>
          <w:tcPr>
            <w:tcW w:w="2758" w:type="dxa"/>
          </w:tcPr>
          <w:p w14:paraId="4DAA2C40" w14:textId="77777777" w:rsidR="007E6D66" w:rsidRDefault="007E6D66" w:rsidP="00840BF2">
            <w:r>
              <w:t>Policy Manager</w:t>
            </w:r>
          </w:p>
        </w:tc>
        <w:tc>
          <w:tcPr>
            <w:tcW w:w="6258" w:type="dxa"/>
          </w:tcPr>
          <w:p w14:paraId="14707ACE" w14:textId="77777777" w:rsidR="007E6D66" w:rsidRDefault="007E6D66" w:rsidP="00840BF2">
            <w:r>
              <w:t xml:space="preserve">Head of Careers and Graduate Employability </w:t>
            </w:r>
          </w:p>
        </w:tc>
      </w:tr>
      <w:tr w:rsidR="007E6D66" w14:paraId="1F5B9401" w14:textId="77777777" w:rsidTr="00840BF2">
        <w:tc>
          <w:tcPr>
            <w:tcW w:w="2758" w:type="dxa"/>
          </w:tcPr>
          <w:p w14:paraId="0E22E0ED" w14:textId="77777777" w:rsidR="007E6D66" w:rsidRDefault="007E6D66" w:rsidP="00840BF2">
            <w:r>
              <w:t>Approved by</w:t>
            </w:r>
          </w:p>
        </w:tc>
        <w:tc>
          <w:tcPr>
            <w:tcW w:w="6258" w:type="dxa"/>
          </w:tcPr>
          <w:p w14:paraId="6B1BAA27" w14:textId="77777777" w:rsidR="007E6D66" w:rsidRDefault="007E6D66" w:rsidP="00840BF2">
            <w:r>
              <w:t>Academic Board</w:t>
            </w:r>
          </w:p>
        </w:tc>
      </w:tr>
      <w:tr w:rsidR="007E6D66" w14:paraId="1B87D639" w14:textId="77777777" w:rsidTr="00840BF2">
        <w:tc>
          <w:tcPr>
            <w:tcW w:w="2758" w:type="dxa"/>
          </w:tcPr>
          <w:p w14:paraId="1749AB2E" w14:textId="77777777" w:rsidR="007E6D66" w:rsidRDefault="007E6D66" w:rsidP="00840BF2">
            <w:r>
              <w:t>Date of Approval</w:t>
            </w:r>
          </w:p>
        </w:tc>
        <w:tc>
          <w:tcPr>
            <w:tcW w:w="6258" w:type="dxa"/>
          </w:tcPr>
          <w:p w14:paraId="0038BBC3" w14:textId="77777777" w:rsidR="007E6D66" w:rsidRDefault="007E6D66" w:rsidP="00840BF2">
            <w:r>
              <w:t>December 2024</w:t>
            </w:r>
          </w:p>
        </w:tc>
      </w:tr>
      <w:tr w:rsidR="007E6D66" w14:paraId="34D16591" w14:textId="77777777" w:rsidTr="00840BF2">
        <w:tc>
          <w:tcPr>
            <w:tcW w:w="2758" w:type="dxa"/>
          </w:tcPr>
          <w:p w14:paraId="45320CE5" w14:textId="77777777" w:rsidR="007E6D66" w:rsidRDefault="007E6D66" w:rsidP="00840BF2">
            <w:r>
              <w:t xml:space="preserve">Date for Review </w:t>
            </w:r>
          </w:p>
        </w:tc>
        <w:tc>
          <w:tcPr>
            <w:tcW w:w="6258" w:type="dxa"/>
          </w:tcPr>
          <w:p w14:paraId="2C257A4B" w14:textId="77777777" w:rsidR="007E6D66" w:rsidRDefault="007E6D66" w:rsidP="00840BF2">
            <w:r>
              <w:t>September 2029</w:t>
            </w:r>
          </w:p>
        </w:tc>
      </w:tr>
    </w:tbl>
    <w:p w14:paraId="58B74CEF" w14:textId="77777777" w:rsidR="000D23AF" w:rsidRDefault="000D23AF"/>
    <w:sectPr w:rsidR="000D23AF" w:rsidSect="003F261F">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0358" w14:textId="77777777" w:rsidR="002D13FF" w:rsidRDefault="002D13FF" w:rsidP="006A5B50">
      <w:pPr>
        <w:spacing w:after="0" w:line="240" w:lineRule="auto"/>
      </w:pPr>
      <w:r>
        <w:separator/>
      </w:r>
    </w:p>
  </w:endnote>
  <w:endnote w:type="continuationSeparator" w:id="0">
    <w:p w14:paraId="1D2FC9C1" w14:textId="77777777" w:rsidR="002D13FF" w:rsidRDefault="002D13FF" w:rsidP="006A5B50">
      <w:pPr>
        <w:spacing w:after="0" w:line="240" w:lineRule="auto"/>
      </w:pPr>
      <w:r>
        <w:continuationSeparator/>
      </w:r>
    </w:p>
  </w:endnote>
  <w:endnote w:type="continuationNotice" w:id="1">
    <w:p w14:paraId="53A2DA0A" w14:textId="77777777" w:rsidR="002D13FF" w:rsidRDefault="002D1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61A52348" w14:textId="77777777" w:rsidR="007F06C7" w:rsidRDefault="007F06C7">
        <w:pPr>
          <w:pStyle w:val="Footer"/>
          <w:jc w:val="center"/>
        </w:pPr>
        <w:r>
          <w:fldChar w:fldCharType="begin"/>
        </w:r>
        <w:r>
          <w:instrText xml:space="preserve"> PAGE   \* MERGEFORMAT </w:instrText>
        </w:r>
        <w:r>
          <w:fldChar w:fldCharType="separate"/>
        </w:r>
        <w:r w:rsidR="002F5862">
          <w:rPr>
            <w:noProof/>
          </w:rPr>
          <w:t>4</w:t>
        </w:r>
        <w:r>
          <w:rPr>
            <w:noProof/>
          </w:rPr>
          <w:fldChar w:fldCharType="end"/>
        </w:r>
      </w:p>
    </w:sdtContent>
  </w:sdt>
  <w:p w14:paraId="17476590"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88918"/>
      <w:docPartObj>
        <w:docPartGallery w:val="Page Numbers (Bottom of Page)"/>
        <w:docPartUnique/>
      </w:docPartObj>
    </w:sdtPr>
    <w:sdtEndPr>
      <w:rPr>
        <w:noProof/>
      </w:rPr>
    </w:sdtEndPr>
    <w:sdtContent>
      <w:p w14:paraId="43C78B20" w14:textId="2A430A59" w:rsidR="003F261F" w:rsidRDefault="003F2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294AC" w14:textId="0E4337FD" w:rsidR="006A5B50" w:rsidRDefault="006A5B50" w:rsidP="007F06C7">
    <w:pPr>
      <w:pStyle w:val="Footer"/>
      <w:tabs>
        <w:tab w:val="clear" w:pos="4513"/>
        <w:tab w:val="clear" w:pos="9026"/>
        <w:tab w:val="left" w:pos="115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26D0" w14:textId="77777777" w:rsidR="002D13FF" w:rsidRDefault="002D13FF" w:rsidP="006A5B50">
      <w:pPr>
        <w:spacing w:after="0" w:line="240" w:lineRule="auto"/>
      </w:pPr>
      <w:r>
        <w:separator/>
      </w:r>
    </w:p>
  </w:footnote>
  <w:footnote w:type="continuationSeparator" w:id="0">
    <w:p w14:paraId="523FFBCE" w14:textId="77777777" w:rsidR="002D13FF" w:rsidRDefault="002D13FF" w:rsidP="006A5B50">
      <w:pPr>
        <w:spacing w:after="0" w:line="240" w:lineRule="auto"/>
      </w:pPr>
      <w:r>
        <w:continuationSeparator/>
      </w:r>
    </w:p>
  </w:footnote>
  <w:footnote w:type="continuationNotice" w:id="1">
    <w:p w14:paraId="0BA497E1" w14:textId="77777777" w:rsidR="002D13FF" w:rsidRDefault="002D1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341E1"/>
    <w:multiLevelType w:val="hybridMultilevel"/>
    <w:tmpl w:val="3C8298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C74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51B2A"/>
    <w:multiLevelType w:val="hybridMultilevel"/>
    <w:tmpl w:val="B8DC6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B452F"/>
    <w:multiLevelType w:val="hybridMultilevel"/>
    <w:tmpl w:val="31DE8F64"/>
    <w:lvl w:ilvl="0" w:tplc="00D2BCD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E4E9D"/>
    <w:multiLevelType w:val="hybridMultilevel"/>
    <w:tmpl w:val="4A20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21076"/>
    <w:multiLevelType w:val="hybridMultilevel"/>
    <w:tmpl w:val="6FDE2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7981"/>
    <w:multiLevelType w:val="hybridMultilevel"/>
    <w:tmpl w:val="5262FB8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F60E6"/>
    <w:multiLevelType w:val="hybridMultilevel"/>
    <w:tmpl w:val="448A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930FA"/>
    <w:multiLevelType w:val="hybridMultilevel"/>
    <w:tmpl w:val="42DA37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2B14C6"/>
    <w:multiLevelType w:val="hybridMultilevel"/>
    <w:tmpl w:val="FE281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E2A6C"/>
    <w:multiLevelType w:val="hybridMultilevel"/>
    <w:tmpl w:val="7ED88C8E"/>
    <w:lvl w:ilvl="0" w:tplc="D63C36F4">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A07380"/>
    <w:multiLevelType w:val="multilevel"/>
    <w:tmpl w:val="70587DB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A7729E"/>
    <w:multiLevelType w:val="hybridMultilevel"/>
    <w:tmpl w:val="CF70B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E76C4"/>
    <w:multiLevelType w:val="hybridMultilevel"/>
    <w:tmpl w:val="01A0C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35FBA"/>
    <w:multiLevelType w:val="multilevel"/>
    <w:tmpl w:val="7C704A9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1254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926ADF"/>
    <w:multiLevelType w:val="hybridMultilevel"/>
    <w:tmpl w:val="5694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456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A5554"/>
    <w:multiLevelType w:val="hybridMultilevel"/>
    <w:tmpl w:val="8780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34D69"/>
    <w:multiLevelType w:val="hybridMultilevel"/>
    <w:tmpl w:val="4F5E2A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F76E0B"/>
    <w:multiLevelType w:val="hybridMultilevel"/>
    <w:tmpl w:val="CFB4C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1476560">
    <w:abstractNumId w:val="0"/>
  </w:num>
  <w:num w:numId="2" w16cid:durableId="310912298">
    <w:abstractNumId w:val="17"/>
  </w:num>
  <w:num w:numId="3" w16cid:durableId="1051811089">
    <w:abstractNumId w:val="22"/>
  </w:num>
  <w:num w:numId="4" w16cid:durableId="59376555">
    <w:abstractNumId w:val="20"/>
  </w:num>
  <w:num w:numId="5" w16cid:durableId="1671638712">
    <w:abstractNumId w:val="4"/>
  </w:num>
  <w:num w:numId="6" w16cid:durableId="1727486342">
    <w:abstractNumId w:val="8"/>
  </w:num>
  <w:num w:numId="7" w16cid:durableId="2023818389">
    <w:abstractNumId w:val="10"/>
  </w:num>
  <w:num w:numId="8" w16cid:durableId="1095632040">
    <w:abstractNumId w:val="15"/>
  </w:num>
  <w:num w:numId="9" w16cid:durableId="99187603">
    <w:abstractNumId w:val="2"/>
  </w:num>
  <w:num w:numId="10" w16cid:durableId="1688094266">
    <w:abstractNumId w:val="16"/>
  </w:num>
  <w:num w:numId="11" w16cid:durableId="1768766191">
    <w:abstractNumId w:val="12"/>
  </w:num>
  <w:num w:numId="12" w16cid:durableId="2020423408">
    <w:abstractNumId w:val="19"/>
  </w:num>
  <w:num w:numId="13" w16cid:durableId="1601641162">
    <w:abstractNumId w:val="23"/>
  </w:num>
  <w:num w:numId="14" w16cid:durableId="711155659">
    <w:abstractNumId w:val="21"/>
  </w:num>
  <w:num w:numId="15" w16cid:durableId="620301553">
    <w:abstractNumId w:val="7"/>
  </w:num>
  <w:num w:numId="16" w16cid:durableId="291205639">
    <w:abstractNumId w:val="18"/>
  </w:num>
  <w:num w:numId="17" w16cid:durableId="621762815">
    <w:abstractNumId w:val="5"/>
  </w:num>
  <w:num w:numId="18" w16cid:durableId="533736405">
    <w:abstractNumId w:val="13"/>
  </w:num>
  <w:num w:numId="19" w16cid:durableId="566644534">
    <w:abstractNumId w:val="3"/>
  </w:num>
  <w:num w:numId="20" w16cid:durableId="770515183">
    <w:abstractNumId w:val="6"/>
  </w:num>
  <w:num w:numId="21" w16cid:durableId="716466133">
    <w:abstractNumId w:val="9"/>
  </w:num>
  <w:num w:numId="22" w16cid:durableId="618992185">
    <w:abstractNumId w:val="11"/>
  </w:num>
  <w:num w:numId="23" w16cid:durableId="354692861">
    <w:abstractNumId w:val="14"/>
  </w:num>
  <w:num w:numId="24" w16cid:durableId="155288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3AD4"/>
    <w:rsid w:val="0001600E"/>
    <w:rsid w:val="0007614A"/>
    <w:rsid w:val="0008498C"/>
    <w:rsid w:val="000C1417"/>
    <w:rsid w:val="000C5EB3"/>
    <w:rsid w:val="000D23AF"/>
    <w:rsid w:val="000D47B4"/>
    <w:rsid w:val="000E19B3"/>
    <w:rsid w:val="000E2CF4"/>
    <w:rsid w:val="000E7A5D"/>
    <w:rsid w:val="000F3143"/>
    <w:rsid w:val="000F4C28"/>
    <w:rsid w:val="000F728C"/>
    <w:rsid w:val="000F7E12"/>
    <w:rsid w:val="001005E0"/>
    <w:rsid w:val="0011421B"/>
    <w:rsid w:val="001300C9"/>
    <w:rsid w:val="001722B8"/>
    <w:rsid w:val="00195BF8"/>
    <w:rsid w:val="00197B94"/>
    <w:rsid w:val="001F564C"/>
    <w:rsid w:val="00222584"/>
    <w:rsid w:val="00274B12"/>
    <w:rsid w:val="0028572A"/>
    <w:rsid w:val="0029043F"/>
    <w:rsid w:val="002C4E19"/>
    <w:rsid w:val="002D13FF"/>
    <w:rsid w:val="002D3328"/>
    <w:rsid w:val="002E244F"/>
    <w:rsid w:val="002F4662"/>
    <w:rsid w:val="002F5862"/>
    <w:rsid w:val="00323F9A"/>
    <w:rsid w:val="00334A15"/>
    <w:rsid w:val="00335A76"/>
    <w:rsid w:val="00351BCA"/>
    <w:rsid w:val="00374CC8"/>
    <w:rsid w:val="00396785"/>
    <w:rsid w:val="003A3880"/>
    <w:rsid w:val="003F261F"/>
    <w:rsid w:val="0040261F"/>
    <w:rsid w:val="00415AF4"/>
    <w:rsid w:val="00417A19"/>
    <w:rsid w:val="0044086D"/>
    <w:rsid w:val="00443E7C"/>
    <w:rsid w:val="004552C7"/>
    <w:rsid w:val="004B5575"/>
    <w:rsid w:val="004C68AB"/>
    <w:rsid w:val="004C6C1F"/>
    <w:rsid w:val="00507A92"/>
    <w:rsid w:val="005138CF"/>
    <w:rsid w:val="00537290"/>
    <w:rsid w:val="00556D70"/>
    <w:rsid w:val="00562BA4"/>
    <w:rsid w:val="0059577B"/>
    <w:rsid w:val="005A0DA1"/>
    <w:rsid w:val="005D0A22"/>
    <w:rsid w:val="00624B53"/>
    <w:rsid w:val="00631D2B"/>
    <w:rsid w:val="00646261"/>
    <w:rsid w:val="0065200E"/>
    <w:rsid w:val="00672F75"/>
    <w:rsid w:val="00676FCF"/>
    <w:rsid w:val="00683E10"/>
    <w:rsid w:val="00686C16"/>
    <w:rsid w:val="006A5B50"/>
    <w:rsid w:val="006C5B98"/>
    <w:rsid w:val="006E5E81"/>
    <w:rsid w:val="006F0B4E"/>
    <w:rsid w:val="006F295C"/>
    <w:rsid w:val="007079E9"/>
    <w:rsid w:val="00716B2C"/>
    <w:rsid w:val="00722685"/>
    <w:rsid w:val="00745DC4"/>
    <w:rsid w:val="007543A4"/>
    <w:rsid w:val="00766B35"/>
    <w:rsid w:val="007674C4"/>
    <w:rsid w:val="00775564"/>
    <w:rsid w:val="007B6C9F"/>
    <w:rsid w:val="007D23FE"/>
    <w:rsid w:val="007E6D66"/>
    <w:rsid w:val="007F06C7"/>
    <w:rsid w:val="008233FC"/>
    <w:rsid w:val="008260D6"/>
    <w:rsid w:val="00830606"/>
    <w:rsid w:val="0086439F"/>
    <w:rsid w:val="008F08D1"/>
    <w:rsid w:val="008F1BE9"/>
    <w:rsid w:val="00901327"/>
    <w:rsid w:val="0092532A"/>
    <w:rsid w:val="0093218B"/>
    <w:rsid w:val="009421AF"/>
    <w:rsid w:val="0094320F"/>
    <w:rsid w:val="00971F84"/>
    <w:rsid w:val="00973F04"/>
    <w:rsid w:val="00976228"/>
    <w:rsid w:val="00992CC2"/>
    <w:rsid w:val="009A28E9"/>
    <w:rsid w:val="009A5A93"/>
    <w:rsid w:val="009E04B8"/>
    <w:rsid w:val="009F68D1"/>
    <w:rsid w:val="00A153D2"/>
    <w:rsid w:val="00A258B7"/>
    <w:rsid w:val="00A30B15"/>
    <w:rsid w:val="00A31E12"/>
    <w:rsid w:val="00A65490"/>
    <w:rsid w:val="00A670BA"/>
    <w:rsid w:val="00A73C4D"/>
    <w:rsid w:val="00AA32FA"/>
    <w:rsid w:val="00AB618A"/>
    <w:rsid w:val="00AD0F2E"/>
    <w:rsid w:val="00AD5259"/>
    <w:rsid w:val="00AF4488"/>
    <w:rsid w:val="00B11AA6"/>
    <w:rsid w:val="00B31E41"/>
    <w:rsid w:val="00B37702"/>
    <w:rsid w:val="00B42E1E"/>
    <w:rsid w:val="00B44135"/>
    <w:rsid w:val="00B7519F"/>
    <w:rsid w:val="00B764E4"/>
    <w:rsid w:val="00B77263"/>
    <w:rsid w:val="00B86B25"/>
    <w:rsid w:val="00BC446D"/>
    <w:rsid w:val="00BC69E2"/>
    <w:rsid w:val="00C01751"/>
    <w:rsid w:val="00C108A3"/>
    <w:rsid w:val="00C2739B"/>
    <w:rsid w:val="00C410EE"/>
    <w:rsid w:val="00C42D6E"/>
    <w:rsid w:val="00C575E6"/>
    <w:rsid w:val="00C625B0"/>
    <w:rsid w:val="00C75C14"/>
    <w:rsid w:val="00CD61B0"/>
    <w:rsid w:val="00CF75EE"/>
    <w:rsid w:val="00D22C64"/>
    <w:rsid w:val="00D23548"/>
    <w:rsid w:val="00D36164"/>
    <w:rsid w:val="00D51FEE"/>
    <w:rsid w:val="00D55D53"/>
    <w:rsid w:val="00D8081A"/>
    <w:rsid w:val="00D80A76"/>
    <w:rsid w:val="00D84C7A"/>
    <w:rsid w:val="00D872A1"/>
    <w:rsid w:val="00DF07B6"/>
    <w:rsid w:val="00E12CBA"/>
    <w:rsid w:val="00E21F75"/>
    <w:rsid w:val="00E37FCE"/>
    <w:rsid w:val="00E4575B"/>
    <w:rsid w:val="00E4639D"/>
    <w:rsid w:val="00E479D7"/>
    <w:rsid w:val="00E5137F"/>
    <w:rsid w:val="00E56293"/>
    <w:rsid w:val="00E628C0"/>
    <w:rsid w:val="00E7595E"/>
    <w:rsid w:val="00E87115"/>
    <w:rsid w:val="00E9058E"/>
    <w:rsid w:val="00E93FA9"/>
    <w:rsid w:val="00EB7CCF"/>
    <w:rsid w:val="00EF4D10"/>
    <w:rsid w:val="00F063E8"/>
    <w:rsid w:val="00F07667"/>
    <w:rsid w:val="00F15BD9"/>
    <w:rsid w:val="00F34D77"/>
    <w:rsid w:val="00F51C5B"/>
    <w:rsid w:val="00F522B5"/>
    <w:rsid w:val="00F771AD"/>
    <w:rsid w:val="00F809EB"/>
    <w:rsid w:val="00F81881"/>
    <w:rsid w:val="00F97C88"/>
    <w:rsid w:val="00FB0D1B"/>
    <w:rsid w:val="00FD4AD4"/>
    <w:rsid w:val="00FD597E"/>
    <w:rsid w:val="00FE2800"/>
    <w:rsid w:val="00FE3B6F"/>
    <w:rsid w:val="00FF50A0"/>
    <w:rsid w:val="00FF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B84A"/>
  <w15:chartTrackingRefBased/>
  <w15:docId w15:val="{A3C22E37-36C7-41CE-A95F-1FCA1BA5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222584"/>
    <w:pPr>
      <w:keepNext/>
      <w:keepLines/>
      <w:spacing w:before="240" w:after="120"/>
      <w:outlineLvl w:val="0"/>
    </w:pPr>
    <w:rPr>
      <w:rFonts w:asciiTheme="majorHAnsi" w:eastAsiaTheme="majorEastAsia" w:hAnsiTheme="majorHAnsi" w:cstheme="majorBidi"/>
      <w:color w:val="51154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1154F" w:themeColor="accent1" w:themeShade="BF"/>
      <w:sz w:val="26"/>
      <w:szCs w:val="26"/>
    </w:rPr>
  </w:style>
  <w:style w:type="paragraph" w:styleId="Heading3">
    <w:name w:val="heading 3"/>
    <w:basedOn w:val="Normal"/>
    <w:next w:val="Normal"/>
    <w:link w:val="Heading3Char"/>
    <w:uiPriority w:val="9"/>
    <w:unhideWhenUsed/>
    <w:qFormat/>
    <w:rsid w:val="002F4662"/>
    <w:pPr>
      <w:keepNext/>
      <w:keepLines/>
      <w:spacing w:before="40" w:after="0"/>
      <w:outlineLvl w:val="2"/>
    </w:pPr>
    <w:rPr>
      <w:rFonts w:asciiTheme="majorHAnsi" w:eastAsiaTheme="majorEastAsia" w:hAnsiTheme="majorHAnsi" w:cstheme="majorBidi"/>
      <w:color w:val="360E3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2584"/>
    <w:rPr>
      <w:rFonts w:asciiTheme="majorHAnsi" w:eastAsiaTheme="majorEastAsia" w:hAnsiTheme="majorHAnsi" w:cstheme="majorBidi"/>
      <w:color w:val="51154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1154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F261F"/>
    <w:pPr>
      <w:tabs>
        <w:tab w:val="right" w:leader="dot" w:pos="9016"/>
      </w:tabs>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0066FF"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customStyle="1" w:styleId="Heading3Char">
    <w:name w:val="Heading 3 Char"/>
    <w:basedOn w:val="DefaultParagraphFont"/>
    <w:link w:val="Heading3"/>
    <w:uiPriority w:val="9"/>
    <w:rsid w:val="002F4662"/>
    <w:rPr>
      <w:rFonts w:asciiTheme="majorHAnsi" w:eastAsiaTheme="majorEastAsia" w:hAnsiTheme="majorHAnsi" w:cstheme="majorBidi"/>
      <w:color w:val="360E35" w:themeColor="accent1" w:themeShade="7F"/>
      <w:sz w:val="24"/>
      <w:szCs w:val="24"/>
    </w:rPr>
  </w:style>
  <w:style w:type="paragraph" w:styleId="TOC3">
    <w:name w:val="toc 3"/>
    <w:basedOn w:val="Normal"/>
    <w:next w:val="Normal"/>
    <w:autoRedefine/>
    <w:uiPriority w:val="39"/>
    <w:unhideWhenUsed/>
    <w:rsid w:val="006520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gate.net/publication/225083582_Employability_in_Higher_Education_What_It_Is_What_It_Is_No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edgehill.sharepoint.com/:w:/s/CareersTeam746/EfgTte0HbhZIsDnw8KZC0pMBpmgqlL0UZXR1Ef9CpIZo7Q?e=8lYdW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D41BE7-3361-4E17-8C73-D809B8040763}"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en-GB"/>
        </a:p>
      </dgm:t>
    </dgm:pt>
    <dgm:pt modelId="{016A0AB4-051A-4BFD-AC5F-E4F9E120CBC0}">
      <dgm:prSet phldrT="[Text]"/>
      <dgm:spPr/>
      <dgm:t>
        <a:bodyPr/>
        <a:lstStyle/>
        <a:p>
          <a:r>
            <a:rPr lang="en-GB"/>
            <a:t>The student</a:t>
          </a:r>
        </a:p>
      </dgm:t>
    </dgm:pt>
    <dgm:pt modelId="{13644AC2-2932-42BA-9CDC-DE56A17771B8}" type="parTrans" cxnId="{92F9AF86-A2F4-4C92-8800-A8D4E1BB60D8}">
      <dgm:prSet/>
      <dgm:spPr/>
      <dgm:t>
        <a:bodyPr/>
        <a:lstStyle/>
        <a:p>
          <a:endParaRPr lang="en-GB"/>
        </a:p>
      </dgm:t>
    </dgm:pt>
    <dgm:pt modelId="{1F880124-462D-497E-9C15-2E731208867E}" type="sibTrans" cxnId="{92F9AF86-A2F4-4C92-8800-A8D4E1BB60D8}">
      <dgm:prSet/>
      <dgm:spPr/>
      <dgm:t>
        <a:bodyPr/>
        <a:lstStyle/>
        <a:p>
          <a:endParaRPr lang="en-GB"/>
        </a:p>
      </dgm:t>
    </dgm:pt>
    <dgm:pt modelId="{FFF626FB-4318-444A-B0FA-9DC738931749}">
      <dgm:prSet phldrT="[Text]"/>
      <dgm:spPr/>
      <dgm:t>
        <a:bodyPr/>
        <a:lstStyle/>
        <a:p>
          <a:r>
            <a:rPr lang="en-GB"/>
            <a:t>Their degree</a:t>
          </a:r>
        </a:p>
      </dgm:t>
    </dgm:pt>
    <dgm:pt modelId="{CD057955-89C8-4E07-9713-9489FB3863B0}" type="parTrans" cxnId="{51344D8E-827D-4D60-927A-DD459D17F2AD}">
      <dgm:prSet/>
      <dgm:spPr/>
      <dgm:t>
        <a:bodyPr/>
        <a:lstStyle/>
        <a:p>
          <a:endParaRPr lang="en-GB"/>
        </a:p>
      </dgm:t>
    </dgm:pt>
    <dgm:pt modelId="{B6B76A74-A771-4DD7-8A3C-34A821E42135}" type="sibTrans" cxnId="{51344D8E-827D-4D60-927A-DD459D17F2AD}">
      <dgm:prSet/>
      <dgm:spPr/>
      <dgm:t>
        <a:bodyPr/>
        <a:lstStyle/>
        <a:p>
          <a:endParaRPr lang="en-GB"/>
        </a:p>
      </dgm:t>
    </dgm:pt>
    <dgm:pt modelId="{650F2AA0-D58B-4001-AA52-BBE965ACFDC3}">
      <dgm:prSet phldrT="[Text]"/>
      <dgm:spPr/>
      <dgm:t>
        <a:bodyPr/>
        <a:lstStyle/>
        <a:p>
          <a:r>
            <a:rPr lang="en-GB"/>
            <a:t>Support services</a:t>
          </a:r>
        </a:p>
      </dgm:t>
    </dgm:pt>
    <dgm:pt modelId="{0948BE41-3E1F-47E3-9D88-DD76D2DFE45E}" type="parTrans" cxnId="{114C2859-8EA7-4251-907F-37DE408687A6}">
      <dgm:prSet/>
      <dgm:spPr/>
      <dgm:t>
        <a:bodyPr/>
        <a:lstStyle/>
        <a:p>
          <a:endParaRPr lang="en-GB"/>
        </a:p>
      </dgm:t>
    </dgm:pt>
    <dgm:pt modelId="{1928D3B5-A258-40D7-B25C-9D8660F70C7C}" type="sibTrans" cxnId="{114C2859-8EA7-4251-907F-37DE408687A6}">
      <dgm:prSet/>
      <dgm:spPr/>
      <dgm:t>
        <a:bodyPr/>
        <a:lstStyle/>
        <a:p>
          <a:endParaRPr lang="en-GB"/>
        </a:p>
      </dgm:t>
    </dgm:pt>
    <dgm:pt modelId="{776B466F-E200-4417-9606-D740D0578DB0}">
      <dgm:prSet phldrT="[Text]"/>
      <dgm:spPr/>
      <dgm:t>
        <a:bodyPr/>
        <a:lstStyle/>
        <a:p>
          <a:r>
            <a:rPr lang="en-GB"/>
            <a:t>Self-Sourced Support</a:t>
          </a:r>
        </a:p>
      </dgm:t>
    </dgm:pt>
    <dgm:pt modelId="{9B3FA753-6EDB-4AFA-9420-7113B604B2BC}" type="parTrans" cxnId="{E162EB34-D073-4A18-8966-B3B6A189EF64}">
      <dgm:prSet/>
      <dgm:spPr/>
      <dgm:t>
        <a:bodyPr/>
        <a:lstStyle/>
        <a:p>
          <a:endParaRPr lang="en-GB"/>
        </a:p>
      </dgm:t>
    </dgm:pt>
    <dgm:pt modelId="{A7CD3231-4793-4835-BBF6-23D57A3E742C}" type="sibTrans" cxnId="{E162EB34-D073-4A18-8966-B3B6A189EF64}">
      <dgm:prSet/>
      <dgm:spPr/>
      <dgm:t>
        <a:bodyPr/>
        <a:lstStyle/>
        <a:p>
          <a:endParaRPr lang="en-GB"/>
        </a:p>
      </dgm:t>
    </dgm:pt>
    <dgm:pt modelId="{1E26F16A-003C-4094-85D6-D1132A5AAA88}">
      <dgm:prSet phldrT="[Text]"/>
      <dgm:spPr/>
      <dgm:t>
        <a:bodyPr/>
        <a:lstStyle/>
        <a:p>
          <a:r>
            <a:rPr lang="en-GB"/>
            <a:t>Extra-Curricular Activity</a:t>
          </a:r>
        </a:p>
      </dgm:t>
    </dgm:pt>
    <dgm:pt modelId="{45A79869-183E-4BEC-8EAB-35999DED121D}" type="parTrans" cxnId="{AB65C996-5C02-4AE9-AEA3-8391C88CBEC6}">
      <dgm:prSet/>
      <dgm:spPr/>
      <dgm:t>
        <a:bodyPr/>
        <a:lstStyle/>
        <a:p>
          <a:endParaRPr lang="en-GB"/>
        </a:p>
      </dgm:t>
    </dgm:pt>
    <dgm:pt modelId="{6037D86D-C280-46DF-A5F3-90B301281024}" type="sibTrans" cxnId="{AB65C996-5C02-4AE9-AEA3-8391C88CBEC6}">
      <dgm:prSet/>
      <dgm:spPr/>
      <dgm:t>
        <a:bodyPr/>
        <a:lstStyle/>
        <a:p>
          <a:endParaRPr lang="en-GB"/>
        </a:p>
      </dgm:t>
    </dgm:pt>
    <dgm:pt modelId="{2B04601F-900F-4BCF-A9DD-72D73208A634}" type="pres">
      <dgm:prSet presAssocID="{BDD41BE7-3361-4E17-8C73-D809B8040763}" presName="Name0" presStyleCnt="0">
        <dgm:presLayoutVars>
          <dgm:chMax val="1"/>
          <dgm:dir/>
          <dgm:animLvl val="ctr"/>
          <dgm:resizeHandles val="exact"/>
        </dgm:presLayoutVars>
      </dgm:prSet>
      <dgm:spPr/>
    </dgm:pt>
    <dgm:pt modelId="{B3AF6832-2C24-4DEF-963C-F01A5EB32BF2}" type="pres">
      <dgm:prSet presAssocID="{016A0AB4-051A-4BFD-AC5F-E4F9E120CBC0}" presName="centerShape" presStyleLbl="node0" presStyleIdx="0" presStyleCnt="1" custLinFactNeighborX="12788" custLinFactNeighborY="-1687"/>
      <dgm:spPr/>
    </dgm:pt>
    <dgm:pt modelId="{CFA0EE07-AC7E-4D12-B5AF-FD23D3AE7019}" type="pres">
      <dgm:prSet presAssocID="{CD057955-89C8-4E07-9713-9489FB3863B0}" presName="parTrans" presStyleLbl="sibTrans2D1" presStyleIdx="0" presStyleCnt="4"/>
      <dgm:spPr/>
    </dgm:pt>
    <dgm:pt modelId="{1EA19CB5-DDA9-4898-88DE-F879BC4540C9}" type="pres">
      <dgm:prSet presAssocID="{CD057955-89C8-4E07-9713-9489FB3863B0}" presName="connectorText" presStyleLbl="sibTrans2D1" presStyleIdx="0" presStyleCnt="4"/>
      <dgm:spPr/>
    </dgm:pt>
    <dgm:pt modelId="{3A916B67-E809-4142-80D2-975EFF44F9A6}" type="pres">
      <dgm:prSet presAssocID="{FFF626FB-4318-444A-B0FA-9DC738931749}" presName="node" presStyleLbl="node1" presStyleIdx="0" presStyleCnt="4" custRadScaleRad="101287" custRadScaleInc="27480">
        <dgm:presLayoutVars>
          <dgm:bulletEnabled val="1"/>
        </dgm:presLayoutVars>
      </dgm:prSet>
      <dgm:spPr/>
    </dgm:pt>
    <dgm:pt modelId="{BABF88E8-310E-45B7-95D1-CBD7B06F696C}" type="pres">
      <dgm:prSet presAssocID="{0948BE41-3E1F-47E3-9D88-DD76D2DFE45E}" presName="parTrans" presStyleLbl="sibTrans2D1" presStyleIdx="1" presStyleCnt="4"/>
      <dgm:spPr/>
    </dgm:pt>
    <dgm:pt modelId="{C245A8C2-B1A5-42B7-85B2-DB6C3A9BB79A}" type="pres">
      <dgm:prSet presAssocID="{0948BE41-3E1F-47E3-9D88-DD76D2DFE45E}" presName="connectorText" presStyleLbl="sibTrans2D1" presStyleIdx="1" presStyleCnt="4"/>
      <dgm:spPr/>
    </dgm:pt>
    <dgm:pt modelId="{7A0D513E-1CF6-46E8-8DE2-B7BF3BE3CDB5}" type="pres">
      <dgm:prSet presAssocID="{650F2AA0-D58B-4001-AA52-BBE965ACFDC3}" presName="node" presStyleLbl="node1" presStyleIdx="1" presStyleCnt="4" custRadScaleRad="121892" custRadScaleInc="-4999">
        <dgm:presLayoutVars>
          <dgm:bulletEnabled val="1"/>
        </dgm:presLayoutVars>
      </dgm:prSet>
      <dgm:spPr/>
    </dgm:pt>
    <dgm:pt modelId="{698BEBE1-8F53-477E-A232-F4EA360F434D}" type="pres">
      <dgm:prSet presAssocID="{45A79869-183E-4BEC-8EAB-35999DED121D}" presName="parTrans" presStyleLbl="sibTrans2D1" presStyleIdx="2" presStyleCnt="4"/>
      <dgm:spPr/>
    </dgm:pt>
    <dgm:pt modelId="{A6279477-2D8A-458B-9184-532305976F71}" type="pres">
      <dgm:prSet presAssocID="{45A79869-183E-4BEC-8EAB-35999DED121D}" presName="connectorText" presStyleLbl="sibTrans2D1" presStyleIdx="2" presStyleCnt="4"/>
      <dgm:spPr/>
    </dgm:pt>
    <dgm:pt modelId="{C3C286C5-15AD-4E3F-B130-7BB2572D38BE}" type="pres">
      <dgm:prSet presAssocID="{1E26F16A-003C-4094-85D6-D1132A5AAA88}" presName="node" presStyleLbl="node1" presStyleIdx="2" presStyleCnt="4" custRadScaleRad="97524" custRadScaleInc="-39917">
        <dgm:presLayoutVars>
          <dgm:bulletEnabled val="1"/>
        </dgm:presLayoutVars>
      </dgm:prSet>
      <dgm:spPr/>
    </dgm:pt>
    <dgm:pt modelId="{FF7E538D-AE2E-4A4F-8A7D-8B89AB0C5AA8}" type="pres">
      <dgm:prSet presAssocID="{9B3FA753-6EDB-4AFA-9420-7113B604B2BC}" presName="parTrans" presStyleLbl="sibTrans2D1" presStyleIdx="3" presStyleCnt="4"/>
      <dgm:spPr/>
    </dgm:pt>
    <dgm:pt modelId="{0CB13F88-AF9D-4424-8662-5C6ACD379B68}" type="pres">
      <dgm:prSet presAssocID="{9B3FA753-6EDB-4AFA-9420-7113B604B2BC}" presName="connectorText" presStyleLbl="sibTrans2D1" presStyleIdx="3" presStyleCnt="4"/>
      <dgm:spPr/>
    </dgm:pt>
    <dgm:pt modelId="{0CE27958-D225-4254-9A92-2F6234E3A9B9}" type="pres">
      <dgm:prSet presAssocID="{776B466F-E200-4417-9606-D740D0578DB0}" presName="node" presStyleLbl="node1" presStyleIdx="3" presStyleCnt="4" custRadScaleRad="69296" custRadScaleInc="17639">
        <dgm:presLayoutVars>
          <dgm:bulletEnabled val="1"/>
        </dgm:presLayoutVars>
      </dgm:prSet>
      <dgm:spPr/>
    </dgm:pt>
  </dgm:ptLst>
  <dgm:cxnLst>
    <dgm:cxn modelId="{782E1000-3AF7-4514-9F9A-220318DB304D}" type="presOf" srcId="{0948BE41-3E1F-47E3-9D88-DD76D2DFE45E}" destId="{BABF88E8-310E-45B7-95D1-CBD7B06F696C}" srcOrd="0" destOrd="0" presId="urn:microsoft.com/office/officeart/2005/8/layout/radial5"/>
    <dgm:cxn modelId="{8C24D802-934A-42E9-A7E8-3C9FC7FE849F}" type="presOf" srcId="{CD057955-89C8-4E07-9713-9489FB3863B0}" destId="{1EA19CB5-DDA9-4898-88DE-F879BC4540C9}" srcOrd="1" destOrd="0" presId="urn:microsoft.com/office/officeart/2005/8/layout/radial5"/>
    <dgm:cxn modelId="{E162EB34-D073-4A18-8966-B3B6A189EF64}" srcId="{016A0AB4-051A-4BFD-AC5F-E4F9E120CBC0}" destId="{776B466F-E200-4417-9606-D740D0578DB0}" srcOrd="3" destOrd="0" parTransId="{9B3FA753-6EDB-4AFA-9420-7113B604B2BC}" sibTransId="{A7CD3231-4793-4835-BBF6-23D57A3E742C}"/>
    <dgm:cxn modelId="{7E968836-55FC-4B3B-BF6A-2948B3AFF657}" type="presOf" srcId="{9B3FA753-6EDB-4AFA-9420-7113B604B2BC}" destId="{FF7E538D-AE2E-4A4F-8A7D-8B89AB0C5AA8}" srcOrd="0" destOrd="0" presId="urn:microsoft.com/office/officeart/2005/8/layout/radial5"/>
    <dgm:cxn modelId="{FD20173B-40EE-4D09-95F9-A30DA595E3FA}" type="presOf" srcId="{CD057955-89C8-4E07-9713-9489FB3863B0}" destId="{CFA0EE07-AC7E-4D12-B5AF-FD23D3AE7019}" srcOrd="0" destOrd="0" presId="urn:microsoft.com/office/officeart/2005/8/layout/radial5"/>
    <dgm:cxn modelId="{A9401B3E-E085-43A2-B11C-B75495428799}" type="presOf" srcId="{650F2AA0-D58B-4001-AA52-BBE965ACFDC3}" destId="{7A0D513E-1CF6-46E8-8DE2-B7BF3BE3CDB5}" srcOrd="0" destOrd="0" presId="urn:microsoft.com/office/officeart/2005/8/layout/radial5"/>
    <dgm:cxn modelId="{1F5D2B5D-FEEC-457F-9A20-798EEC79B349}" type="presOf" srcId="{BDD41BE7-3361-4E17-8C73-D809B8040763}" destId="{2B04601F-900F-4BCF-A9DD-72D73208A634}" srcOrd="0" destOrd="0" presId="urn:microsoft.com/office/officeart/2005/8/layout/radial5"/>
    <dgm:cxn modelId="{F4F4C544-AD66-4601-ABF7-5442CD8CB0A0}" type="presOf" srcId="{776B466F-E200-4417-9606-D740D0578DB0}" destId="{0CE27958-D225-4254-9A92-2F6234E3A9B9}" srcOrd="0" destOrd="0" presId="urn:microsoft.com/office/officeart/2005/8/layout/radial5"/>
    <dgm:cxn modelId="{114C2859-8EA7-4251-907F-37DE408687A6}" srcId="{016A0AB4-051A-4BFD-AC5F-E4F9E120CBC0}" destId="{650F2AA0-D58B-4001-AA52-BBE965ACFDC3}" srcOrd="1" destOrd="0" parTransId="{0948BE41-3E1F-47E3-9D88-DD76D2DFE45E}" sibTransId="{1928D3B5-A258-40D7-B25C-9D8660F70C7C}"/>
    <dgm:cxn modelId="{0758205A-6F07-48C6-BB40-AF929881133B}" type="presOf" srcId="{9B3FA753-6EDB-4AFA-9420-7113B604B2BC}" destId="{0CB13F88-AF9D-4424-8662-5C6ACD379B68}" srcOrd="1" destOrd="0" presId="urn:microsoft.com/office/officeart/2005/8/layout/radial5"/>
    <dgm:cxn modelId="{1A127083-D76C-4D92-BF07-C0A20047C4AA}" type="presOf" srcId="{45A79869-183E-4BEC-8EAB-35999DED121D}" destId="{698BEBE1-8F53-477E-A232-F4EA360F434D}" srcOrd="0" destOrd="0" presId="urn:microsoft.com/office/officeart/2005/8/layout/radial5"/>
    <dgm:cxn modelId="{92F9AF86-A2F4-4C92-8800-A8D4E1BB60D8}" srcId="{BDD41BE7-3361-4E17-8C73-D809B8040763}" destId="{016A0AB4-051A-4BFD-AC5F-E4F9E120CBC0}" srcOrd="0" destOrd="0" parTransId="{13644AC2-2932-42BA-9CDC-DE56A17771B8}" sibTransId="{1F880124-462D-497E-9C15-2E731208867E}"/>
    <dgm:cxn modelId="{51344D8E-827D-4D60-927A-DD459D17F2AD}" srcId="{016A0AB4-051A-4BFD-AC5F-E4F9E120CBC0}" destId="{FFF626FB-4318-444A-B0FA-9DC738931749}" srcOrd="0" destOrd="0" parTransId="{CD057955-89C8-4E07-9713-9489FB3863B0}" sibTransId="{B6B76A74-A771-4DD7-8A3C-34A821E42135}"/>
    <dgm:cxn modelId="{F4807293-960B-447B-BF76-99DFBE67D88D}" type="presOf" srcId="{FFF626FB-4318-444A-B0FA-9DC738931749}" destId="{3A916B67-E809-4142-80D2-975EFF44F9A6}" srcOrd="0" destOrd="0" presId="urn:microsoft.com/office/officeart/2005/8/layout/radial5"/>
    <dgm:cxn modelId="{D9F7BA93-CA36-42FB-8FB9-8971A66FA16E}" type="presOf" srcId="{0948BE41-3E1F-47E3-9D88-DD76D2DFE45E}" destId="{C245A8C2-B1A5-42B7-85B2-DB6C3A9BB79A}" srcOrd="1" destOrd="0" presId="urn:microsoft.com/office/officeart/2005/8/layout/radial5"/>
    <dgm:cxn modelId="{0D67EE95-0341-44DA-A174-3246235450E1}" type="presOf" srcId="{016A0AB4-051A-4BFD-AC5F-E4F9E120CBC0}" destId="{B3AF6832-2C24-4DEF-963C-F01A5EB32BF2}" srcOrd="0" destOrd="0" presId="urn:microsoft.com/office/officeart/2005/8/layout/radial5"/>
    <dgm:cxn modelId="{AB65C996-5C02-4AE9-AEA3-8391C88CBEC6}" srcId="{016A0AB4-051A-4BFD-AC5F-E4F9E120CBC0}" destId="{1E26F16A-003C-4094-85D6-D1132A5AAA88}" srcOrd="2" destOrd="0" parTransId="{45A79869-183E-4BEC-8EAB-35999DED121D}" sibTransId="{6037D86D-C280-46DF-A5F3-90B301281024}"/>
    <dgm:cxn modelId="{6CDB4AA3-E538-4C47-A76E-FA64906A9D47}" type="presOf" srcId="{45A79869-183E-4BEC-8EAB-35999DED121D}" destId="{A6279477-2D8A-458B-9184-532305976F71}" srcOrd="1" destOrd="0" presId="urn:microsoft.com/office/officeart/2005/8/layout/radial5"/>
    <dgm:cxn modelId="{073A03B2-B2E6-4A5B-A132-2508C452303E}" type="presOf" srcId="{1E26F16A-003C-4094-85D6-D1132A5AAA88}" destId="{C3C286C5-15AD-4E3F-B130-7BB2572D38BE}" srcOrd="0" destOrd="0" presId="urn:microsoft.com/office/officeart/2005/8/layout/radial5"/>
    <dgm:cxn modelId="{4704E8E7-0745-4126-B118-8B3CEE229199}" type="presParOf" srcId="{2B04601F-900F-4BCF-A9DD-72D73208A634}" destId="{B3AF6832-2C24-4DEF-963C-F01A5EB32BF2}" srcOrd="0" destOrd="0" presId="urn:microsoft.com/office/officeart/2005/8/layout/radial5"/>
    <dgm:cxn modelId="{378F33C4-8502-4E2B-96C5-63E528AFBCF6}" type="presParOf" srcId="{2B04601F-900F-4BCF-A9DD-72D73208A634}" destId="{CFA0EE07-AC7E-4D12-B5AF-FD23D3AE7019}" srcOrd="1" destOrd="0" presId="urn:microsoft.com/office/officeart/2005/8/layout/radial5"/>
    <dgm:cxn modelId="{85CE5705-D2AC-493B-BCE9-F8AF7D6C34CB}" type="presParOf" srcId="{CFA0EE07-AC7E-4D12-B5AF-FD23D3AE7019}" destId="{1EA19CB5-DDA9-4898-88DE-F879BC4540C9}" srcOrd="0" destOrd="0" presId="urn:microsoft.com/office/officeart/2005/8/layout/radial5"/>
    <dgm:cxn modelId="{5923F92B-8F17-4D50-BFE0-95826660DB86}" type="presParOf" srcId="{2B04601F-900F-4BCF-A9DD-72D73208A634}" destId="{3A916B67-E809-4142-80D2-975EFF44F9A6}" srcOrd="2" destOrd="0" presId="urn:microsoft.com/office/officeart/2005/8/layout/radial5"/>
    <dgm:cxn modelId="{9F25C96A-B748-4016-8A89-9EAF07413BA1}" type="presParOf" srcId="{2B04601F-900F-4BCF-A9DD-72D73208A634}" destId="{BABF88E8-310E-45B7-95D1-CBD7B06F696C}" srcOrd="3" destOrd="0" presId="urn:microsoft.com/office/officeart/2005/8/layout/radial5"/>
    <dgm:cxn modelId="{4B31FF4B-9BC7-4788-B727-736CBA422D94}" type="presParOf" srcId="{BABF88E8-310E-45B7-95D1-CBD7B06F696C}" destId="{C245A8C2-B1A5-42B7-85B2-DB6C3A9BB79A}" srcOrd="0" destOrd="0" presId="urn:microsoft.com/office/officeart/2005/8/layout/radial5"/>
    <dgm:cxn modelId="{59069976-6D90-413E-BA2D-81430A3DBB69}" type="presParOf" srcId="{2B04601F-900F-4BCF-A9DD-72D73208A634}" destId="{7A0D513E-1CF6-46E8-8DE2-B7BF3BE3CDB5}" srcOrd="4" destOrd="0" presId="urn:microsoft.com/office/officeart/2005/8/layout/radial5"/>
    <dgm:cxn modelId="{A60C30C1-D035-467C-948A-FF608A49AA5A}" type="presParOf" srcId="{2B04601F-900F-4BCF-A9DD-72D73208A634}" destId="{698BEBE1-8F53-477E-A232-F4EA360F434D}" srcOrd="5" destOrd="0" presId="urn:microsoft.com/office/officeart/2005/8/layout/radial5"/>
    <dgm:cxn modelId="{1A1175C3-3C28-4623-8D3F-7B4B30DAA5A7}" type="presParOf" srcId="{698BEBE1-8F53-477E-A232-F4EA360F434D}" destId="{A6279477-2D8A-458B-9184-532305976F71}" srcOrd="0" destOrd="0" presId="urn:microsoft.com/office/officeart/2005/8/layout/radial5"/>
    <dgm:cxn modelId="{679D5E52-4484-48CB-B887-CEE3AC79DA2A}" type="presParOf" srcId="{2B04601F-900F-4BCF-A9DD-72D73208A634}" destId="{C3C286C5-15AD-4E3F-B130-7BB2572D38BE}" srcOrd="6" destOrd="0" presId="urn:microsoft.com/office/officeart/2005/8/layout/radial5"/>
    <dgm:cxn modelId="{3614837B-42F3-4620-B850-1762BEDD5241}" type="presParOf" srcId="{2B04601F-900F-4BCF-A9DD-72D73208A634}" destId="{FF7E538D-AE2E-4A4F-8A7D-8B89AB0C5AA8}" srcOrd="7" destOrd="0" presId="urn:microsoft.com/office/officeart/2005/8/layout/radial5"/>
    <dgm:cxn modelId="{61C6DFCA-D182-4D32-B24E-0FCA7ACD0F92}" type="presParOf" srcId="{FF7E538D-AE2E-4A4F-8A7D-8B89AB0C5AA8}" destId="{0CB13F88-AF9D-4424-8662-5C6ACD379B68}" srcOrd="0" destOrd="0" presId="urn:microsoft.com/office/officeart/2005/8/layout/radial5"/>
    <dgm:cxn modelId="{8F377DC7-7A25-48EC-92E7-26A8F2DFCF04}" type="presParOf" srcId="{2B04601F-900F-4BCF-A9DD-72D73208A634}" destId="{0CE27958-D225-4254-9A92-2F6234E3A9B9}"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AF6832-2C24-4DEF-963C-F01A5EB32BF2}">
      <dsp:nvSpPr>
        <dsp:cNvPr id="0" name=""/>
        <dsp:cNvSpPr/>
      </dsp:nvSpPr>
      <dsp:spPr>
        <a:xfrm>
          <a:off x="2442482" y="1386838"/>
          <a:ext cx="1023425" cy="1023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en-GB" sz="1700" kern="1200"/>
            <a:t>The student</a:t>
          </a:r>
        </a:p>
      </dsp:txBody>
      <dsp:txXfrm>
        <a:off x="2592359" y="1536715"/>
        <a:ext cx="723671" cy="723671"/>
      </dsp:txXfrm>
    </dsp:sp>
    <dsp:sp modelId="{CFA0EE07-AC7E-4D12-B5AF-FD23D3AE7019}">
      <dsp:nvSpPr>
        <dsp:cNvPr id="0" name=""/>
        <dsp:cNvSpPr/>
      </dsp:nvSpPr>
      <dsp:spPr>
        <a:xfrm rot="16060326">
          <a:off x="2834513" y="1044942"/>
          <a:ext cx="184106" cy="3479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10800000">
        <a:off x="2863251" y="1142128"/>
        <a:ext cx="128874" cy="208778"/>
      </dsp:txXfrm>
    </dsp:sp>
    <dsp:sp modelId="{3A916B67-E809-4142-80D2-975EFF44F9A6}">
      <dsp:nvSpPr>
        <dsp:cNvPr id="0" name=""/>
        <dsp:cNvSpPr/>
      </dsp:nvSpPr>
      <dsp:spPr>
        <a:xfrm>
          <a:off x="2386802" y="17172"/>
          <a:ext cx="1023425" cy="1023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Their degree</a:t>
          </a:r>
        </a:p>
      </dsp:txBody>
      <dsp:txXfrm>
        <a:off x="2536679" y="167049"/>
        <a:ext cx="723671" cy="723671"/>
      </dsp:txXfrm>
    </dsp:sp>
    <dsp:sp modelId="{BABF88E8-310E-45B7-95D1-CBD7B06F696C}">
      <dsp:nvSpPr>
        <dsp:cNvPr id="0" name=""/>
        <dsp:cNvSpPr/>
      </dsp:nvSpPr>
      <dsp:spPr>
        <a:xfrm rot="21549610">
          <a:off x="3544117" y="1714539"/>
          <a:ext cx="188591" cy="3479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3544120" y="1784547"/>
        <a:ext cx="132014" cy="208778"/>
      </dsp:txXfrm>
    </dsp:sp>
    <dsp:sp modelId="{7A0D513E-1CF6-46E8-8DE2-B7BF3BE3CDB5}">
      <dsp:nvSpPr>
        <dsp:cNvPr id="0" name=""/>
        <dsp:cNvSpPr/>
      </dsp:nvSpPr>
      <dsp:spPr>
        <a:xfrm>
          <a:off x="3821592" y="1366622"/>
          <a:ext cx="1023425" cy="1023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Support services</a:t>
          </a:r>
        </a:p>
      </dsp:txBody>
      <dsp:txXfrm>
        <a:off x="3971469" y="1516499"/>
        <a:ext cx="723671" cy="723671"/>
      </dsp:txXfrm>
    </dsp:sp>
    <dsp:sp modelId="{698BEBE1-8F53-477E-A232-F4EA360F434D}">
      <dsp:nvSpPr>
        <dsp:cNvPr id="0" name=""/>
        <dsp:cNvSpPr/>
      </dsp:nvSpPr>
      <dsp:spPr>
        <a:xfrm rot="5239211">
          <a:off x="2891832" y="2408233"/>
          <a:ext cx="188723" cy="3479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18817" y="2449548"/>
        <a:ext cx="132106" cy="208778"/>
      </dsp:txXfrm>
    </dsp:sp>
    <dsp:sp modelId="{C3C286C5-15AD-4E3F-B130-7BB2572D38BE}">
      <dsp:nvSpPr>
        <dsp:cNvPr id="0" name=""/>
        <dsp:cNvSpPr/>
      </dsp:nvSpPr>
      <dsp:spPr>
        <a:xfrm>
          <a:off x="2506980" y="2764837"/>
          <a:ext cx="1023425" cy="1023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Extra-Curricular Activity</a:t>
          </a:r>
        </a:p>
      </dsp:txBody>
      <dsp:txXfrm>
        <a:off x="2656857" y="2914714"/>
        <a:ext cx="723671" cy="723671"/>
      </dsp:txXfrm>
    </dsp:sp>
    <dsp:sp modelId="{FF7E538D-AE2E-4A4F-8A7D-8B89AB0C5AA8}">
      <dsp:nvSpPr>
        <dsp:cNvPr id="0" name=""/>
        <dsp:cNvSpPr/>
      </dsp:nvSpPr>
      <dsp:spPr>
        <a:xfrm rot="11025749">
          <a:off x="2196627" y="1680496"/>
          <a:ext cx="174760" cy="34796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10800000">
        <a:off x="2248998" y="1751809"/>
        <a:ext cx="122332" cy="208778"/>
      </dsp:txXfrm>
    </dsp:sp>
    <dsp:sp modelId="{0CE27958-D225-4254-9A92-2F6234E3A9B9}">
      <dsp:nvSpPr>
        <dsp:cNvPr id="0" name=""/>
        <dsp:cNvSpPr/>
      </dsp:nvSpPr>
      <dsp:spPr>
        <a:xfrm>
          <a:off x="1092236" y="1298043"/>
          <a:ext cx="1023425" cy="1023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Self-Sourced Support</a:t>
          </a:r>
        </a:p>
      </dsp:txBody>
      <dsp:txXfrm>
        <a:off x="1242113" y="1447920"/>
        <a:ext cx="723671" cy="7236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HU">
      <a:dk1>
        <a:sysClr val="windowText" lastClr="000000"/>
      </a:dk1>
      <a:lt1>
        <a:sysClr val="window" lastClr="FFFFFF"/>
      </a:lt1>
      <a:dk2>
        <a:srgbClr val="632E62"/>
      </a:dk2>
      <a:lt2>
        <a:srgbClr val="EAE5EB"/>
      </a:lt2>
      <a:accent1>
        <a:srgbClr val="6D1D6B"/>
      </a:accent1>
      <a:accent2>
        <a:srgbClr val="007272"/>
      </a:accent2>
      <a:accent3>
        <a:srgbClr val="009999"/>
      </a:accent3>
      <a:accent4>
        <a:srgbClr val="009999"/>
      </a:accent4>
      <a:accent5>
        <a:srgbClr val="009999"/>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94D8C3BB5B6749B68A49CAC1CB48D0" ma:contentTypeVersion="18" ma:contentTypeDescription="Create a new document." ma:contentTypeScope="" ma:versionID="f9a08179b4fb90be1d27ad6f44f5737d">
  <xsd:schema xmlns:xsd="http://www.w3.org/2001/XMLSchema" xmlns:xs="http://www.w3.org/2001/XMLSchema" xmlns:p="http://schemas.microsoft.com/office/2006/metadata/properties" xmlns:ns2="db2875f5-cacf-48f2-88f5-ea369059ea2c" xmlns:ns3="3054b4f8-57d7-478d-ba32-46e1f0b16ce6" targetNamespace="http://schemas.microsoft.com/office/2006/metadata/properties" ma:root="true" ma:fieldsID="a23934e506b4944454a00acb77fbaa4e" ns2:_="" ns3:_="">
    <xsd:import namespace="db2875f5-cacf-48f2-88f5-ea369059ea2c"/>
    <xsd:import namespace="3054b4f8-57d7-478d-ba32-46e1f0b16c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875f5-cacf-48f2-88f5-ea369059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4b4f8-57d7-478d-ba32-46e1f0b16c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f01e23-02b1-4af3-a8f2-dd46d041d02e}" ma:internalName="TaxCatchAll" ma:showField="CatchAllData" ma:web="3054b4f8-57d7-478d-ba32-46e1f0b1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54b4f8-57d7-478d-ba32-46e1f0b16ce6" xsi:nil="true"/>
    <lcf76f155ced4ddcb4097134ff3c332f xmlns="db2875f5-cacf-48f2-88f5-ea369059ea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7BC3-FC8B-4AFE-9BB0-496EE06BE4B0}">
  <ds:schemaRefs>
    <ds:schemaRef ds:uri="http://schemas.openxmlformats.org/officeDocument/2006/bibliography"/>
  </ds:schemaRefs>
</ds:datastoreItem>
</file>

<file path=customXml/itemProps2.xml><?xml version="1.0" encoding="utf-8"?>
<ds:datastoreItem xmlns:ds="http://schemas.openxmlformats.org/officeDocument/2006/customXml" ds:itemID="{3E0E0B4E-1318-48FA-8499-7DD3CAE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875f5-cacf-48f2-88f5-ea369059ea2c"/>
    <ds:schemaRef ds:uri="3054b4f8-57d7-478d-ba32-46e1f0b1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F9341-302A-46E3-82BA-D2C62F072D3E}">
  <ds:schemaRefs>
    <ds:schemaRef ds:uri="http://schemas.microsoft.com/office/2006/metadata/properties"/>
    <ds:schemaRef ds:uri="http://schemas.microsoft.com/office/infopath/2007/PartnerControls"/>
    <ds:schemaRef ds:uri="3054b4f8-57d7-478d-ba32-46e1f0b16ce6"/>
    <ds:schemaRef ds:uri="db2875f5-cacf-48f2-88f5-ea369059ea2c"/>
  </ds:schemaRefs>
</ds:datastoreItem>
</file>

<file path=customXml/itemProps4.xml><?xml version="1.0" encoding="utf-8"?>
<ds:datastoreItem xmlns:ds="http://schemas.openxmlformats.org/officeDocument/2006/customXml" ds:itemID="{0DF8A777-6079-42CF-B4FB-DAF277951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15</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19963</CharactersWithSpaces>
  <SharedDoc>false</SharedDoc>
  <HLinks>
    <vt:vector size="138" baseType="variant">
      <vt:variant>
        <vt:i4>720908</vt:i4>
      </vt:variant>
      <vt:variant>
        <vt:i4>132</vt:i4>
      </vt:variant>
      <vt:variant>
        <vt:i4>0</vt:i4>
      </vt:variant>
      <vt:variant>
        <vt:i4>5</vt:i4>
      </vt:variant>
      <vt:variant>
        <vt:lpwstr>https://edgehill.sharepoint.com/:w:/s/CareersTeam746/EfgTte0HbhZIsDnw8KZC0pMBpmgqlL0UZXR1Ef9CpIZo7Q?e=8lYdWG</vt:lpwstr>
      </vt:variant>
      <vt:variant>
        <vt:lpwstr/>
      </vt:variant>
      <vt:variant>
        <vt:i4>2687060</vt:i4>
      </vt:variant>
      <vt:variant>
        <vt:i4>129</vt:i4>
      </vt:variant>
      <vt:variant>
        <vt:i4>0</vt:i4>
      </vt:variant>
      <vt:variant>
        <vt:i4>5</vt:i4>
      </vt:variant>
      <vt:variant>
        <vt:lpwstr>https://researchgate.net/publication/225083582_Employability_in_Higher_Education_What_It_Is_What_It_Is_Not</vt:lpwstr>
      </vt:variant>
      <vt:variant>
        <vt:lpwstr/>
      </vt:variant>
      <vt:variant>
        <vt:i4>1310774</vt:i4>
      </vt:variant>
      <vt:variant>
        <vt:i4>122</vt:i4>
      </vt:variant>
      <vt:variant>
        <vt:i4>0</vt:i4>
      </vt:variant>
      <vt:variant>
        <vt:i4>5</vt:i4>
      </vt:variant>
      <vt:variant>
        <vt:lpwstr/>
      </vt:variant>
      <vt:variant>
        <vt:lpwstr>_Toc192605594</vt:lpwstr>
      </vt:variant>
      <vt:variant>
        <vt:i4>1310774</vt:i4>
      </vt:variant>
      <vt:variant>
        <vt:i4>116</vt:i4>
      </vt:variant>
      <vt:variant>
        <vt:i4>0</vt:i4>
      </vt:variant>
      <vt:variant>
        <vt:i4>5</vt:i4>
      </vt:variant>
      <vt:variant>
        <vt:lpwstr/>
      </vt:variant>
      <vt:variant>
        <vt:lpwstr>_Toc192605593</vt:lpwstr>
      </vt:variant>
      <vt:variant>
        <vt:i4>1310774</vt:i4>
      </vt:variant>
      <vt:variant>
        <vt:i4>110</vt:i4>
      </vt:variant>
      <vt:variant>
        <vt:i4>0</vt:i4>
      </vt:variant>
      <vt:variant>
        <vt:i4>5</vt:i4>
      </vt:variant>
      <vt:variant>
        <vt:lpwstr/>
      </vt:variant>
      <vt:variant>
        <vt:lpwstr>_Toc192605592</vt:lpwstr>
      </vt:variant>
      <vt:variant>
        <vt:i4>1310774</vt:i4>
      </vt:variant>
      <vt:variant>
        <vt:i4>104</vt:i4>
      </vt:variant>
      <vt:variant>
        <vt:i4>0</vt:i4>
      </vt:variant>
      <vt:variant>
        <vt:i4>5</vt:i4>
      </vt:variant>
      <vt:variant>
        <vt:lpwstr/>
      </vt:variant>
      <vt:variant>
        <vt:lpwstr>_Toc192605591</vt:lpwstr>
      </vt:variant>
      <vt:variant>
        <vt:i4>1310774</vt:i4>
      </vt:variant>
      <vt:variant>
        <vt:i4>98</vt:i4>
      </vt:variant>
      <vt:variant>
        <vt:i4>0</vt:i4>
      </vt:variant>
      <vt:variant>
        <vt:i4>5</vt:i4>
      </vt:variant>
      <vt:variant>
        <vt:lpwstr/>
      </vt:variant>
      <vt:variant>
        <vt:lpwstr>_Toc192605590</vt:lpwstr>
      </vt:variant>
      <vt:variant>
        <vt:i4>1376310</vt:i4>
      </vt:variant>
      <vt:variant>
        <vt:i4>92</vt:i4>
      </vt:variant>
      <vt:variant>
        <vt:i4>0</vt:i4>
      </vt:variant>
      <vt:variant>
        <vt:i4>5</vt:i4>
      </vt:variant>
      <vt:variant>
        <vt:lpwstr/>
      </vt:variant>
      <vt:variant>
        <vt:lpwstr>_Toc192605589</vt:lpwstr>
      </vt:variant>
      <vt:variant>
        <vt:i4>1376310</vt:i4>
      </vt:variant>
      <vt:variant>
        <vt:i4>86</vt:i4>
      </vt:variant>
      <vt:variant>
        <vt:i4>0</vt:i4>
      </vt:variant>
      <vt:variant>
        <vt:i4>5</vt:i4>
      </vt:variant>
      <vt:variant>
        <vt:lpwstr/>
      </vt:variant>
      <vt:variant>
        <vt:lpwstr>_Toc192605588</vt:lpwstr>
      </vt:variant>
      <vt:variant>
        <vt:i4>1376310</vt:i4>
      </vt:variant>
      <vt:variant>
        <vt:i4>80</vt:i4>
      </vt:variant>
      <vt:variant>
        <vt:i4>0</vt:i4>
      </vt:variant>
      <vt:variant>
        <vt:i4>5</vt:i4>
      </vt:variant>
      <vt:variant>
        <vt:lpwstr/>
      </vt:variant>
      <vt:variant>
        <vt:lpwstr>_Toc192605587</vt:lpwstr>
      </vt:variant>
      <vt:variant>
        <vt:i4>1376310</vt:i4>
      </vt:variant>
      <vt:variant>
        <vt:i4>74</vt:i4>
      </vt:variant>
      <vt:variant>
        <vt:i4>0</vt:i4>
      </vt:variant>
      <vt:variant>
        <vt:i4>5</vt:i4>
      </vt:variant>
      <vt:variant>
        <vt:lpwstr/>
      </vt:variant>
      <vt:variant>
        <vt:lpwstr>_Toc192605586</vt:lpwstr>
      </vt:variant>
      <vt:variant>
        <vt:i4>1376310</vt:i4>
      </vt:variant>
      <vt:variant>
        <vt:i4>68</vt:i4>
      </vt:variant>
      <vt:variant>
        <vt:i4>0</vt:i4>
      </vt:variant>
      <vt:variant>
        <vt:i4>5</vt:i4>
      </vt:variant>
      <vt:variant>
        <vt:lpwstr/>
      </vt:variant>
      <vt:variant>
        <vt:lpwstr>_Toc192605585</vt:lpwstr>
      </vt:variant>
      <vt:variant>
        <vt:i4>1376310</vt:i4>
      </vt:variant>
      <vt:variant>
        <vt:i4>62</vt:i4>
      </vt:variant>
      <vt:variant>
        <vt:i4>0</vt:i4>
      </vt:variant>
      <vt:variant>
        <vt:i4>5</vt:i4>
      </vt:variant>
      <vt:variant>
        <vt:lpwstr/>
      </vt:variant>
      <vt:variant>
        <vt:lpwstr>_Toc192605584</vt:lpwstr>
      </vt:variant>
      <vt:variant>
        <vt:i4>1376310</vt:i4>
      </vt:variant>
      <vt:variant>
        <vt:i4>56</vt:i4>
      </vt:variant>
      <vt:variant>
        <vt:i4>0</vt:i4>
      </vt:variant>
      <vt:variant>
        <vt:i4>5</vt:i4>
      </vt:variant>
      <vt:variant>
        <vt:lpwstr/>
      </vt:variant>
      <vt:variant>
        <vt:lpwstr>_Toc192605583</vt:lpwstr>
      </vt:variant>
      <vt:variant>
        <vt:i4>1376310</vt:i4>
      </vt:variant>
      <vt:variant>
        <vt:i4>50</vt:i4>
      </vt:variant>
      <vt:variant>
        <vt:i4>0</vt:i4>
      </vt:variant>
      <vt:variant>
        <vt:i4>5</vt:i4>
      </vt:variant>
      <vt:variant>
        <vt:lpwstr/>
      </vt:variant>
      <vt:variant>
        <vt:lpwstr>_Toc192605582</vt:lpwstr>
      </vt:variant>
      <vt:variant>
        <vt:i4>1376310</vt:i4>
      </vt:variant>
      <vt:variant>
        <vt:i4>44</vt:i4>
      </vt:variant>
      <vt:variant>
        <vt:i4>0</vt:i4>
      </vt:variant>
      <vt:variant>
        <vt:i4>5</vt:i4>
      </vt:variant>
      <vt:variant>
        <vt:lpwstr/>
      </vt:variant>
      <vt:variant>
        <vt:lpwstr>_Toc192605581</vt:lpwstr>
      </vt:variant>
      <vt:variant>
        <vt:i4>1376310</vt:i4>
      </vt:variant>
      <vt:variant>
        <vt:i4>38</vt:i4>
      </vt:variant>
      <vt:variant>
        <vt:i4>0</vt:i4>
      </vt:variant>
      <vt:variant>
        <vt:i4>5</vt:i4>
      </vt:variant>
      <vt:variant>
        <vt:lpwstr/>
      </vt:variant>
      <vt:variant>
        <vt:lpwstr>_Toc192605580</vt:lpwstr>
      </vt:variant>
      <vt:variant>
        <vt:i4>1703990</vt:i4>
      </vt:variant>
      <vt:variant>
        <vt:i4>32</vt:i4>
      </vt:variant>
      <vt:variant>
        <vt:i4>0</vt:i4>
      </vt:variant>
      <vt:variant>
        <vt:i4>5</vt:i4>
      </vt:variant>
      <vt:variant>
        <vt:lpwstr/>
      </vt:variant>
      <vt:variant>
        <vt:lpwstr>_Toc192605579</vt:lpwstr>
      </vt:variant>
      <vt:variant>
        <vt:i4>1703990</vt:i4>
      </vt:variant>
      <vt:variant>
        <vt:i4>26</vt:i4>
      </vt:variant>
      <vt:variant>
        <vt:i4>0</vt:i4>
      </vt:variant>
      <vt:variant>
        <vt:i4>5</vt:i4>
      </vt:variant>
      <vt:variant>
        <vt:lpwstr/>
      </vt:variant>
      <vt:variant>
        <vt:lpwstr>_Toc192605578</vt:lpwstr>
      </vt:variant>
      <vt:variant>
        <vt:i4>1703990</vt:i4>
      </vt:variant>
      <vt:variant>
        <vt:i4>20</vt:i4>
      </vt:variant>
      <vt:variant>
        <vt:i4>0</vt:i4>
      </vt:variant>
      <vt:variant>
        <vt:i4>5</vt:i4>
      </vt:variant>
      <vt:variant>
        <vt:lpwstr/>
      </vt:variant>
      <vt:variant>
        <vt:lpwstr>_Toc192605577</vt:lpwstr>
      </vt:variant>
      <vt:variant>
        <vt:i4>1703990</vt:i4>
      </vt:variant>
      <vt:variant>
        <vt:i4>14</vt:i4>
      </vt:variant>
      <vt:variant>
        <vt:i4>0</vt:i4>
      </vt:variant>
      <vt:variant>
        <vt:i4>5</vt:i4>
      </vt:variant>
      <vt:variant>
        <vt:lpwstr/>
      </vt:variant>
      <vt:variant>
        <vt:lpwstr>_Toc192605576</vt:lpwstr>
      </vt:variant>
      <vt:variant>
        <vt:i4>1703990</vt:i4>
      </vt:variant>
      <vt:variant>
        <vt:i4>8</vt:i4>
      </vt:variant>
      <vt:variant>
        <vt:i4>0</vt:i4>
      </vt:variant>
      <vt:variant>
        <vt:i4>5</vt:i4>
      </vt:variant>
      <vt:variant>
        <vt:lpwstr/>
      </vt:variant>
      <vt:variant>
        <vt:lpwstr>_Toc192605575</vt:lpwstr>
      </vt:variant>
      <vt:variant>
        <vt:i4>1703990</vt:i4>
      </vt:variant>
      <vt:variant>
        <vt:i4>2</vt:i4>
      </vt:variant>
      <vt:variant>
        <vt:i4>0</vt:i4>
      </vt:variant>
      <vt:variant>
        <vt:i4>5</vt:i4>
      </vt:variant>
      <vt:variant>
        <vt:lpwstr/>
      </vt:variant>
      <vt:variant>
        <vt:lpwstr>_Toc192605574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Jennifer Smith</cp:lastModifiedBy>
  <cp:revision>53</cp:revision>
  <dcterms:created xsi:type="dcterms:W3CDTF">2025-03-10T17:55:00Z</dcterms:created>
  <dcterms:modified xsi:type="dcterms:W3CDTF">2025-03-26T14:28:00Z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0x0101002894D8C3BB5B6749B68A49CAC1CB48D0</vt:lpwstr>
  </property>
  <property fmtid="{D5CDD505-2E9C-101B-9397-08002B2CF9AE}" pid="3" name="MediaServiceImageTags">
    <vt:lpwstr/>
  </property>
</Properties>
</file>