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F839" w14:textId="3628D282" w:rsidR="005A7A04" w:rsidRPr="00013734" w:rsidRDefault="005A7A04" w:rsidP="005A7A04">
      <w:pPr>
        <w:pStyle w:val="NoSpacing"/>
        <w:jc w:val="right"/>
        <w:rPr>
          <w:rFonts w:cs="Arial"/>
          <w:b/>
          <w:szCs w:val="24"/>
        </w:rPr>
      </w:pPr>
      <w:r w:rsidRPr="00013734">
        <w:rPr>
          <w:rFonts w:cs="Arial"/>
          <w:b/>
          <w:noProof/>
          <w:szCs w:val="24"/>
        </w:rPr>
        <w:drawing>
          <wp:inline distT="0" distB="0" distL="0" distR="0" wp14:anchorId="41CD5EF5" wp14:editId="2E4A6A70">
            <wp:extent cx="1070642" cy="5791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2810" t="25784" r="14925" b="19416"/>
                    <a:stretch/>
                  </pic:blipFill>
                  <pic:spPr bwMode="auto">
                    <a:xfrm>
                      <a:off x="0" y="0"/>
                      <a:ext cx="1070642" cy="579120"/>
                    </a:xfrm>
                    <a:prstGeom prst="rect">
                      <a:avLst/>
                    </a:prstGeom>
                    <a:ln>
                      <a:noFill/>
                    </a:ln>
                    <a:extLst>
                      <a:ext uri="{53640926-AAD7-44D8-BBD7-CCE9431645EC}">
                        <a14:shadowObscured xmlns:a14="http://schemas.microsoft.com/office/drawing/2010/main"/>
                      </a:ext>
                    </a:extLst>
                  </pic:spPr>
                </pic:pic>
              </a:graphicData>
            </a:graphic>
          </wp:inline>
        </w:drawing>
      </w:r>
    </w:p>
    <w:p w14:paraId="57209493" w14:textId="77777777" w:rsidR="00013734" w:rsidRPr="00013734" w:rsidRDefault="00013734" w:rsidP="005A7A04">
      <w:pPr>
        <w:pStyle w:val="NoSpacing"/>
        <w:jc w:val="right"/>
        <w:rPr>
          <w:rFonts w:cs="Arial"/>
          <w:b/>
          <w:szCs w:val="24"/>
        </w:rPr>
      </w:pPr>
    </w:p>
    <w:p w14:paraId="6A106031" w14:textId="53C98E6F" w:rsidR="007D1CE8" w:rsidRPr="00013734" w:rsidRDefault="007D1CE8" w:rsidP="00013734">
      <w:pPr>
        <w:pStyle w:val="Title"/>
        <w:jc w:val="center"/>
        <w:rPr>
          <w:rFonts w:ascii="Arial" w:hAnsi="Arial" w:cs="Arial"/>
          <w:b/>
          <w:sz w:val="32"/>
          <w:szCs w:val="24"/>
        </w:rPr>
      </w:pPr>
      <w:r w:rsidRPr="00013734">
        <w:rPr>
          <w:rFonts w:ascii="Arial" w:hAnsi="Arial" w:cs="Arial"/>
          <w:b/>
          <w:sz w:val="32"/>
          <w:szCs w:val="24"/>
        </w:rPr>
        <w:t>Degree Outcomes Statement – Edge Hill University</w:t>
      </w:r>
    </w:p>
    <w:p w14:paraId="69941AC1" w14:textId="77777777" w:rsidR="000E44DD" w:rsidRDefault="000E44DD" w:rsidP="007D1CE8">
      <w:pPr>
        <w:pStyle w:val="NoSpacing"/>
        <w:spacing w:before="120"/>
        <w:rPr>
          <w:rFonts w:cs="Arial"/>
          <w:szCs w:val="24"/>
        </w:rPr>
      </w:pPr>
    </w:p>
    <w:p w14:paraId="37BB4EE5" w14:textId="0D8570A4" w:rsidR="007D35B7" w:rsidRPr="007D35B7" w:rsidRDefault="007D1CE8" w:rsidP="007D1CE8">
      <w:pPr>
        <w:pStyle w:val="NoSpacing"/>
        <w:spacing w:before="120"/>
        <w:rPr>
          <w:rFonts w:cs="Arial"/>
          <w:color w:val="000000" w:themeColor="text1"/>
          <w:szCs w:val="24"/>
        </w:rPr>
      </w:pPr>
      <w:r w:rsidRPr="007D35B7">
        <w:rPr>
          <w:rFonts w:cs="Arial"/>
          <w:color w:val="000000" w:themeColor="text1"/>
          <w:szCs w:val="24"/>
        </w:rPr>
        <w:t>At Edge Hill University we strive to ensure that the standards of our degrees are appropriately set and maintained</w:t>
      </w:r>
      <w:r w:rsidR="0047623E" w:rsidRPr="007D35B7">
        <w:rPr>
          <w:rFonts w:cs="Arial"/>
          <w:color w:val="000000" w:themeColor="text1"/>
          <w:szCs w:val="24"/>
        </w:rPr>
        <w:t xml:space="preserve">, and that our qualifications hold their value </w:t>
      </w:r>
      <w:r w:rsidR="00F24BF0" w:rsidRPr="007D35B7">
        <w:rPr>
          <w:rFonts w:cs="Arial"/>
          <w:color w:val="000000" w:themeColor="text1"/>
          <w:szCs w:val="24"/>
        </w:rPr>
        <w:t xml:space="preserve">at the point of award and </w:t>
      </w:r>
      <w:r w:rsidR="0047623E" w:rsidRPr="007D35B7">
        <w:rPr>
          <w:rFonts w:cs="Arial"/>
          <w:color w:val="000000" w:themeColor="text1"/>
          <w:szCs w:val="24"/>
        </w:rPr>
        <w:t>over time</w:t>
      </w:r>
      <w:r w:rsidRPr="007D35B7">
        <w:rPr>
          <w:rFonts w:cs="Arial"/>
          <w:color w:val="000000" w:themeColor="text1"/>
          <w:szCs w:val="24"/>
        </w:rPr>
        <w:t xml:space="preserve">. This </w:t>
      </w:r>
      <w:r w:rsidR="007D35B7">
        <w:rPr>
          <w:rFonts w:cs="Arial"/>
          <w:color w:val="000000" w:themeColor="text1"/>
          <w:szCs w:val="24"/>
        </w:rPr>
        <w:t xml:space="preserve">Degree Outcomes </w:t>
      </w:r>
      <w:r w:rsidRPr="007D35B7">
        <w:rPr>
          <w:rFonts w:cs="Arial"/>
          <w:color w:val="000000" w:themeColor="text1"/>
          <w:szCs w:val="24"/>
        </w:rPr>
        <w:t xml:space="preserve">Statement provides evidence to our </w:t>
      </w:r>
      <w:hyperlink r:id="rId9" w:history="1">
        <w:r w:rsidRPr="007D35B7">
          <w:rPr>
            <w:rStyle w:val="Hyperlink"/>
            <w:rFonts w:cs="Arial"/>
            <w:color w:val="000000" w:themeColor="text1"/>
            <w:szCs w:val="24"/>
          </w:rPr>
          <w:t>Academic Board</w:t>
        </w:r>
      </w:hyperlink>
      <w:r w:rsidRPr="007D35B7">
        <w:rPr>
          <w:rFonts w:cs="Arial"/>
          <w:color w:val="000000" w:themeColor="text1"/>
          <w:szCs w:val="24"/>
        </w:rPr>
        <w:t xml:space="preserve"> and </w:t>
      </w:r>
      <w:hyperlink r:id="rId10" w:history="1">
        <w:r w:rsidRPr="007D35B7">
          <w:rPr>
            <w:rStyle w:val="Hyperlink"/>
            <w:rFonts w:cs="Arial"/>
            <w:color w:val="000000" w:themeColor="text1"/>
            <w:szCs w:val="24"/>
          </w:rPr>
          <w:t>Board of Governors</w:t>
        </w:r>
      </w:hyperlink>
      <w:r w:rsidRPr="007D35B7">
        <w:rPr>
          <w:rFonts w:cs="Arial"/>
          <w:color w:val="000000" w:themeColor="text1"/>
          <w:szCs w:val="24"/>
        </w:rPr>
        <w:t>, students, employers and professional and regulatory bodies that the University</w:t>
      </w:r>
      <w:r w:rsidR="00E70452" w:rsidRPr="007D35B7">
        <w:rPr>
          <w:rFonts w:cs="Arial"/>
          <w:color w:val="000000" w:themeColor="text1"/>
          <w:szCs w:val="24"/>
        </w:rPr>
        <w:t>’s academic governance arrangements are robust</w:t>
      </w:r>
      <w:r w:rsidR="00181B46" w:rsidRPr="007D35B7">
        <w:rPr>
          <w:rFonts w:cs="Arial"/>
          <w:color w:val="000000" w:themeColor="text1"/>
          <w:szCs w:val="24"/>
        </w:rPr>
        <w:t xml:space="preserve"> </w:t>
      </w:r>
      <w:r w:rsidR="003F2165" w:rsidRPr="007D35B7">
        <w:rPr>
          <w:rFonts w:cs="Arial"/>
          <w:color w:val="000000" w:themeColor="text1"/>
          <w:szCs w:val="24"/>
        </w:rPr>
        <w:t>and ensure</w:t>
      </w:r>
      <w:r w:rsidR="002915F7" w:rsidRPr="007D35B7">
        <w:rPr>
          <w:rFonts w:cs="Arial"/>
          <w:color w:val="000000" w:themeColor="text1"/>
          <w:szCs w:val="24"/>
        </w:rPr>
        <w:t xml:space="preserve"> </w:t>
      </w:r>
      <w:r w:rsidR="006D77FE" w:rsidRPr="007D35B7">
        <w:rPr>
          <w:rFonts w:cs="Arial"/>
          <w:color w:val="000000" w:themeColor="text1"/>
          <w:szCs w:val="24"/>
        </w:rPr>
        <w:t xml:space="preserve">that </w:t>
      </w:r>
      <w:r w:rsidR="002915F7" w:rsidRPr="007D35B7">
        <w:rPr>
          <w:rFonts w:cs="Arial"/>
          <w:color w:val="000000" w:themeColor="text1"/>
          <w:szCs w:val="24"/>
        </w:rPr>
        <w:t>our qualifications meet</w:t>
      </w:r>
      <w:r w:rsidR="00E70452" w:rsidRPr="007D35B7">
        <w:rPr>
          <w:rFonts w:cs="Arial"/>
          <w:color w:val="000000" w:themeColor="text1"/>
          <w:szCs w:val="24"/>
        </w:rPr>
        <w:t xml:space="preserve"> </w:t>
      </w:r>
      <w:hyperlink r:id="rId11" w:history="1">
        <w:r w:rsidR="000D2751">
          <w:rPr>
            <w:rStyle w:val="Hyperlink"/>
            <w:rFonts w:cs="Arial"/>
            <w:szCs w:val="24"/>
          </w:rPr>
          <w:t>Sector Recognised Standards</w:t>
        </w:r>
      </w:hyperlink>
      <w:r w:rsidRPr="007D35B7">
        <w:rPr>
          <w:rFonts w:cs="Arial"/>
          <w:color w:val="000000" w:themeColor="text1"/>
          <w:szCs w:val="24"/>
        </w:rPr>
        <w:t>.</w:t>
      </w:r>
      <w:r w:rsidR="00CB6DCF">
        <w:rPr>
          <w:rFonts w:cs="Arial"/>
          <w:color w:val="000000" w:themeColor="text1"/>
          <w:szCs w:val="24"/>
        </w:rPr>
        <w:t xml:space="preserve"> </w:t>
      </w:r>
    </w:p>
    <w:p w14:paraId="59691AB9" w14:textId="77777777" w:rsidR="007C7403" w:rsidRDefault="007C7403" w:rsidP="00787EAF">
      <w:pPr>
        <w:pStyle w:val="NoSpacing"/>
        <w:rPr>
          <w:rFonts w:cs="Arial"/>
          <w:i/>
          <w:iCs/>
          <w:szCs w:val="24"/>
        </w:rPr>
      </w:pPr>
    </w:p>
    <w:p w14:paraId="005DA22A" w14:textId="083C5C72" w:rsidR="000B739D" w:rsidRDefault="000B739D" w:rsidP="00AA1280">
      <w:pPr>
        <w:pStyle w:val="Heading1"/>
        <w:jc w:val="center"/>
        <w:rPr>
          <w:rFonts w:ascii="Arial" w:hAnsi="Arial" w:cs="Arial"/>
          <w:color w:val="0070C0"/>
          <w:sz w:val="24"/>
          <w:szCs w:val="24"/>
        </w:rPr>
      </w:pPr>
      <w:r w:rsidRPr="00AA1280">
        <w:rPr>
          <w:rFonts w:ascii="Arial" w:hAnsi="Arial" w:cs="Arial"/>
          <w:color w:val="0070C0"/>
          <w:sz w:val="24"/>
          <w:szCs w:val="24"/>
        </w:rPr>
        <w:t>Institutional degree classification profile</w:t>
      </w:r>
    </w:p>
    <w:p w14:paraId="0EB34048" w14:textId="0DB5CCD9" w:rsidR="007D082E" w:rsidRDefault="007D082E" w:rsidP="007D082E"/>
    <w:p w14:paraId="12804746" w14:textId="27592AA4" w:rsidR="007D082E" w:rsidRDefault="007D082E" w:rsidP="007D082E">
      <w:r>
        <w:rPr>
          <w:noProof/>
        </w:rPr>
        <w:drawing>
          <wp:inline distT="0" distB="0" distL="0" distR="0" wp14:anchorId="22C59E43" wp14:editId="0554133E">
            <wp:extent cx="5731510" cy="3121660"/>
            <wp:effectExtent l="0" t="0" r="2540" b="2540"/>
            <wp:docPr id="1" name="Chart 1" descr="This is a bar chart which shows the percentage of First and Upper Second-Class Honours Awarded to First Degree Students.">
              <a:extLst xmlns:a="http://schemas.openxmlformats.org/drawingml/2006/main">
                <a:ext uri="{FF2B5EF4-FFF2-40B4-BE49-F238E27FC236}">
                  <a16:creationId xmlns:a16="http://schemas.microsoft.com/office/drawing/2014/main" id="{4463C59D-FFB1-4337-BFA9-9EDDC2DB0C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EA18EE" w14:textId="77777777" w:rsidR="007D082E" w:rsidRPr="007D082E" w:rsidRDefault="007D082E" w:rsidP="007D082E"/>
    <w:p w14:paraId="2322DEBB" w14:textId="77777777" w:rsidR="000B739D" w:rsidRPr="00013734" w:rsidRDefault="000B739D" w:rsidP="000B739D">
      <w:pPr>
        <w:pStyle w:val="NoSpacing"/>
        <w:ind w:left="284"/>
        <w:rPr>
          <w:rFonts w:cs="Arial"/>
          <w:szCs w:val="24"/>
        </w:rPr>
      </w:pPr>
    </w:p>
    <w:p w14:paraId="0BC76BA1" w14:textId="4D25B1D9" w:rsidR="000B739D" w:rsidRDefault="000B739D" w:rsidP="000B739D">
      <w:pPr>
        <w:pStyle w:val="NoSpacing"/>
        <w:ind w:firstLine="142"/>
        <w:rPr>
          <w:rFonts w:cs="Arial"/>
          <w:szCs w:val="24"/>
        </w:rPr>
      </w:pPr>
    </w:p>
    <w:p w14:paraId="3A24AC45" w14:textId="6C60BB15" w:rsidR="001D762C" w:rsidRPr="00013734" w:rsidRDefault="001D762C" w:rsidP="000B739D">
      <w:pPr>
        <w:pStyle w:val="NoSpacing"/>
        <w:ind w:firstLine="142"/>
        <w:rPr>
          <w:rFonts w:cs="Arial"/>
          <w:szCs w:val="24"/>
        </w:rPr>
      </w:pPr>
      <w:r>
        <w:rPr>
          <w:noProof/>
        </w:rPr>
        <w:lastRenderedPageBreak/>
        <w:drawing>
          <wp:inline distT="0" distB="0" distL="0" distR="0" wp14:anchorId="55F610C9" wp14:editId="53E7B358">
            <wp:extent cx="5731510" cy="3388360"/>
            <wp:effectExtent l="0" t="0" r="2540" b="2540"/>
            <wp:docPr id="5" name="Chart 5" descr="This is a bar chart to show the percentage of First and Upper Second-Class Honours Awarded to First Degree Students by Academic Year and Student Characteristic.">
              <a:extLst xmlns:a="http://schemas.openxmlformats.org/drawingml/2006/main">
                <a:ext uri="{FF2B5EF4-FFF2-40B4-BE49-F238E27FC236}">
                  <a16:creationId xmlns:a16="http://schemas.microsoft.com/office/drawing/2014/main" id="{88E99FF7-6B9F-4767-A8EC-CB6B135586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78AA1E" w14:textId="1D817A9A" w:rsidR="000B739D" w:rsidRPr="00013734" w:rsidRDefault="000B739D" w:rsidP="000B739D">
      <w:pPr>
        <w:pStyle w:val="NoSpacing"/>
        <w:ind w:firstLine="142"/>
        <w:rPr>
          <w:rFonts w:cs="Arial"/>
          <w:szCs w:val="24"/>
        </w:rPr>
      </w:pPr>
    </w:p>
    <w:p w14:paraId="0A6EFD48" w14:textId="68F6A9DD"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t xml:space="preserve">Assessment and </w:t>
      </w:r>
      <w:r w:rsidR="000D7B25">
        <w:rPr>
          <w:rFonts w:ascii="Arial" w:hAnsi="Arial" w:cs="Arial"/>
          <w:b/>
          <w:color w:val="auto"/>
          <w:sz w:val="28"/>
          <w:szCs w:val="28"/>
        </w:rPr>
        <w:t>M</w:t>
      </w:r>
      <w:r w:rsidRPr="00013734">
        <w:rPr>
          <w:rFonts w:ascii="Arial" w:hAnsi="Arial" w:cs="Arial"/>
          <w:b/>
          <w:color w:val="auto"/>
          <w:sz w:val="28"/>
          <w:szCs w:val="28"/>
        </w:rPr>
        <w:t xml:space="preserve">arking </w:t>
      </w:r>
      <w:r w:rsidR="000D7B25">
        <w:rPr>
          <w:rFonts w:ascii="Arial" w:hAnsi="Arial" w:cs="Arial"/>
          <w:b/>
          <w:color w:val="auto"/>
          <w:sz w:val="28"/>
          <w:szCs w:val="28"/>
        </w:rPr>
        <w:t>P</w:t>
      </w:r>
      <w:r w:rsidRPr="00013734">
        <w:rPr>
          <w:rFonts w:ascii="Arial" w:hAnsi="Arial" w:cs="Arial"/>
          <w:b/>
          <w:color w:val="auto"/>
          <w:sz w:val="28"/>
          <w:szCs w:val="28"/>
        </w:rPr>
        <w:t xml:space="preserve">ractices </w:t>
      </w:r>
    </w:p>
    <w:p w14:paraId="5EF7613C" w14:textId="77777777" w:rsidR="007D1CE8" w:rsidRPr="00013734" w:rsidRDefault="007D1CE8" w:rsidP="007D1CE8">
      <w:pPr>
        <w:pStyle w:val="NoSpacing"/>
        <w:rPr>
          <w:rFonts w:cs="Arial"/>
          <w:szCs w:val="24"/>
        </w:rPr>
      </w:pPr>
    </w:p>
    <w:p w14:paraId="535A2FD6" w14:textId="0C41B8B0" w:rsidR="007D1CE8" w:rsidRPr="00013734" w:rsidRDefault="00F65CAD" w:rsidP="004F4973">
      <w:pPr>
        <w:autoSpaceDE w:val="0"/>
        <w:autoSpaceDN w:val="0"/>
        <w:adjustRightInd w:val="0"/>
        <w:spacing w:line="240" w:lineRule="auto"/>
        <w:rPr>
          <w:rFonts w:ascii="Arial" w:hAnsi="Arial" w:cs="Arial"/>
          <w:sz w:val="24"/>
          <w:szCs w:val="24"/>
        </w:rPr>
      </w:pPr>
      <w:r w:rsidRPr="00013734">
        <w:rPr>
          <w:rFonts w:ascii="Arial" w:hAnsi="Arial" w:cs="Arial"/>
          <w:sz w:val="24"/>
          <w:szCs w:val="24"/>
        </w:rPr>
        <w:t xml:space="preserve">The University’s </w:t>
      </w:r>
      <w:hyperlink r:id="rId14" w:history="1">
        <w:r w:rsidRPr="00013734">
          <w:rPr>
            <w:rStyle w:val="Hyperlink"/>
            <w:rFonts w:ascii="Arial" w:hAnsi="Arial" w:cs="Arial"/>
            <w:sz w:val="24"/>
            <w:szCs w:val="24"/>
          </w:rPr>
          <w:t>quality management</w:t>
        </w:r>
      </w:hyperlink>
      <w:r w:rsidRPr="00013734">
        <w:rPr>
          <w:rFonts w:ascii="Arial" w:hAnsi="Arial" w:cs="Arial"/>
          <w:sz w:val="24"/>
          <w:szCs w:val="24"/>
        </w:rPr>
        <w:t xml:space="preserve"> strategy, and individual </w:t>
      </w:r>
      <w:hyperlink r:id="rId15" w:history="1">
        <w:r w:rsidRPr="000B4DC1">
          <w:rPr>
            <w:rStyle w:val="Hyperlink"/>
            <w:rFonts w:ascii="Arial" w:hAnsi="Arial" w:cs="Arial"/>
            <w:sz w:val="24"/>
            <w:szCs w:val="24"/>
          </w:rPr>
          <w:t>strategies for teaching, learning and assessment</w:t>
        </w:r>
      </w:hyperlink>
      <w:r w:rsidRPr="00013734">
        <w:rPr>
          <w:rFonts w:ascii="Arial" w:hAnsi="Arial" w:cs="Arial"/>
          <w:sz w:val="24"/>
          <w:szCs w:val="24"/>
        </w:rPr>
        <w:t xml:space="preserve"> underpin programme design, monitoring and evaluation. </w:t>
      </w:r>
      <w:r w:rsidR="007D1CE8" w:rsidRPr="00013734">
        <w:rPr>
          <w:rFonts w:ascii="Arial" w:hAnsi="Arial" w:cs="Arial"/>
          <w:sz w:val="24"/>
          <w:szCs w:val="24"/>
        </w:rPr>
        <w:t>All of our degrees undergo detailed academic scrutiny at the point of approval (</w:t>
      </w:r>
      <w:hyperlink r:id="rId16" w:history="1">
        <w:r w:rsidR="007D1CE8" w:rsidRPr="00013734">
          <w:rPr>
            <w:rStyle w:val="Hyperlink"/>
            <w:rFonts w:ascii="Arial" w:hAnsi="Arial" w:cs="Arial"/>
            <w:sz w:val="24"/>
            <w:szCs w:val="24"/>
          </w:rPr>
          <w:t>‘validation’</w:t>
        </w:r>
      </w:hyperlink>
      <w:r w:rsidR="007D1CE8" w:rsidRPr="00013734">
        <w:rPr>
          <w:rFonts w:ascii="Arial" w:hAnsi="Arial" w:cs="Arial"/>
          <w:sz w:val="24"/>
          <w:szCs w:val="24"/>
        </w:rPr>
        <w:t>) which ensures that programme content,</w:t>
      </w:r>
      <w:r w:rsidR="000F44D2" w:rsidRPr="00013734">
        <w:rPr>
          <w:rFonts w:ascii="Arial" w:hAnsi="Arial" w:cs="Arial"/>
          <w:sz w:val="24"/>
          <w:szCs w:val="24"/>
        </w:rPr>
        <w:t xml:space="preserve"> Intended L</w:t>
      </w:r>
      <w:r w:rsidR="00DE4B5B" w:rsidRPr="00013734">
        <w:rPr>
          <w:rFonts w:ascii="Arial" w:hAnsi="Arial" w:cs="Arial"/>
          <w:sz w:val="24"/>
          <w:szCs w:val="24"/>
        </w:rPr>
        <w:t xml:space="preserve">earning </w:t>
      </w:r>
      <w:r w:rsidR="000F44D2" w:rsidRPr="00013734">
        <w:rPr>
          <w:rFonts w:ascii="Arial" w:hAnsi="Arial" w:cs="Arial"/>
          <w:sz w:val="24"/>
          <w:szCs w:val="24"/>
        </w:rPr>
        <w:t>O</w:t>
      </w:r>
      <w:r w:rsidR="00DE4B5B" w:rsidRPr="00013734">
        <w:rPr>
          <w:rFonts w:ascii="Arial" w:hAnsi="Arial" w:cs="Arial"/>
          <w:sz w:val="24"/>
          <w:szCs w:val="24"/>
        </w:rPr>
        <w:t xml:space="preserve">utcomes, </w:t>
      </w:r>
      <w:r w:rsidR="007D1CE8" w:rsidRPr="00013734">
        <w:rPr>
          <w:rFonts w:ascii="Arial" w:hAnsi="Arial" w:cs="Arial"/>
          <w:sz w:val="24"/>
          <w:szCs w:val="24"/>
        </w:rPr>
        <w:t xml:space="preserve">teaching and assessment are aligned with </w:t>
      </w:r>
      <w:r w:rsidR="004C4672">
        <w:rPr>
          <w:rFonts w:ascii="Arial" w:hAnsi="Arial" w:cs="Arial"/>
          <w:sz w:val="24"/>
          <w:szCs w:val="24"/>
        </w:rPr>
        <w:t xml:space="preserve">the </w:t>
      </w:r>
      <w:hyperlink r:id="rId17" w:history="1">
        <w:r w:rsidR="004C4672" w:rsidRPr="004C4672">
          <w:rPr>
            <w:rStyle w:val="Hyperlink"/>
            <w:rFonts w:ascii="Arial" w:hAnsi="Arial" w:cs="Arial"/>
            <w:sz w:val="24"/>
            <w:szCs w:val="24"/>
          </w:rPr>
          <w:t>Sector Recognised Standards</w:t>
        </w:r>
      </w:hyperlink>
      <w:r w:rsidR="004C4672">
        <w:rPr>
          <w:rFonts w:ascii="Arial" w:hAnsi="Arial" w:cs="Arial"/>
          <w:sz w:val="24"/>
          <w:szCs w:val="24"/>
        </w:rPr>
        <w:t xml:space="preserve"> for providers of Higher Education in England and </w:t>
      </w:r>
      <w:r w:rsidR="004C4672" w:rsidRPr="00013734">
        <w:rPr>
          <w:rFonts w:ascii="Arial" w:hAnsi="Arial" w:cs="Arial"/>
          <w:sz w:val="24"/>
          <w:szCs w:val="24"/>
        </w:rPr>
        <w:t xml:space="preserve">discipline-specific </w:t>
      </w:r>
      <w:hyperlink r:id="rId18" w:history="1">
        <w:r w:rsidR="004C4672" w:rsidRPr="00013734">
          <w:rPr>
            <w:rStyle w:val="Hyperlink"/>
            <w:rFonts w:ascii="Arial" w:hAnsi="Arial" w:cs="Arial"/>
            <w:sz w:val="24"/>
            <w:szCs w:val="24"/>
          </w:rPr>
          <w:t>Subject Benchmark Statements</w:t>
        </w:r>
      </w:hyperlink>
      <w:r w:rsidR="004C4672" w:rsidRPr="00013734">
        <w:rPr>
          <w:rFonts w:ascii="Arial" w:hAnsi="Arial" w:cs="Arial"/>
          <w:sz w:val="24"/>
          <w:szCs w:val="24"/>
        </w:rPr>
        <w:t>.</w:t>
      </w:r>
      <w:r w:rsidR="004C4672">
        <w:rPr>
          <w:rFonts w:ascii="Arial" w:hAnsi="Arial" w:cs="Arial"/>
          <w:sz w:val="24"/>
          <w:szCs w:val="24"/>
        </w:rPr>
        <w:t xml:space="preserve"> </w:t>
      </w:r>
      <w:r w:rsidR="007D1CE8" w:rsidRPr="00013734">
        <w:rPr>
          <w:rFonts w:ascii="Arial" w:hAnsi="Arial" w:cs="Arial"/>
          <w:sz w:val="24"/>
          <w:szCs w:val="24"/>
        </w:rPr>
        <w:t xml:space="preserve">Degrees conferring professional recognition or </w:t>
      </w:r>
      <w:r w:rsidR="00547782" w:rsidRPr="00013734">
        <w:rPr>
          <w:rFonts w:ascii="Arial" w:hAnsi="Arial" w:cs="Arial"/>
          <w:sz w:val="24"/>
          <w:szCs w:val="24"/>
        </w:rPr>
        <w:t>L</w:t>
      </w:r>
      <w:r w:rsidR="007D1CE8" w:rsidRPr="00013734">
        <w:rPr>
          <w:rFonts w:ascii="Arial" w:hAnsi="Arial" w:cs="Arial"/>
          <w:sz w:val="24"/>
          <w:szCs w:val="24"/>
        </w:rPr>
        <w:t xml:space="preserve">icence to </w:t>
      </w:r>
      <w:r w:rsidR="00547782" w:rsidRPr="00013734">
        <w:rPr>
          <w:rFonts w:ascii="Arial" w:hAnsi="Arial" w:cs="Arial"/>
          <w:sz w:val="24"/>
          <w:szCs w:val="24"/>
        </w:rPr>
        <w:t>P</w:t>
      </w:r>
      <w:r w:rsidR="007D1CE8" w:rsidRPr="00013734">
        <w:rPr>
          <w:rFonts w:ascii="Arial" w:hAnsi="Arial" w:cs="Arial"/>
          <w:sz w:val="24"/>
          <w:szCs w:val="24"/>
        </w:rPr>
        <w:t xml:space="preserve">ractise, for example in law, medicine and teacher education, are also aligned with the standards of relevant </w:t>
      </w:r>
      <w:hyperlink r:id="rId19" w:history="1">
        <w:r w:rsidR="007D1CE8" w:rsidRPr="00013734">
          <w:rPr>
            <w:rStyle w:val="Hyperlink"/>
            <w:rFonts w:ascii="Arial" w:hAnsi="Arial" w:cs="Arial"/>
            <w:sz w:val="24"/>
            <w:szCs w:val="24"/>
          </w:rPr>
          <w:t>Professional Statutory and Regulatory Bodies</w:t>
        </w:r>
      </w:hyperlink>
      <w:r w:rsidR="007D1CE8" w:rsidRPr="00013734">
        <w:rPr>
          <w:rFonts w:ascii="Arial" w:hAnsi="Arial" w:cs="Arial"/>
          <w:sz w:val="24"/>
          <w:szCs w:val="24"/>
        </w:rPr>
        <w:t xml:space="preserve">. </w:t>
      </w:r>
      <w:r w:rsidR="00547782" w:rsidRPr="00013734">
        <w:rPr>
          <w:rFonts w:ascii="Arial" w:hAnsi="Arial" w:cs="Arial"/>
          <w:sz w:val="24"/>
          <w:szCs w:val="24"/>
        </w:rPr>
        <w:t>Internal v</w:t>
      </w:r>
      <w:r w:rsidR="007D1CE8" w:rsidRPr="00013734">
        <w:rPr>
          <w:rFonts w:ascii="Arial" w:hAnsi="Arial" w:cs="Arial"/>
          <w:sz w:val="24"/>
          <w:szCs w:val="24"/>
        </w:rPr>
        <w:t xml:space="preserve">alidation panels include external academic subject experts of other degree providers who support them in making judgements on programme standards and quality. </w:t>
      </w:r>
      <w:r w:rsidR="00177CA2">
        <w:rPr>
          <w:rFonts w:ascii="Arial" w:hAnsi="Arial" w:cs="Arial"/>
          <w:sz w:val="24"/>
          <w:szCs w:val="24"/>
        </w:rPr>
        <w:t xml:space="preserve">Due regard is also given to </w:t>
      </w:r>
      <w:r w:rsidR="00D06177">
        <w:rPr>
          <w:rFonts w:ascii="Arial" w:hAnsi="Arial" w:cs="Arial"/>
          <w:sz w:val="24"/>
          <w:szCs w:val="24"/>
        </w:rPr>
        <w:t>advice laid out</w:t>
      </w:r>
      <w:r w:rsidR="00177CA2">
        <w:rPr>
          <w:rFonts w:ascii="Arial" w:hAnsi="Arial" w:cs="Arial"/>
          <w:sz w:val="24"/>
          <w:szCs w:val="24"/>
        </w:rPr>
        <w:t xml:space="preserve"> in the </w:t>
      </w:r>
      <w:hyperlink r:id="rId20" w:history="1">
        <w:r w:rsidR="00177CA2" w:rsidRPr="00013734">
          <w:rPr>
            <w:rStyle w:val="Hyperlink"/>
            <w:rFonts w:ascii="Arial" w:hAnsi="Arial" w:cs="Arial"/>
            <w:sz w:val="24"/>
            <w:szCs w:val="24"/>
          </w:rPr>
          <w:t>UK Quality Code for Higher Education</w:t>
        </w:r>
      </w:hyperlink>
      <w:r w:rsidR="00177CA2">
        <w:rPr>
          <w:rFonts w:ascii="Arial" w:hAnsi="Arial" w:cs="Arial"/>
          <w:sz w:val="24"/>
          <w:szCs w:val="24"/>
        </w:rPr>
        <w:t xml:space="preserve">. </w:t>
      </w:r>
      <w:r w:rsidR="00177CA2" w:rsidRPr="00013734">
        <w:rPr>
          <w:rFonts w:ascii="Arial" w:hAnsi="Arial" w:cs="Arial"/>
          <w:sz w:val="24"/>
          <w:szCs w:val="24"/>
        </w:rPr>
        <w:t xml:space="preserve"> </w:t>
      </w:r>
    </w:p>
    <w:p w14:paraId="45E9F3F1" w14:textId="77777777" w:rsidR="007D1CE8" w:rsidRPr="00013734" w:rsidRDefault="007D1CE8" w:rsidP="007D1CE8">
      <w:pPr>
        <w:autoSpaceDE w:val="0"/>
        <w:autoSpaceDN w:val="0"/>
        <w:adjustRightInd w:val="0"/>
        <w:spacing w:line="240" w:lineRule="auto"/>
        <w:rPr>
          <w:rFonts w:ascii="Arial" w:hAnsi="Arial" w:cs="Arial"/>
          <w:sz w:val="24"/>
          <w:szCs w:val="24"/>
        </w:rPr>
      </w:pPr>
    </w:p>
    <w:p w14:paraId="4F01A96D" w14:textId="474C8D21" w:rsidR="006115FA" w:rsidRPr="00A10FB1" w:rsidRDefault="007D1CE8" w:rsidP="007D1CE8">
      <w:pPr>
        <w:autoSpaceDE w:val="0"/>
        <w:autoSpaceDN w:val="0"/>
        <w:adjustRightInd w:val="0"/>
        <w:spacing w:line="240" w:lineRule="auto"/>
        <w:rPr>
          <w:rFonts w:ascii="Arial" w:hAnsi="Arial" w:cs="Arial"/>
          <w:sz w:val="24"/>
          <w:szCs w:val="24"/>
        </w:rPr>
      </w:pPr>
      <w:r w:rsidRPr="00A10FB1">
        <w:rPr>
          <w:rFonts w:ascii="Arial" w:hAnsi="Arial" w:cs="Arial"/>
          <w:sz w:val="24"/>
          <w:szCs w:val="24"/>
        </w:rPr>
        <w:t>Academic staff undergo detailed preparation and training for assessment which includes a postgraduate teaching certificate and professional development programme led by staff of the Centre for Learning and Teaching</w:t>
      </w:r>
      <w:r w:rsidR="004F4973" w:rsidRPr="00A10FB1">
        <w:rPr>
          <w:rFonts w:ascii="Arial" w:hAnsi="Arial" w:cs="Arial"/>
          <w:sz w:val="24"/>
          <w:szCs w:val="24"/>
        </w:rPr>
        <w:t>,</w:t>
      </w:r>
      <w:r w:rsidRPr="00A10FB1">
        <w:rPr>
          <w:rFonts w:ascii="Arial" w:hAnsi="Arial" w:cs="Arial"/>
          <w:sz w:val="24"/>
          <w:szCs w:val="24"/>
        </w:rPr>
        <w:t xml:space="preserve"> </w:t>
      </w:r>
      <w:r w:rsidR="00A0115E" w:rsidRPr="00A10FB1">
        <w:rPr>
          <w:rFonts w:ascii="Arial" w:hAnsi="Arial" w:cs="Arial"/>
          <w:sz w:val="24"/>
          <w:szCs w:val="24"/>
        </w:rPr>
        <w:t>support</w:t>
      </w:r>
      <w:r w:rsidRPr="00A10FB1">
        <w:rPr>
          <w:rFonts w:ascii="Arial" w:hAnsi="Arial" w:cs="Arial"/>
          <w:sz w:val="24"/>
          <w:szCs w:val="24"/>
        </w:rPr>
        <w:t xml:space="preserve">ed by Learning and Teaching Fellows. Specific support is provided for academic partner organisations and employers who </w:t>
      </w:r>
      <w:r w:rsidR="00A0115E" w:rsidRPr="00A10FB1">
        <w:rPr>
          <w:rFonts w:ascii="Arial" w:hAnsi="Arial" w:cs="Arial"/>
          <w:sz w:val="24"/>
          <w:szCs w:val="24"/>
        </w:rPr>
        <w:t>contribute to</w:t>
      </w:r>
      <w:r w:rsidRPr="00A10FB1">
        <w:rPr>
          <w:rFonts w:ascii="Arial" w:hAnsi="Arial" w:cs="Arial"/>
          <w:sz w:val="24"/>
          <w:szCs w:val="24"/>
        </w:rPr>
        <w:t xml:space="preserve"> students’ assessment. Coursework briefs and examinations are set in accordance with validated Intended Learning Outcomes, and assessment criteria measure and grade student attainment beyond threshold (Pass) standard. </w:t>
      </w:r>
      <w:r w:rsidR="00A10FB1" w:rsidRPr="00A10FB1">
        <w:rPr>
          <w:rStyle w:val="cf01"/>
          <w:rFonts w:ascii="Arial" w:hAnsi="Arial" w:cs="Arial"/>
          <w:sz w:val="24"/>
          <w:szCs w:val="24"/>
        </w:rPr>
        <w:t xml:space="preserve">All assessment criteria contain overt reference to English language proficiency which </w:t>
      </w:r>
      <w:r w:rsidR="00524646">
        <w:rPr>
          <w:rStyle w:val="cf01"/>
          <w:rFonts w:ascii="Arial" w:hAnsi="Arial" w:cs="Arial"/>
          <w:sz w:val="24"/>
          <w:szCs w:val="24"/>
        </w:rPr>
        <w:t>is incorporated in</w:t>
      </w:r>
      <w:r w:rsidR="00A10FB1" w:rsidRPr="00A10FB1">
        <w:rPr>
          <w:rStyle w:val="cf01"/>
          <w:rFonts w:ascii="Arial" w:hAnsi="Arial" w:cs="Arial"/>
          <w:sz w:val="24"/>
          <w:szCs w:val="24"/>
        </w:rPr>
        <w:t xml:space="preserve"> learning outcome</w:t>
      </w:r>
      <w:r w:rsidR="00524646">
        <w:rPr>
          <w:rStyle w:val="cf01"/>
          <w:rFonts w:ascii="Arial" w:hAnsi="Arial" w:cs="Arial"/>
          <w:sz w:val="24"/>
          <w:szCs w:val="24"/>
        </w:rPr>
        <w:t>s.</w:t>
      </w:r>
      <w:r w:rsidR="00A10FB1" w:rsidRPr="00A10FB1">
        <w:rPr>
          <w:rStyle w:val="cf01"/>
          <w:rFonts w:ascii="Arial" w:hAnsi="Arial" w:cs="Arial"/>
          <w:sz w:val="24"/>
          <w:szCs w:val="24"/>
        </w:rPr>
        <w:t xml:space="preserve"> </w:t>
      </w:r>
      <w:r w:rsidRPr="00A10FB1">
        <w:rPr>
          <w:rFonts w:ascii="Arial" w:hAnsi="Arial" w:cs="Arial"/>
          <w:sz w:val="24"/>
          <w:szCs w:val="24"/>
        </w:rPr>
        <w:t>A process of internal verification (</w:t>
      </w:r>
      <w:hyperlink r:id="rId21" w:history="1">
        <w:r w:rsidRPr="00A10FB1">
          <w:rPr>
            <w:rStyle w:val="Hyperlink"/>
            <w:rFonts w:ascii="Arial" w:hAnsi="Arial" w:cs="Arial"/>
            <w:sz w:val="24"/>
            <w:szCs w:val="24"/>
          </w:rPr>
          <w:t>‘moderation’</w:t>
        </w:r>
      </w:hyperlink>
      <w:r w:rsidRPr="00A10FB1">
        <w:rPr>
          <w:rFonts w:ascii="Arial" w:hAnsi="Arial" w:cs="Arial"/>
          <w:sz w:val="24"/>
          <w:szCs w:val="24"/>
        </w:rPr>
        <w:t>) supports the quality and consistency of marking and feedback within programmes and subjects.</w:t>
      </w:r>
      <w:r w:rsidR="00B0712A" w:rsidRPr="00A10FB1">
        <w:rPr>
          <w:rFonts w:ascii="Arial" w:hAnsi="Arial" w:cs="Arial"/>
          <w:sz w:val="24"/>
          <w:szCs w:val="24"/>
        </w:rPr>
        <w:t xml:space="preserve"> Students are able to notify the University of any special circumstances impacting on their ability to perform to the best of their potential, through the </w:t>
      </w:r>
      <w:hyperlink r:id="rId22" w:history="1">
        <w:r w:rsidR="000B4DC1" w:rsidRPr="00A10FB1">
          <w:rPr>
            <w:rStyle w:val="Hyperlink"/>
            <w:rFonts w:ascii="Arial" w:hAnsi="Arial" w:cs="Arial"/>
            <w:sz w:val="24"/>
            <w:szCs w:val="24"/>
          </w:rPr>
          <w:t>Personal Circumstances</w:t>
        </w:r>
      </w:hyperlink>
      <w:r w:rsidR="00B0712A" w:rsidRPr="00A10FB1">
        <w:rPr>
          <w:rFonts w:ascii="Arial" w:hAnsi="Arial" w:cs="Arial"/>
          <w:sz w:val="24"/>
          <w:szCs w:val="24"/>
        </w:rPr>
        <w:t xml:space="preserve"> scheme, and </w:t>
      </w:r>
      <w:hyperlink r:id="rId23" w:anchor="academic-appeals" w:history="1">
        <w:r w:rsidR="00B0712A" w:rsidRPr="00A10FB1">
          <w:rPr>
            <w:rStyle w:val="Hyperlink"/>
            <w:rFonts w:ascii="Arial" w:hAnsi="Arial" w:cs="Arial"/>
            <w:sz w:val="24"/>
            <w:szCs w:val="24"/>
          </w:rPr>
          <w:t>Appeals Procedures</w:t>
        </w:r>
      </w:hyperlink>
      <w:r w:rsidR="00B0712A" w:rsidRPr="00A10FB1">
        <w:rPr>
          <w:rFonts w:ascii="Arial" w:hAnsi="Arial" w:cs="Arial"/>
          <w:sz w:val="24"/>
          <w:szCs w:val="24"/>
        </w:rPr>
        <w:t xml:space="preserve"> where necessary. </w:t>
      </w:r>
    </w:p>
    <w:p w14:paraId="311CBD15" w14:textId="77777777" w:rsidR="00CA469D" w:rsidRDefault="00CA469D" w:rsidP="00CA469D">
      <w:pPr>
        <w:autoSpaceDE w:val="0"/>
        <w:autoSpaceDN w:val="0"/>
        <w:adjustRightInd w:val="0"/>
        <w:spacing w:line="240" w:lineRule="auto"/>
        <w:rPr>
          <w:rFonts w:ascii="Arial" w:hAnsi="Arial" w:cs="Arial"/>
          <w:sz w:val="24"/>
          <w:szCs w:val="24"/>
        </w:rPr>
      </w:pPr>
      <w:r w:rsidRPr="00013734">
        <w:rPr>
          <w:rFonts w:ascii="Arial" w:hAnsi="Arial" w:cs="Arial"/>
          <w:sz w:val="24"/>
          <w:szCs w:val="24"/>
        </w:rPr>
        <w:lastRenderedPageBreak/>
        <w:t>All degrees</w:t>
      </w:r>
      <w:r>
        <w:rPr>
          <w:rFonts w:ascii="Arial" w:hAnsi="Arial" w:cs="Arial"/>
          <w:sz w:val="24"/>
          <w:szCs w:val="24"/>
        </w:rPr>
        <w:t xml:space="preserve">, including those delivered by </w:t>
      </w:r>
      <w:hyperlink r:id="rId24" w:history="1">
        <w:r w:rsidRPr="008C3078">
          <w:rPr>
            <w:rStyle w:val="Hyperlink"/>
            <w:rFonts w:ascii="Arial" w:hAnsi="Arial" w:cs="Arial"/>
            <w:sz w:val="24"/>
            <w:szCs w:val="24"/>
          </w:rPr>
          <w:t>partners</w:t>
        </w:r>
      </w:hyperlink>
      <w:r>
        <w:rPr>
          <w:rFonts w:ascii="Arial" w:hAnsi="Arial" w:cs="Arial"/>
          <w:sz w:val="24"/>
          <w:szCs w:val="24"/>
        </w:rPr>
        <w:t xml:space="preserve">, </w:t>
      </w:r>
      <w:r w:rsidRPr="00013734">
        <w:rPr>
          <w:rFonts w:ascii="Arial" w:hAnsi="Arial" w:cs="Arial"/>
          <w:sz w:val="24"/>
          <w:szCs w:val="24"/>
        </w:rPr>
        <w:t xml:space="preserve">are subject to </w:t>
      </w:r>
      <w:hyperlink r:id="rId25" w:history="1">
        <w:r w:rsidRPr="00013734">
          <w:rPr>
            <w:rStyle w:val="Hyperlink"/>
            <w:rFonts w:ascii="Arial" w:hAnsi="Arial" w:cs="Arial"/>
            <w:sz w:val="24"/>
            <w:szCs w:val="24"/>
          </w:rPr>
          <w:t>annual monitoring</w:t>
        </w:r>
      </w:hyperlink>
      <w:r w:rsidRPr="00013734">
        <w:rPr>
          <w:rFonts w:ascii="Arial" w:hAnsi="Arial" w:cs="Arial"/>
          <w:sz w:val="24"/>
          <w:szCs w:val="24"/>
        </w:rPr>
        <w:t xml:space="preserve"> which includes </w:t>
      </w:r>
      <w:r>
        <w:rPr>
          <w:rFonts w:ascii="Arial" w:hAnsi="Arial" w:cs="Arial"/>
          <w:sz w:val="24"/>
          <w:szCs w:val="24"/>
        </w:rPr>
        <w:t>input from</w:t>
      </w:r>
      <w:r w:rsidRPr="00013734">
        <w:rPr>
          <w:rFonts w:ascii="Arial" w:hAnsi="Arial" w:cs="Arial"/>
          <w:sz w:val="24"/>
          <w:szCs w:val="24"/>
        </w:rPr>
        <w:t xml:space="preserve"> suitably-qualified </w:t>
      </w:r>
      <w:hyperlink r:id="rId26" w:history="1">
        <w:r w:rsidRPr="00013734">
          <w:rPr>
            <w:rStyle w:val="Hyperlink"/>
            <w:rFonts w:ascii="Arial" w:hAnsi="Arial" w:cs="Arial"/>
            <w:sz w:val="24"/>
            <w:szCs w:val="24"/>
          </w:rPr>
          <w:t>external examiners</w:t>
        </w:r>
      </w:hyperlink>
      <w:r w:rsidRPr="00013734">
        <w:rPr>
          <w:rFonts w:ascii="Arial" w:hAnsi="Arial" w:cs="Arial"/>
          <w:sz w:val="24"/>
          <w:szCs w:val="24"/>
        </w:rPr>
        <w:t xml:space="preserve"> who confirm that the standards set at validation are being adhered to, that students are meeting those standards, and that assessment is of high quality. We are scrupulous in our appointment and use of external examiners, protecting their independence to make academic judgements on our degrees. External examiners’ reports for the most recent completed academic year confirmed that standards remained current and aligned with national reference points across all programmes, that </w:t>
      </w:r>
      <w:proofErr w:type="gramStart"/>
      <w:r w:rsidRPr="00013734">
        <w:rPr>
          <w:rFonts w:ascii="Arial" w:hAnsi="Arial" w:cs="Arial"/>
          <w:sz w:val="24"/>
          <w:szCs w:val="24"/>
        </w:rPr>
        <w:t>grading</w:t>
      </w:r>
      <w:proofErr w:type="gramEnd"/>
      <w:r w:rsidRPr="00013734">
        <w:rPr>
          <w:rFonts w:ascii="Arial" w:hAnsi="Arial" w:cs="Arial"/>
          <w:sz w:val="24"/>
          <w:szCs w:val="24"/>
        </w:rPr>
        <w:t xml:space="preserve"> and classification were comparable with other degree providers, and that students were achieving the standards set for them through valid and fair assessment. External examiners receive a detailed briefing and induction and attend Module and Progression &amp; Award Boards to verify they are conducted fairly and consistently in accordance with our own </w:t>
      </w:r>
      <w:hyperlink r:id="rId27" w:history="1">
        <w:r w:rsidRPr="00013734">
          <w:rPr>
            <w:rStyle w:val="Hyperlink"/>
            <w:rFonts w:ascii="Arial" w:hAnsi="Arial" w:cs="Arial"/>
            <w:sz w:val="24"/>
            <w:szCs w:val="24"/>
          </w:rPr>
          <w:t>Academic Regulations</w:t>
        </w:r>
      </w:hyperlink>
      <w:r w:rsidRPr="00013734">
        <w:rPr>
          <w:rFonts w:ascii="Arial" w:hAnsi="Arial" w:cs="Arial"/>
          <w:sz w:val="24"/>
          <w:szCs w:val="24"/>
        </w:rPr>
        <w:t xml:space="preserve">. </w:t>
      </w:r>
    </w:p>
    <w:p w14:paraId="2537022B" w14:textId="77777777" w:rsidR="006115FA" w:rsidRPr="00013734" w:rsidRDefault="006115FA" w:rsidP="007D1CE8">
      <w:pPr>
        <w:autoSpaceDE w:val="0"/>
        <w:autoSpaceDN w:val="0"/>
        <w:adjustRightInd w:val="0"/>
        <w:spacing w:line="240" w:lineRule="auto"/>
        <w:rPr>
          <w:rFonts w:ascii="Arial" w:hAnsi="Arial" w:cs="Arial"/>
          <w:sz w:val="24"/>
          <w:szCs w:val="24"/>
        </w:rPr>
      </w:pPr>
    </w:p>
    <w:p w14:paraId="7F1E1FB7" w14:textId="5343D529"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t xml:space="preserve">Academic </w:t>
      </w:r>
      <w:r w:rsidR="000D7B25">
        <w:rPr>
          <w:rFonts w:ascii="Arial" w:hAnsi="Arial" w:cs="Arial"/>
          <w:b/>
          <w:color w:val="auto"/>
          <w:sz w:val="28"/>
          <w:szCs w:val="28"/>
        </w:rPr>
        <w:t>G</w:t>
      </w:r>
      <w:r w:rsidRPr="00013734">
        <w:rPr>
          <w:rFonts w:ascii="Arial" w:hAnsi="Arial" w:cs="Arial"/>
          <w:b/>
          <w:color w:val="auto"/>
          <w:sz w:val="28"/>
          <w:szCs w:val="28"/>
        </w:rPr>
        <w:t xml:space="preserve">overnance </w:t>
      </w:r>
    </w:p>
    <w:p w14:paraId="41B3A2F2" w14:textId="77777777" w:rsidR="007D1CE8" w:rsidRPr="00013734" w:rsidRDefault="007D1CE8" w:rsidP="007D1CE8">
      <w:pPr>
        <w:pStyle w:val="NoSpacing"/>
        <w:rPr>
          <w:rFonts w:cs="Arial"/>
          <w:szCs w:val="24"/>
        </w:rPr>
      </w:pPr>
    </w:p>
    <w:p w14:paraId="237EF44F" w14:textId="17C109A5" w:rsidR="007D1CE8" w:rsidRPr="00013734" w:rsidRDefault="007D1CE8" w:rsidP="007D1CE8">
      <w:pPr>
        <w:autoSpaceDE w:val="0"/>
        <w:autoSpaceDN w:val="0"/>
        <w:adjustRightInd w:val="0"/>
        <w:spacing w:line="240" w:lineRule="auto"/>
        <w:rPr>
          <w:rFonts w:ascii="Arial" w:hAnsi="Arial" w:cs="Arial"/>
          <w:sz w:val="24"/>
          <w:szCs w:val="24"/>
        </w:rPr>
      </w:pPr>
      <w:r w:rsidRPr="00013734">
        <w:rPr>
          <w:rFonts w:ascii="Arial" w:hAnsi="Arial" w:cs="Arial"/>
          <w:sz w:val="24"/>
          <w:szCs w:val="24"/>
        </w:rPr>
        <w:t>Reporting to the University’s governing body</w:t>
      </w:r>
      <w:r w:rsidR="00261B0F" w:rsidRPr="00013734">
        <w:rPr>
          <w:rFonts w:ascii="Arial" w:hAnsi="Arial" w:cs="Arial"/>
          <w:sz w:val="24"/>
          <w:szCs w:val="24"/>
        </w:rPr>
        <w:t>,</w:t>
      </w:r>
      <w:r w:rsidRPr="00013734">
        <w:rPr>
          <w:rFonts w:ascii="Arial" w:hAnsi="Arial" w:cs="Arial"/>
          <w:sz w:val="24"/>
          <w:szCs w:val="24"/>
        </w:rPr>
        <w:t xml:space="preserve"> the Academic Board has ultimate responsibility for the setting and maintenance of degree standards. Processes for, and outcomes from, </w:t>
      </w:r>
      <w:r w:rsidR="00261B0F" w:rsidRPr="00013734">
        <w:rPr>
          <w:rFonts w:ascii="Arial" w:hAnsi="Arial" w:cs="Arial"/>
          <w:sz w:val="24"/>
          <w:szCs w:val="24"/>
        </w:rPr>
        <w:t xml:space="preserve">programme </w:t>
      </w:r>
      <w:r w:rsidRPr="00013734">
        <w:rPr>
          <w:rFonts w:ascii="Arial" w:hAnsi="Arial" w:cs="Arial"/>
          <w:sz w:val="24"/>
          <w:szCs w:val="24"/>
        </w:rPr>
        <w:t>validation, monitoring (including external examiners) and review are overseen by the Academic Quality Enhancement Committee</w:t>
      </w:r>
      <w:r w:rsidR="00F7596D">
        <w:rPr>
          <w:rFonts w:ascii="Arial" w:hAnsi="Arial" w:cs="Arial"/>
          <w:sz w:val="24"/>
          <w:szCs w:val="24"/>
        </w:rPr>
        <w:t xml:space="preserve"> (AQEC)</w:t>
      </w:r>
      <w:r w:rsidR="001B6C39" w:rsidRPr="00013734">
        <w:rPr>
          <w:rFonts w:ascii="Arial" w:hAnsi="Arial" w:cs="Arial"/>
          <w:sz w:val="24"/>
          <w:szCs w:val="24"/>
        </w:rPr>
        <w:t xml:space="preserve"> on behalf of the Academic Board</w:t>
      </w:r>
      <w:r w:rsidRPr="00013734">
        <w:rPr>
          <w:rFonts w:ascii="Arial" w:hAnsi="Arial" w:cs="Arial"/>
          <w:sz w:val="24"/>
          <w:szCs w:val="24"/>
        </w:rPr>
        <w:t>. No degree may be delivered without AQEC approval</w:t>
      </w:r>
      <w:r w:rsidR="00261B0F" w:rsidRPr="00013734">
        <w:rPr>
          <w:rFonts w:ascii="Arial" w:hAnsi="Arial" w:cs="Arial"/>
          <w:sz w:val="24"/>
          <w:szCs w:val="24"/>
        </w:rPr>
        <w:t>,</w:t>
      </w:r>
      <w:r w:rsidRPr="00013734">
        <w:rPr>
          <w:rFonts w:ascii="Arial" w:hAnsi="Arial" w:cs="Arial"/>
          <w:sz w:val="24"/>
          <w:szCs w:val="24"/>
        </w:rPr>
        <w:t xml:space="preserve"> and a full list of </w:t>
      </w:r>
      <w:hyperlink r:id="rId28" w:history="1">
        <w:r w:rsidRPr="00A9419A">
          <w:rPr>
            <w:rStyle w:val="Hyperlink"/>
            <w:rFonts w:ascii="Arial" w:hAnsi="Arial" w:cs="Arial"/>
            <w:sz w:val="24"/>
            <w:szCs w:val="24"/>
          </w:rPr>
          <w:t>approved awards</w:t>
        </w:r>
      </w:hyperlink>
      <w:r w:rsidRPr="00013734">
        <w:rPr>
          <w:rFonts w:ascii="Arial" w:hAnsi="Arial" w:cs="Arial"/>
          <w:sz w:val="24"/>
          <w:szCs w:val="24"/>
        </w:rPr>
        <w:t xml:space="preserve"> accompanies our </w:t>
      </w:r>
      <w:r w:rsidR="001B6C39" w:rsidRPr="00013734">
        <w:rPr>
          <w:rFonts w:ascii="Arial" w:hAnsi="Arial" w:cs="Arial"/>
          <w:sz w:val="24"/>
          <w:szCs w:val="24"/>
        </w:rPr>
        <w:t>r</w:t>
      </w:r>
      <w:r w:rsidRPr="00013734">
        <w:rPr>
          <w:rFonts w:ascii="Arial" w:hAnsi="Arial" w:cs="Arial"/>
          <w:sz w:val="24"/>
          <w:szCs w:val="24"/>
        </w:rPr>
        <w:t xml:space="preserve">egulations. </w:t>
      </w:r>
    </w:p>
    <w:p w14:paraId="586F3EBC" w14:textId="77777777" w:rsidR="007D1CE8" w:rsidRPr="00013734" w:rsidRDefault="007D1CE8" w:rsidP="007D1CE8">
      <w:pPr>
        <w:autoSpaceDE w:val="0"/>
        <w:autoSpaceDN w:val="0"/>
        <w:adjustRightInd w:val="0"/>
        <w:spacing w:line="240" w:lineRule="auto"/>
        <w:rPr>
          <w:rFonts w:ascii="Arial" w:hAnsi="Arial" w:cs="Arial"/>
          <w:sz w:val="24"/>
          <w:szCs w:val="24"/>
        </w:rPr>
      </w:pPr>
    </w:p>
    <w:p w14:paraId="7064874A" w14:textId="2868EAFD" w:rsidR="007D1CE8" w:rsidRDefault="007D1CE8" w:rsidP="007D1CE8">
      <w:pPr>
        <w:autoSpaceDE w:val="0"/>
        <w:autoSpaceDN w:val="0"/>
        <w:adjustRightInd w:val="0"/>
        <w:spacing w:line="240" w:lineRule="auto"/>
        <w:rPr>
          <w:rFonts w:ascii="Arial" w:hAnsi="Arial" w:cs="Arial"/>
          <w:sz w:val="24"/>
          <w:szCs w:val="24"/>
        </w:rPr>
      </w:pPr>
      <w:r w:rsidRPr="00013734">
        <w:rPr>
          <w:rFonts w:ascii="Arial" w:hAnsi="Arial" w:cs="Arial"/>
          <w:sz w:val="24"/>
          <w:szCs w:val="24"/>
        </w:rPr>
        <w:t>Academic Board and its committees receive reports on final degree classifications, academic appeals and academic malpractice cases which support</w:t>
      </w:r>
      <w:r w:rsidR="009048AF">
        <w:rPr>
          <w:rFonts w:ascii="Arial" w:hAnsi="Arial" w:cs="Arial"/>
          <w:sz w:val="24"/>
          <w:szCs w:val="24"/>
        </w:rPr>
        <w:t>s</w:t>
      </w:r>
      <w:r w:rsidRPr="00013734">
        <w:rPr>
          <w:rFonts w:ascii="Arial" w:hAnsi="Arial" w:cs="Arial"/>
          <w:sz w:val="24"/>
          <w:szCs w:val="24"/>
        </w:rPr>
        <w:t xml:space="preserve"> the continuous monitoring of standards. </w:t>
      </w:r>
      <w:bookmarkStart w:id="0" w:name="_Hlk22764670"/>
      <w:r w:rsidRPr="00013734">
        <w:rPr>
          <w:rFonts w:ascii="Arial" w:hAnsi="Arial" w:cs="Arial"/>
          <w:sz w:val="24"/>
          <w:szCs w:val="24"/>
        </w:rPr>
        <w:t xml:space="preserve">Assessment strategies, </w:t>
      </w:r>
      <w:proofErr w:type="gramStart"/>
      <w:r w:rsidRPr="00013734">
        <w:rPr>
          <w:rFonts w:ascii="Arial" w:hAnsi="Arial" w:cs="Arial"/>
          <w:sz w:val="24"/>
          <w:szCs w:val="24"/>
        </w:rPr>
        <w:t>policies</w:t>
      </w:r>
      <w:proofErr w:type="gramEnd"/>
      <w:r w:rsidRPr="00013734">
        <w:rPr>
          <w:rFonts w:ascii="Arial" w:hAnsi="Arial" w:cs="Arial"/>
          <w:sz w:val="24"/>
          <w:szCs w:val="24"/>
        </w:rPr>
        <w:t xml:space="preserve"> and </w:t>
      </w:r>
      <w:r w:rsidR="009F7564" w:rsidRPr="00013734">
        <w:rPr>
          <w:rFonts w:ascii="Arial" w:hAnsi="Arial" w:cs="Arial"/>
          <w:sz w:val="24"/>
          <w:szCs w:val="24"/>
        </w:rPr>
        <w:t xml:space="preserve">regulations, including those governing </w:t>
      </w:r>
      <w:r w:rsidR="00E02635">
        <w:rPr>
          <w:rFonts w:ascii="Arial" w:hAnsi="Arial" w:cs="Arial"/>
          <w:sz w:val="24"/>
          <w:szCs w:val="24"/>
        </w:rPr>
        <w:t xml:space="preserve">academic </w:t>
      </w:r>
      <w:r w:rsidR="009F7564" w:rsidRPr="00013734">
        <w:rPr>
          <w:rFonts w:ascii="Arial" w:hAnsi="Arial" w:cs="Arial"/>
          <w:sz w:val="24"/>
          <w:szCs w:val="24"/>
        </w:rPr>
        <w:t xml:space="preserve">malpractice and appeals, </w:t>
      </w:r>
      <w:r w:rsidRPr="00013734">
        <w:rPr>
          <w:rFonts w:ascii="Arial" w:hAnsi="Arial" w:cs="Arial"/>
          <w:sz w:val="24"/>
          <w:szCs w:val="24"/>
        </w:rPr>
        <w:t xml:space="preserve">are kept under </w:t>
      </w:r>
      <w:r w:rsidR="009F7564" w:rsidRPr="00013734">
        <w:rPr>
          <w:rFonts w:ascii="Arial" w:hAnsi="Arial" w:cs="Arial"/>
          <w:sz w:val="24"/>
          <w:szCs w:val="24"/>
        </w:rPr>
        <w:t xml:space="preserve">continuous </w:t>
      </w:r>
      <w:r w:rsidRPr="00013734">
        <w:rPr>
          <w:rFonts w:ascii="Arial" w:hAnsi="Arial" w:cs="Arial"/>
          <w:sz w:val="24"/>
          <w:szCs w:val="24"/>
        </w:rPr>
        <w:t xml:space="preserve">review, and proactive monitoring and </w:t>
      </w:r>
      <w:r w:rsidR="009F7564" w:rsidRPr="00013734">
        <w:rPr>
          <w:rFonts w:ascii="Arial" w:hAnsi="Arial" w:cs="Arial"/>
          <w:sz w:val="24"/>
          <w:szCs w:val="24"/>
        </w:rPr>
        <w:t>intervention</w:t>
      </w:r>
      <w:r w:rsidRPr="00013734">
        <w:rPr>
          <w:rFonts w:ascii="Arial" w:hAnsi="Arial" w:cs="Arial"/>
          <w:sz w:val="24"/>
          <w:szCs w:val="24"/>
        </w:rPr>
        <w:t xml:space="preserve"> help safeguard standards. </w:t>
      </w:r>
      <w:bookmarkEnd w:id="0"/>
      <w:r w:rsidRPr="00013734">
        <w:rPr>
          <w:rFonts w:ascii="Arial" w:hAnsi="Arial" w:cs="Arial"/>
          <w:sz w:val="24"/>
          <w:szCs w:val="24"/>
        </w:rPr>
        <w:t>Annual monitoring detects grade improvement at individual programme level and explores</w:t>
      </w:r>
      <w:r w:rsidR="008B45A6">
        <w:rPr>
          <w:rFonts w:ascii="Arial" w:hAnsi="Arial" w:cs="Arial"/>
          <w:sz w:val="24"/>
          <w:szCs w:val="24"/>
        </w:rPr>
        <w:t>, where appropriate,</w:t>
      </w:r>
      <w:r w:rsidRPr="00013734">
        <w:rPr>
          <w:rFonts w:ascii="Arial" w:hAnsi="Arial" w:cs="Arial"/>
          <w:sz w:val="24"/>
          <w:szCs w:val="24"/>
        </w:rPr>
        <w:t xml:space="preserve"> </w:t>
      </w:r>
      <w:r w:rsidR="0086681C" w:rsidRPr="00013734">
        <w:rPr>
          <w:rFonts w:ascii="Arial" w:hAnsi="Arial" w:cs="Arial"/>
          <w:sz w:val="24"/>
          <w:szCs w:val="24"/>
        </w:rPr>
        <w:t>how intake standards</w:t>
      </w:r>
      <w:r w:rsidR="007F6690" w:rsidRPr="00013734">
        <w:rPr>
          <w:rFonts w:ascii="Arial" w:hAnsi="Arial" w:cs="Arial"/>
          <w:sz w:val="24"/>
          <w:szCs w:val="24"/>
        </w:rPr>
        <w:t xml:space="preserve"> attained from different types of entry qualification</w:t>
      </w:r>
      <w:r w:rsidR="0086681C" w:rsidRPr="00013734">
        <w:rPr>
          <w:rFonts w:ascii="Arial" w:hAnsi="Arial" w:cs="Arial"/>
          <w:sz w:val="24"/>
          <w:szCs w:val="24"/>
        </w:rPr>
        <w:t>,</w:t>
      </w:r>
      <w:r w:rsidR="00261B0F" w:rsidRPr="00013734">
        <w:rPr>
          <w:rFonts w:ascii="Arial" w:hAnsi="Arial" w:cs="Arial"/>
          <w:sz w:val="24"/>
          <w:szCs w:val="24"/>
        </w:rPr>
        <w:t xml:space="preserve"> enhanced </w:t>
      </w:r>
      <w:r w:rsidRPr="00013734">
        <w:rPr>
          <w:rFonts w:ascii="Arial" w:hAnsi="Arial" w:cs="Arial"/>
          <w:sz w:val="24"/>
          <w:szCs w:val="24"/>
        </w:rPr>
        <w:t xml:space="preserve">teaching and assessment practices and academic support have </w:t>
      </w:r>
      <w:r w:rsidR="00261B0F" w:rsidRPr="00013734">
        <w:rPr>
          <w:rFonts w:ascii="Arial" w:hAnsi="Arial" w:cs="Arial"/>
          <w:sz w:val="24"/>
          <w:szCs w:val="24"/>
        </w:rPr>
        <w:t>contributed to</w:t>
      </w:r>
      <w:r w:rsidRPr="00013734">
        <w:rPr>
          <w:rFonts w:ascii="Arial" w:hAnsi="Arial" w:cs="Arial"/>
          <w:sz w:val="24"/>
          <w:szCs w:val="24"/>
        </w:rPr>
        <w:t xml:space="preserve"> student </w:t>
      </w:r>
      <w:r w:rsidR="007F6690" w:rsidRPr="00013734">
        <w:rPr>
          <w:rFonts w:ascii="Arial" w:hAnsi="Arial" w:cs="Arial"/>
          <w:sz w:val="24"/>
          <w:szCs w:val="24"/>
        </w:rPr>
        <w:t>achievement</w:t>
      </w:r>
      <w:r w:rsidRPr="00013734">
        <w:rPr>
          <w:rFonts w:ascii="Arial" w:hAnsi="Arial" w:cs="Arial"/>
          <w:sz w:val="24"/>
          <w:szCs w:val="24"/>
        </w:rPr>
        <w:t>.</w:t>
      </w:r>
    </w:p>
    <w:p w14:paraId="09758683" w14:textId="77777777" w:rsidR="00866AA7" w:rsidRPr="00013734" w:rsidRDefault="00866AA7" w:rsidP="007D1CE8">
      <w:pPr>
        <w:autoSpaceDE w:val="0"/>
        <w:autoSpaceDN w:val="0"/>
        <w:adjustRightInd w:val="0"/>
        <w:spacing w:line="240" w:lineRule="auto"/>
        <w:rPr>
          <w:rFonts w:ascii="Arial" w:hAnsi="Arial" w:cs="Arial"/>
          <w:sz w:val="24"/>
          <w:szCs w:val="24"/>
        </w:rPr>
      </w:pPr>
    </w:p>
    <w:p w14:paraId="321082FD" w14:textId="7C8B57DA" w:rsidR="007D1CE8" w:rsidRPr="00013734" w:rsidRDefault="006C1FB3" w:rsidP="007D1CE8">
      <w:pPr>
        <w:shd w:val="clear" w:color="auto" w:fill="FFFFFF" w:themeFill="background1"/>
        <w:autoSpaceDE w:val="0"/>
        <w:autoSpaceDN w:val="0"/>
        <w:adjustRightInd w:val="0"/>
        <w:spacing w:line="240" w:lineRule="auto"/>
        <w:rPr>
          <w:rFonts w:ascii="Arial" w:hAnsi="Arial" w:cs="Arial"/>
          <w:sz w:val="24"/>
          <w:szCs w:val="24"/>
        </w:rPr>
      </w:pPr>
      <w:r w:rsidRPr="00013734">
        <w:rPr>
          <w:rFonts w:ascii="Arial" w:hAnsi="Arial" w:cs="Arial"/>
          <w:sz w:val="24"/>
          <w:szCs w:val="24"/>
        </w:rPr>
        <w:t>The</w:t>
      </w:r>
      <w:r w:rsidR="007D1CE8" w:rsidRPr="00013734">
        <w:rPr>
          <w:rFonts w:ascii="Arial" w:hAnsi="Arial" w:cs="Arial"/>
          <w:sz w:val="24"/>
          <w:szCs w:val="24"/>
        </w:rPr>
        <w:t xml:space="preserve"> Regulations Review Sub-Committee oversees the continued appropriateness and fairness of our </w:t>
      </w:r>
      <w:r w:rsidR="00027872">
        <w:rPr>
          <w:rFonts w:ascii="Arial" w:hAnsi="Arial" w:cs="Arial"/>
          <w:sz w:val="24"/>
          <w:szCs w:val="24"/>
        </w:rPr>
        <w:t>A</w:t>
      </w:r>
      <w:r w:rsidR="007D1CE8" w:rsidRPr="00013734">
        <w:rPr>
          <w:rFonts w:ascii="Arial" w:hAnsi="Arial" w:cs="Arial"/>
          <w:sz w:val="24"/>
          <w:szCs w:val="24"/>
        </w:rPr>
        <w:t xml:space="preserve">cademic </w:t>
      </w:r>
      <w:r w:rsidR="00027872">
        <w:rPr>
          <w:rFonts w:ascii="Arial" w:hAnsi="Arial" w:cs="Arial"/>
          <w:sz w:val="24"/>
          <w:szCs w:val="24"/>
        </w:rPr>
        <w:t>R</w:t>
      </w:r>
      <w:r w:rsidR="007D1CE8" w:rsidRPr="00013734">
        <w:rPr>
          <w:rFonts w:ascii="Arial" w:hAnsi="Arial" w:cs="Arial"/>
          <w:sz w:val="24"/>
          <w:szCs w:val="24"/>
        </w:rPr>
        <w:t xml:space="preserve">egulations and advises the Learning and Teaching Committee on any changes for the approval of Academic Board. </w:t>
      </w:r>
      <w:r w:rsidRPr="00013734">
        <w:rPr>
          <w:rFonts w:ascii="Arial" w:hAnsi="Arial" w:cs="Arial"/>
          <w:sz w:val="24"/>
          <w:szCs w:val="24"/>
        </w:rPr>
        <w:t>The</w:t>
      </w:r>
      <w:r w:rsidR="007D1CE8" w:rsidRPr="00013734">
        <w:rPr>
          <w:rFonts w:ascii="Arial" w:hAnsi="Arial" w:cs="Arial"/>
          <w:sz w:val="24"/>
          <w:szCs w:val="24"/>
        </w:rPr>
        <w:t xml:space="preserve"> External Examiners Sub-Committee has oversight of external examiners</w:t>
      </w:r>
      <w:r w:rsidR="004D2914" w:rsidRPr="00013734">
        <w:rPr>
          <w:rFonts w:ascii="Arial" w:hAnsi="Arial" w:cs="Arial"/>
          <w:sz w:val="24"/>
          <w:szCs w:val="24"/>
        </w:rPr>
        <w:t xml:space="preserve">, their </w:t>
      </w:r>
      <w:proofErr w:type="gramStart"/>
      <w:r w:rsidR="004D2914" w:rsidRPr="00013734">
        <w:rPr>
          <w:rFonts w:ascii="Arial" w:hAnsi="Arial" w:cs="Arial"/>
          <w:sz w:val="24"/>
          <w:szCs w:val="24"/>
        </w:rPr>
        <w:t>appointment</w:t>
      </w:r>
      <w:proofErr w:type="gramEnd"/>
      <w:r w:rsidR="007D1CE8" w:rsidRPr="00013734">
        <w:rPr>
          <w:rFonts w:ascii="Arial" w:hAnsi="Arial" w:cs="Arial"/>
          <w:sz w:val="24"/>
          <w:szCs w:val="24"/>
        </w:rPr>
        <w:t xml:space="preserve"> and reports</w:t>
      </w:r>
      <w:r w:rsidR="004D2914" w:rsidRPr="00013734">
        <w:rPr>
          <w:rFonts w:ascii="Arial" w:hAnsi="Arial" w:cs="Arial"/>
          <w:sz w:val="24"/>
          <w:szCs w:val="24"/>
        </w:rPr>
        <w:t>,</w:t>
      </w:r>
      <w:r w:rsidR="007D1CE8" w:rsidRPr="00013734">
        <w:rPr>
          <w:rFonts w:ascii="Arial" w:hAnsi="Arial" w:cs="Arial"/>
          <w:sz w:val="24"/>
          <w:szCs w:val="24"/>
        </w:rPr>
        <w:t xml:space="preserve"> and assures AQEC and </w:t>
      </w:r>
      <w:r w:rsidR="004D2914" w:rsidRPr="00013734">
        <w:rPr>
          <w:rFonts w:ascii="Arial" w:hAnsi="Arial" w:cs="Arial"/>
          <w:sz w:val="24"/>
          <w:szCs w:val="24"/>
        </w:rPr>
        <w:t xml:space="preserve">the </w:t>
      </w:r>
      <w:r w:rsidR="007D1CE8" w:rsidRPr="00013734">
        <w:rPr>
          <w:rFonts w:ascii="Arial" w:hAnsi="Arial" w:cs="Arial"/>
          <w:sz w:val="24"/>
          <w:szCs w:val="24"/>
        </w:rPr>
        <w:t xml:space="preserve">Academic Board that they are discharging their responsibilities appropriately and that any matters raised by them have received proper consideration. An annual Academic Assurance Report </w:t>
      </w:r>
      <w:r w:rsidR="004D2914" w:rsidRPr="00013734">
        <w:rPr>
          <w:rFonts w:ascii="Arial" w:hAnsi="Arial" w:cs="Arial"/>
          <w:sz w:val="24"/>
          <w:szCs w:val="24"/>
        </w:rPr>
        <w:t>helps satisfy</w:t>
      </w:r>
      <w:r w:rsidR="007D1CE8" w:rsidRPr="00013734">
        <w:rPr>
          <w:rFonts w:ascii="Arial" w:hAnsi="Arial" w:cs="Arial"/>
          <w:sz w:val="24"/>
          <w:szCs w:val="24"/>
        </w:rPr>
        <w:t xml:space="preserve"> the Board of Governors that we continue to meet national expectations and regulatory requirements for degree standards. </w:t>
      </w:r>
    </w:p>
    <w:p w14:paraId="3E7DFCC7" w14:textId="3F1A1740" w:rsidR="007D1CE8" w:rsidRDefault="007D1CE8" w:rsidP="007D1CE8">
      <w:pPr>
        <w:pStyle w:val="NoSpacing"/>
        <w:rPr>
          <w:rFonts w:cs="Arial"/>
          <w:szCs w:val="24"/>
        </w:rPr>
      </w:pPr>
    </w:p>
    <w:p w14:paraId="66FABED3" w14:textId="3C7796EB" w:rsidR="009F1BD4" w:rsidRDefault="009F1BD4" w:rsidP="007D1CE8">
      <w:pPr>
        <w:pStyle w:val="NoSpacing"/>
        <w:rPr>
          <w:rFonts w:cs="Arial"/>
          <w:szCs w:val="24"/>
        </w:rPr>
      </w:pPr>
    </w:p>
    <w:p w14:paraId="52E58F49" w14:textId="4BB6BC29" w:rsidR="009F1BD4" w:rsidRDefault="009F1BD4" w:rsidP="007D1CE8">
      <w:pPr>
        <w:pStyle w:val="NoSpacing"/>
        <w:rPr>
          <w:rFonts w:cs="Arial"/>
          <w:szCs w:val="24"/>
        </w:rPr>
      </w:pPr>
    </w:p>
    <w:p w14:paraId="3C5D462A" w14:textId="615987DB" w:rsidR="009F1BD4" w:rsidRDefault="009F1BD4" w:rsidP="007D1CE8">
      <w:pPr>
        <w:pStyle w:val="NoSpacing"/>
        <w:rPr>
          <w:rFonts w:cs="Arial"/>
          <w:szCs w:val="24"/>
        </w:rPr>
      </w:pPr>
    </w:p>
    <w:p w14:paraId="42BDCB27" w14:textId="77777777" w:rsidR="009F1BD4" w:rsidRPr="00013734" w:rsidRDefault="009F1BD4" w:rsidP="007D1CE8">
      <w:pPr>
        <w:pStyle w:val="NoSpacing"/>
        <w:rPr>
          <w:rFonts w:cs="Arial"/>
          <w:szCs w:val="24"/>
        </w:rPr>
      </w:pPr>
    </w:p>
    <w:p w14:paraId="0257221B" w14:textId="3D833032"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lastRenderedPageBreak/>
        <w:t xml:space="preserve">Classification </w:t>
      </w:r>
      <w:r w:rsidR="008B4182">
        <w:rPr>
          <w:rFonts w:ascii="Arial" w:hAnsi="Arial" w:cs="Arial"/>
          <w:b/>
          <w:color w:val="auto"/>
          <w:sz w:val="28"/>
          <w:szCs w:val="28"/>
        </w:rPr>
        <w:t>A</w:t>
      </w:r>
      <w:r w:rsidRPr="00013734">
        <w:rPr>
          <w:rFonts w:ascii="Arial" w:hAnsi="Arial" w:cs="Arial"/>
          <w:b/>
          <w:color w:val="auto"/>
          <w:sz w:val="28"/>
          <w:szCs w:val="28"/>
        </w:rPr>
        <w:t xml:space="preserve">lgorithm </w:t>
      </w:r>
    </w:p>
    <w:p w14:paraId="77411DB7" w14:textId="7C1CB019" w:rsidR="007D1CE8" w:rsidRPr="00013734" w:rsidRDefault="007D1CE8" w:rsidP="007D1CE8">
      <w:pPr>
        <w:pStyle w:val="NoSpacing"/>
        <w:rPr>
          <w:rFonts w:cs="Arial"/>
          <w:szCs w:val="24"/>
        </w:rPr>
      </w:pPr>
    </w:p>
    <w:p w14:paraId="17C62EB6" w14:textId="3B200C7A" w:rsidR="0002368F" w:rsidRPr="00013734" w:rsidRDefault="0002368F" w:rsidP="0002368F">
      <w:pPr>
        <w:pStyle w:val="NoSpacing"/>
        <w:rPr>
          <w:rFonts w:cs="Arial"/>
          <w:szCs w:val="24"/>
        </w:rPr>
      </w:pPr>
      <w:r w:rsidRPr="00013734">
        <w:rPr>
          <w:rFonts w:cs="Arial"/>
          <w:szCs w:val="24"/>
        </w:rPr>
        <w:t xml:space="preserve">Students are required to successfully complete all modules registered against their programme </w:t>
      </w:r>
      <w:proofErr w:type="gramStart"/>
      <w:r w:rsidRPr="00013734">
        <w:rPr>
          <w:rFonts w:cs="Arial"/>
          <w:szCs w:val="24"/>
        </w:rPr>
        <w:t>in order to</w:t>
      </w:r>
      <w:proofErr w:type="gramEnd"/>
      <w:r w:rsidRPr="00013734">
        <w:rPr>
          <w:rFonts w:cs="Arial"/>
          <w:szCs w:val="24"/>
        </w:rPr>
        <w:t xml:space="preserve"> qualify for a</w:t>
      </w:r>
      <w:r>
        <w:rPr>
          <w:rFonts w:cs="Arial"/>
          <w:szCs w:val="24"/>
        </w:rPr>
        <w:t xml:space="preserve"> classified </w:t>
      </w:r>
      <w:r w:rsidRPr="00013734">
        <w:rPr>
          <w:rFonts w:cs="Arial"/>
          <w:szCs w:val="24"/>
        </w:rPr>
        <w:t>award</w:t>
      </w:r>
      <w:r>
        <w:rPr>
          <w:rFonts w:cs="Arial"/>
          <w:szCs w:val="24"/>
        </w:rPr>
        <w:t>. This incorporates the University’s provision for condonement</w:t>
      </w:r>
      <w:r w:rsidRPr="00013734">
        <w:rPr>
          <w:rFonts w:cs="Arial"/>
          <w:szCs w:val="24"/>
        </w:rPr>
        <w:t xml:space="preserve">. Where a student is unsuccessful at the first </w:t>
      </w:r>
      <w:proofErr w:type="gramStart"/>
      <w:r w:rsidRPr="00013734">
        <w:rPr>
          <w:rFonts w:cs="Arial"/>
          <w:szCs w:val="24"/>
        </w:rPr>
        <w:t>attempt</w:t>
      </w:r>
      <w:proofErr w:type="gramEnd"/>
      <w:r w:rsidRPr="00013734">
        <w:rPr>
          <w:rFonts w:cs="Arial"/>
          <w:szCs w:val="24"/>
        </w:rPr>
        <w:t xml:space="preserve"> they may be offered a maximum of two reassessment opportunities, which will be capped at the pass mark. This is in line with the total number of re-sits/ re-takes permitted across the sector, as outlined in the </w:t>
      </w:r>
      <w:hyperlink r:id="rId29" w:history="1">
        <w:r w:rsidRPr="00013734">
          <w:rPr>
            <w:rStyle w:val="Hyperlink"/>
            <w:rFonts w:cs="Arial"/>
            <w:szCs w:val="24"/>
          </w:rPr>
          <w:t>Universities UK publication 'Understanding Degree Algorithms'</w:t>
        </w:r>
      </w:hyperlink>
      <w:r w:rsidRPr="00013734">
        <w:rPr>
          <w:rFonts w:cs="Arial"/>
          <w:szCs w:val="24"/>
        </w:rPr>
        <w:t xml:space="preserve">. </w:t>
      </w:r>
    </w:p>
    <w:p w14:paraId="70A2272F" w14:textId="77777777" w:rsidR="0002368F" w:rsidRDefault="0002368F" w:rsidP="006C3B46">
      <w:pPr>
        <w:pStyle w:val="NoSpacing"/>
        <w:rPr>
          <w:rFonts w:cs="Arial"/>
          <w:color w:val="000000"/>
          <w:szCs w:val="24"/>
        </w:rPr>
      </w:pPr>
    </w:p>
    <w:p w14:paraId="44A03AEB" w14:textId="3B3162A5" w:rsidR="00013734" w:rsidRPr="00013734" w:rsidRDefault="006C3B46" w:rsidP="006C3B46">
      <w:pPr>
        <w:pStyle w:val="NoSpacing"/>
        <w:rPr>
          <w:rFonts w:cs="Arial"/>
          <w:color w:val="000000"/>
          <w:szCs w:val="24"/>
        </w:rPr>
      </w:pPr>
      <w:r w:rsidRPr="00013734">
        <w:rPr>
          <w:rFonts w:cs="Arial"/>
          <w:color w:val="000000"/>
          <w:szCs w:val="24"/>
        </w:rPr>
        <w:t xml:space="preserve">The University last reviewed its </w:t>
      </w:r>
      <w:r w:rsidR="00D81E6E">
        <w:rPr>
          <w:rFonts w:cs="Arial"/>
          <w:color w:val="000000"/>
          <w:szCs w:val="24"/>
        </w:rPr>
        <w:t xml:space="preserve">permanent </w:t>
      </w:r>
      <w:r w:rsidRPr="00013734">
        <w:rPr>
          <w:rFonts w:cs="Arial"/>
          <w:color w:val="000000"/>
          <w:szCs w:val="24"/>
        </w:rPr>
        <w:t>approach to classifying honours degrees in 2016. This was in response to then</w:t>
      </w:r>
      <w:r w:rsidR="006C1FB3" w:rsidRPr="00013734">
        <w:rPr>
          <w:rFonts w:cs="Arial"/>
          <w:color w:val="000000"/>
          <w:szCs w:val="24"/>
        </w:rPr>
        <w:t>-</w:t>
      </w:r>
      <w:r w:rsidRPr="00013734">
        <w:rPr>
          <w:rFonts w:cs="Arial"/>
          <w:color w:val="000000"/>
          <w:szCs w:val="24"/>
        </w:rPr>
        <w:t>emerging concerns expressed by government about the classification systems applied by higher education providers across the United Kingdom. The impact of the review was that the University moved to a single system for classification, which came into effect in July 2019 and is described below.</w:t>
      </w:r>
    </w:p>
    <w:p w14:paraId="5C1F1F78" w14:textId="1F5CC28C" w:rsidR="006C3B46" w:rsidRPr="00013734" w:rsidRDefault="00013734" w:rsidP="006C3B46">
      <w:pPr>
        <w:pStyle w:val="NoSpacing"/>
        <w:rPr>
          <w:rFonts w:cs="Arial"/>
          <w:color w:val="000000"/>
          <w:szCs w:val="24"/>
        </w:rPr>
      </w:pPr>
      <w:r w:rsidRPr="00013734">
        <w:rPr>
          <w:rFonts w:cs="Arial"/>
          <w:color w:val="000000"/>
          <w:szCs w:val="24"/>
        </w:rPr>
        <w:t xml:space="preserve"> </w:t>
      </w:r>
    </w:p>
    <w:p w14:paraId="48E07A6B" w14:textId="345B7055" w:rsidR="00013734" w:rsidRPr="00013734" w:rsidRDefault="006C3B46" w:rsidP="006C3B46">
      <w:pPr>
        <w:pStyle w:val="NoSpacing"/>
        <w:rPr>
          <w:rFonts w:cs="Arial"/>
          <w:szCs w:val="24"/>
        </w:rPr>
      </w:pPr>
      <w:r w:rsidRPr="00013734">
        <w:rPr>
          <w:rFonts w:cs="Arial"/>
          <w:color w:val="000000"/>
          <w:szCs w:val="24"/>
        </w:rPr>
        <w:t>The University applies the standard classification bands used across the sector. Classifications are determined by a</w:t>
      </w:r>
      <w:r w:rsidR="00331773">
        <w:rPr>
          <w:rFonts w:cs="Arial"/>
          <w:color w:val="000000"/>
          <w:szCs w:val="24"/>
        </w:rPr>
        <w:t xml:space="preserve"> </w:t>
      </w:r>
      <w:r w:rsidRPr="00013734">
        <w:rPr>
          <w:rFonts w:cs="Arial"/>
          <w:color w:val="000000"/>
          <w:szCs w:val="24"/>
        </w:rPr>
        <w:t xml:space="preserve">percentage mark which </w:t>
      </w:r>
      <w:r w:rsidRPr="00013734">
        <w:rPr>
          <w:rFonts w:cs="Arial"/>
          <w:szCs w:val="24"/>
        </w:rPr>
        <w:t>is calculated using the average mark from Level 5 and Level 6 study, weighted at 40% and 60% respectively. The lowest mark, to the value of 20 credits, is discarded. The only deviation from this approach is where an honours degree has an atypical credit total, for example Conversion Degrees or programmes that incorporate a credit</w:t>
      </w:r>
      <w:r w:rsidR="006C1FB3" w:rsidRPr="00013734">
        <w:rPr>
          <w:rFonts w:cs="Arial"/>
          <w:szCs w:val="24"/>
        </w:rPr>
        <w:t>-</w:t>
      </w:r>
      <w:r w:rsidRPr="00013734">
        <w:rPr>
          <w:rFonts w:cs="Arial"/>
          <w:szCs w:val="24"/>
        </w:rPr>
        <w:t>bearing placement year. In these cases, the standard algorithm is adapted as appropriate for the different credit totals and values.</w:t>
      </w:r>
    </w:p>
    <w:p w14:paraId="788628E4" w14:textId="45A0E791" w:rsidR="006C3B46" w:rsidRPr="00013734" w:rsidRDefault="00013734" w:rsidP="006C3B46">
      <w:pPr>
        <w:pStyle w:val="NoSpacing"/>
        <w:rPr>
          <w:rFonts w:cs="Arial"/>
          <w:szCs w:val="24"/>
        </w:rPr>
      </w:pPr>
      <w:r w:rsidRPr="00013734">
        <w:rPr>
          <w:rFonts w:cs="Arial"/>
          <w:szCs w:val="24"/>
        </w:rPr>
        <w:t xml:space="preserve"> </w:t>
      </w:r>
    </w:p>
    <w:p w14:paraId="4DDB9C67" w14:textId="6A8B302F" w:rsidR="006C3B46" w:rsidRPr="00013734" w:rsidRDefault="006C3B46" w:rsidP="006C3B46">
      <w:pPr>
        <w:pStyle w:val="NoSpacing"/>
        <w:rPr>
          <w:rFonts w:cs="Arial"/>
          <w:szCs w:val="24"/>
        </w:rPr>
      </w:pPr>
      <w:r w:rsidRPr="00013734">
        <w:rPr>
          <w:rFonts w:cs="Arial"/>
          <w:szCs w:val="24"/>
        </w:rPr>
        <w:t>Placing greater weight on marks from the final year ensures that classifications appropriately reflect the standard of performance a student has achieved on obtaining their qualification</w:t>
      </w:r>
      <w:r w:rsidR="00040247" w:rsidRPr="00013734">
        <w:rPr>
          <w:rFonts w:cs="Arial"/>
          <w:szCs w:val="24"/>
        </w:rPr>
        <w:t>,</w:t>
      </w:r>
      <w:r w:rsidRPr="00013734">
        <w:rPr>
          <w:rFonts w:cs="Arial"/>
          <w:szCs w:val="24"/>
        </w:rPr>
        <w:t xml:space="preserve"> acknowledging the accumulation of knowledge, </w:t>
      </w:r>
      <w:proofErr w:type="gramStart"/>
      <w:r w:rsidRPr="00013734">
        <w:rPr>
          <w:rFonts w:cs="Arial"/>
          <w:szCs w:val="24"/>
        </w:rPr>
        <w:t>expertise</w:t>
      </w:r>
      <w:proofErr w:type="gramEnd"/>
      <w:r w:rsidRPr="00013734">
        <w:rPr>
          <w:rFonts w:cs="Arial"/>
          <w:szCs w:val="24"/>
        </w:rPr>
        <w:t xml:space="preserve"> and skills in the preceding years. Discarding the lowest mark recognises consistent performance by omitting outliers from the final degree classification.</w:t>
      </w:r>
      <w:r w:rsidR="003770F7">
        <w:rPr>
          <w:rFonts w:cs="Arial"/>
          <w:szCs w:val="24"/>
        </w:rPr>
        <w:t xml:space="preserve"> This </w:t>
      </w:r>
      <w:r w:rsidRPr="00013734">
        <w:rPr>
          <w:rFonts w:cs="Arial"/>
          <w:szCs w:val="24"/>
        </w:rPr>
        <w:t>supports students to undertake some study outside of their specialism</w:t>
      </w:r>
      <w:r w:rsidR="00694F65" w:rsidRPr="00013734">
        <w:rPr>
          <w:rFonts w:cs="Arial"/>
          <w:szCs w:val="24"/>
        </w:rPr>
        <w:t>, f</w:t>
      </w:r>
      <w:r w:rsidRPr="00013734">
        <w:rPr>
          <w:rFonts w:cs="Arial"/>
          <w:szCs w:val="24"/>
        </w:rPr>
        <w:t xml:space="preserve">or example, diversifying their learning (in up to 20 credits) to </w:t>
      </w:r>
      <w:r w:rsidR="00F7596D">
        <w:rPr>
          <w:rFonts w:cs="Arial"/>
          <w:szCs w:val="24"/>
        </w:rPr>
        <w:t>undertake</w:t>
      </w:r>
      <w:r w:rsidRPr="00013734">
        <w:rPr>
          <w:rFonts w:cs="Arial"/>
          <w:szCs w:val="24"/>
        </w:rPr>
        <w:t xml:space="preserve"> a language module without fear that this may impact on their final classification.</w:t>
      </w:r>
    </w:p>
    <w:p w14:paraId="7D0BF2B5" w14:textId="77777777" w:rsidR="006C3B46" w:rsidRPr="00013734" w:rsidRDefault="006C3B46" w:rsidP="006C3B46">
      <w:pPr>
        <w:pStyle w:val="NoSpacing"/>
        <w:rPr>
          <w:rFonts w:cs="Arial"/>
          <w:szCs w:val="24"/>
        </w:rPr>
      </w:pPr>
    </w:p>
    <w:p w14:paraId="42B1505F" w14:textId="01E58E17" w:rsidR="00013734" w:rsidRPr="00013734" w:rsidRDefault="006C3B46" w:rsidP="006C3B46">
      <w:pPr>
        <w:pStyle w:val="NoSpacing"/>
        <w:rPr>
          <w:rFonts w:cs="Arial"/>
          <w:szCs w:val="24"/>
        </w:rPr>
      </w:pPr>
      <w:bookmarkStart w:id="1" w:name="_Hlk41401067"/>
      <w:r w:rsidRPr="00013734">
        <w:rPr>
          <w:rFonts w:cs="Arial"/>
          <w:szCs w:val="24"/>
        </w:rPr>
        <w:t xml:space="preserve">Where a student is within 2% of a higher classification band, the University will consider whether a higher classification is appropriate and justified. </w:t>
      </w:r>
      <w:bookmarkEnd w:id="1"/>
      <w:r w:rsidRPr="00013734">
        <w:rPr>
          <w:rFonts w:cs="Arial"/>
          <w:szCs w:val="24"/>
        </w:rPr>
        <w:t xml:space="preserve">In these </w:t>
      </w:r>
      <w:proofErr w:type="gramStart"/>
      <w:r w:rsidRPr="00013734">
        <w:rPr>
          <w:rFonts w:cs="Arial"/>
          <w:szCs w:val="24"/>
        </w:rPr>
        <w:t>cases</w:t>
      </w:r>
      <w:proofErr w:type="gramEnd"/>
      <w:r w:rsidRPr="00013734">
        <w:rPr>
          <w:rFonts w:cs="Arial"/>
          <w:szCs w:val="24"/>
        </w:rPr>
        <w:t xml:space="preserve"> either the </w:t>
      </w:r>
      <w:r w:rsidR="00106C78">
        <w:rPr>
          <w:rFonts w:cs="Arial"/>
          <w:szCs w:val="24"/>
        </w:rPr>
        <w:t>average mark</w:t>
      </w:r>
      <w:r w:rsidRPr="00013734">
        <w:rPr>
          <w:rFonts w:cs="Arial"/>
          <w:szCs w:val="24"/>
        </w:rPr>
        <w:t xml:space="preserve"> for the final year must be at the higher classification standard</w:t>
      </w:r>
      <w:r w:rsidR="006C1FB3" w:rsidRPr="00013734">
        <w:rPr>
          <w:rFonts w:cs="Arial"/>
          <w:szCs w:val="24"/>
        </w:rPr>
        <w:t>,</w:t>
      </w:r>
      <w:r w:rsidRPr="00013734">
        <w:rPr>
          <w:rFonts w:cs="Arial"/>
          <w:szCs w:val="24"/>
        </w:rPr>
        <w:t xml:space="preserve"> or at least half the module marks across Levels 5 and 6 must be in the higher classification band for that classification to be awarded. The application of this discretion is governed by guidance specified in Appendix 12 to the Academic Regulations.</w:t>
      </w:r>
    </w:p>
    <w:p w14:paraId="792DC769" w14:textId="0FB58B65" w:rsidR="006C3B46" w:rsidRPr="00013734" w:rsidRDefault="00013734" w:rsidP="006C3B46">
      <w:pPr>
        <w:pStyle w:val="NoSpacing"/>
        <w:rPr>
          <w:rFonts w:cs="Arial"/>
          <w:szCs w:val="24"/>
        </w:rPr>
      </w:pPr>
      <w:r w:rsidRPr="00013734">
        <w:rPr>
          <w:rFonts w:cs="Arial"/>
          <w:szCs w:val="24"/>
        </w:rPr>
        <w:t xml:space="preserve"> </w:t>
      </w:r>
    </w:p>
    <w:p w14:paraId="40D7581B" w14:textId="6E7299AF" w:rsidR="006C3B46" w:rsidRDefault="006C1FB3" w:rsidP="006C3B46">
      <w:pPr>
        <w:pStyle w:val="NoSpacing"/>
        <w:rPr>
          <w:rFonts w:cs="Arial"/>
          <w:szCs w:val="24"/>
        </w:rPr>
      </w:pPr>
      <w:r w:rsidRPr="00013734">
        <w:rPr>
          <w:rFonts w:cs="Arial"/>
          <w:szCs w:val="24"/>
        </w:rPr>
        <w:t>Edge Hill’s</w:t>
      </w:r>
      <w:r w:rsidR="006C3B46" w:rsidRPr="00013734">
        <w:rPr>
          <w:rFonts w:cs="Arial"/>
          <w:szCs w:val="24"/>
        </w:rPr>
        <w:t xml:space="preserve"> classification algorithm is published on the University’s </w:t>
      </w:r>
      <w:hyperlink r:id="rId30" w:history="1">
        <w:r w:rsidR="006C3B46" w:rsidRPr="00FD6704">
          <w:rPr>
            <w:rStyle w:val="Hyperlink"/>
            <w:rFonts w:cs="Arial"/>
            <w:szCs w:val="24"/>
          </w:rPr>
          <w:t>Academic Regulations web pages</w:t>
        </w:r>
      </w:hyperlink>
      <w:r w:rsidR="006C3B46" w:rsidRPr="00013734">
        <w:rPr>
          <w:rFonts w:cs="Arial"/>
          <w:szCs w:val="24"/>
        </w:rPr>
        <w:t>. We also publish</w:t>
      </w:r>
      <w:r w:rsidRPr="00013734">
        <w:rPr>
          <w:rFonts w:cs="Arial"/>
          <w:szCs w:val="24"/>
        </w:rPr>
        <w:t xml:space="preserve"> an</w:t>
      </w:r>
      <w:r w:rsidR="006C3B46" w:rsidRPr="00013734">
        <w:rPr>
          <w:rFonts w:cs="Arial"/>
          <w:szCs w:val="24"/>
        </w:rPr>
        <w:t xml:space="preserve"> </w:t>
      </w:r>
      <w:r w:rsidRPr="0002368F">
        <w:rPr>
          <w:rFonts w:cs="Arial"/>
          <w:szCs w:val="24"/>
        </w:rPr>
        <w:t>explanation of classifications</w:t>
      </w:r>
      <w:r w:rsidR="006C3B46" w:rsidRPr="00013734">
        <w:rPr>
          <w:rFonts w:cs="Arial"/>
          <w:szCs w:val="24"/>
        </w:rPr>
        <w:t xml:space="preserve"> for students and ensure </w:t>
      </w:r>
      <w:r w:rsidRPr="00013734">
        <w:rPr>
          <w:rFonts w:cs="Arial"/>
          <w:szCs w:val="24"/>
        </w:rPr>
        <w:t>they</w:t>
      </w:r>
      <w:r w:rsidR="006C3B46" w:rsidRPr="00013734">
        <w:rPr>
          <w:rFonts w:cs="Arial"/>
          <w:szCs w:val="24"/>
        </w:rPr>
        <w:t xml:space="preserve"> are aware of this information through central communications and local briefings. </w:t>
      </w:r>
    </w:p>
    <w:p w14:paraId="31A2515C" w14:textId="3D589EB9" w:rsidR="00FA0B98" w:rsidRDefault="00FA0B98" w:rsidP="006C3B46">
      <w:pPr>
        <w:pStyle w:val="NoSpacing"/>
        <w:rPr>
          <w:rFonts w:cs="Arial"/>
          <w:szCs w:val="24"/>
        </w:rPr>
      </w:pPr>
    </w:p>
    <w:p w14:paraId="0BCDFB86" w14:textId="77777777" w:rsidR="0002368F" w:rsidRDefault="0002368F" w:rsidP="006C3B46">
      <w:pPr>
        <w:pStyle w:val="NoSpacing"/>
        <w:rPr>
          <w:rFonts w:cs="Arial"/>
          <w:szCs w:val="24"/>
        </w:rPr>
      </w:pPr>
    </w:p>
    <w:p w14:paraId="2652D4D7" w14:textId="52BBF0C7" w:rsidR="006B4981" w:rsidRDefault="006B4981" w:rsidP="006C3B46">
      <w:pPr>
        <w:pStyle w:val="NoSpacing"/>
        <w:rPr>
          <w:rFonts w:cs="Arial"/>
          <w:szCs w:val="24"/>
        </w:rPr>
      </w:pPr>
    </w:p>
    <w:p w14:paraId="223DCE28" w14:textId="77777777" w:rsidR="00FA0B98" w:rsidRDefault="00FA0B98" w:rsidP="006C3B46">
      <w:pPr>
        <w:pStyle w:val="NoSpacing"/>
        <w:rPr>
          <w:rFonts w:cs="Arial"/>
          <w:szCs w:val="24"/>
        </w:rPr>
      </w:pPr>
    </w:p>
    <w:p w14:paraId="6633F0AD" w14:textId="7A82AAC9" w:rsidR="00F11236" w:rsidRPr="00C76905" w:rsidRDefault="00F11236" w:rsidP="00F11236">
      <w:pPr>
        <w:pStyle w:val="NoSpacing"/>
        <w:rPr>
          <w:rFonts w:cs="Arial"/>
          <w:b/>
          <w:bCs/>
          <w:i/>
          <w:iCs/>
          <w:sz w:val="28"/>
          <w:szCs w:val="28"/>
        </w:rPr>
      </w:pPr>
      <w:r w:rsidRPr="00C76905">
        <w:rPr>
          <w:b/>
          <w:bCs/>
          <w:sz w:val="28"/>
          <w:szCs w:val="28"/>
        </w:rPr>
        <w:lastRenderedPageBreak/>
        <w:t>Coronav</w:t>
      </w:r>
      <w:r>
        <w:rPr>
          <w:b/>
          <w:bCs/>
          <w:sz w:val="28"/>
          <w:szCs w:val="28"/>
        </w:rPr>
        <w:t>i</w:t>
      </w:r>
      <w:r w:rsidRPr="00C76905">
        <w:rPr>
          <w:b/>
          <w:bCs/>
          <w:sz w:val="28"/>
          <w:szCs w:val="28"/>
        </w:rPr>
        <w:t>rus (COVID-19) Pandemic 2019/20</w:t>
      </w:r>
      <w:r>
        <w:rPr>
          <w:b/>
          <w:bCs/>
          <w:sz w:val="28"/>
          <w:szCs w:val="28"/>
        </w:rPr>
        <w:t xml:space="preserve"> and 2020/21 </w:t>
      </w:r>
      <w:r w:rsidRPr="00C76905">
        <w:rPr>
          <w:b/>
          <w:bCs/>
          <w:sz w:val="28"/>
          <w:szCs w:val="28"/>
        </w:rPr>
        <w:t xml:space="preserve"> </w:t>
      </w:r>
    </w:p>
    <w:p w14:paraId="71A513C2" w14:textId="77777777" w:rsidR="00F11236" w:rsidRDefault="00F11236" w:rsidP="00F11236">
      <w:pPr>
        <w:pStyle w:val="NoSpacing"/>
        <w:rPr>
          <w:rFonts w:cs="Arial"/>
          <w:i/>
          <w:iCs/>
          <w:szCs w:val="24"/>
        </w:rPr>
      </w:pPr>
    </w:p>
    <w:p w14:paraId="64F3DD6E" w14:textId="5AD40BCD" w:rsidR="00F11236" w:rsidRDefault="00F11236" w:rsidP="00F11236">
      <w:pPr>
        <w:pStyle w:val="NoSpacing"/>
      </w:pPr>
      <w:r>
        <w:t xml:space="preserve">In May 2020 the University approved a </w:t>
      </w:r>
      <w:r w:rsidRPr="00BF1BE7">
        <w:rPr>
          <w:i/>
          <w:iCs/>
        </w:rPr>
        <w:t>Framework for the Assessment, Progression and Award of Qualifications to Students undertaking taught programmes (incorporating Temporary Regulations)</w:t>
      </w:r>
      <w:r>
        <w:t xml:space="preserve">. This Framework was developed to mitigate the impacts of the Covid-19 Pandemic, and to allow for the assessment, progression and confirmation of credit and qualifications for students within an agreed set of academic standards in these extraordinary circumstances. At all stages in the development of this Framework, the University followed regulatory guidance from the Office for Students and advice from the Quality Assurance Agency. The provisions within the Framework were wide ranging, recognising the University’s pivot to online teaching and learning in March 2020, and the corresponding adjustments to teaching, learning and assessment strategies for the period. The main feature of the Temporary Regulations that had the potential to impact on classifications </w:t>
      </w:r>
      <w:r w:rsidR="00BF1BE7">
        <w:t xml:space="preserve">in 2020 </w:t>
      </w:r>
      <w:r>
        <w:t xml:space="preserve">was the introduction of a ‘no-detriment’ approach. That is, providing the threshold </w:t>
      </w:r>
      <w:r w:rsidRPr="00013734">
        <w:rPr>
          <w:rFonts w:cs="Arial"/>
          <w:szCs w:val="24"/>
        </w:rPr>
        <w:t>(Pass) standard</w:t>
      </w:r>
      <w:r>
        <w:t xml:space="preserve"> was met, marks achieved during the Pandemic were not counted if they fell below the student’s regular standard prior to the pandemic (‘the benchmark’). </w:t>
      </w:r>
      <w:r w:rsidR="00BF1BE7">
        <w:t>In view of the ongoing circumstances, Temporary Regulations were also applied in 2021</w:t>
      </w:r>
      <w:r w:rsidR="00940C5A">
        <w:t xml:space="preserve">, with a ‘safety net’ algorithm </w:t>
      </w:r>
      <w:r w:rsidR="0094100C">
        <w:t xml:space="preserve">designed to ensure that </w:t>
      </w:r>
      <w:r w:rsidR="001257E8">
        <w:t xml:space="preserve">marks impacted by the pandemic were weighted accordingly. </w:t>
      </w:r>
      <w:r w:rsidR="0094100C">
        <w:t xml:space="preserve"> </w:t>
      </w:r>
      <w:r w:rsidR="00776560">
        <w:t xml:space="preserve">Individual </w:t>
      </w:r>
      <w:r w:rsidR="00245221">
        <w:t xml:space="preserve">Academic Transcripts provide </w:t>
      </w:r>
      <w:r w:rsidR="00776560">
        <w:t>a</w:t>
      </w:r>
      <w:r w:rsidR="00245221">
        <w:t xml:space="preserve"> full account of marks achieved and how these correspond with </w:t>
      </w:r>
      <w:r w:rsidR="00776560">
        <w:t xml:space="preserve">the </w:t>
      </w:r>
      <w:r w:rsidR="00245221">
        <w:t xml:space="preserve">final classification. </w:t>
      </w:r>
    </w:p>
    <w:p w14:paraId="63A258C2" w14:textId="77777777" w:rsidR="00F11236" w:rsidRDefault="00F11236" w:rsidP="006C3B46">
      <w:pPr>
        <w:pStyle w:val="NoSpacing"/>
        <w:rPr>
          <w:rFonts w:cs="Arial"/>
          <w:szCs w:val="24"/>
        </w:rPr>
      </w:pPr>
    </w:p>
    <w:p w14:paraId="181DDFA8" w14:textId="7AEFC669"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t xml:space="preserve">Teaching </w:t>
      </w:r>
      <w:r w:rsidR="001F3D1D">
        <w:rPr>
          <w:rFonts w:ascii="Arial" w:hAnsi="Arial" w:cs="Arial"/>
          <w:b/>
          <w:color w:val="auto"/>
          <w:sz w:val="28"/>
          <w:szCs w:val="28"/>
        </w:rPr>
        <w:t>P</w:t>
      </w:r>
      <w:r w:rsidRPr="00013734">
        <w:rPr>
          <w:rFonts w:ascii="Arial" w:hAnsi="Arial" w:cs="Arial"/>
          <w:b/>
          <w:color w:val="auto"/>
          <w:sz w:val="28"/>
          <w:szCs w:val="28"/>
        </w:rPr>
        <w:t xml:space="preserve">ractices and </w:t>
      </w:r>
      <w:r w:rsidR="001F3D1D">
        <w:rPr>
          <w:rFonts w:ascii="Arial" w:hAnsi="Arial" w:cs="Arial"/>
          <w:b/>
          <w:color w:val="auto"/>
          <w:sz w:val="28"/>
          <w:szCs w:val="28"/>
        </w:rPr>
        <w:t>L</w:t>
      </w:r>
      <w:r w:rsidRPr="00013734">
        <w:rPr>
          <w:rFonts w:ascii="Arial" w:hAnsi="Arial" w:cs="Arial"/>
          <w:b/>
          <w:color w:val="auto"/>
          <w:sz w:val="28"/>
          <w:szCs w:val="28"/>
        </w:rPr>
        <w:t xml:space="preserve">earning </w:t>
      </w:r>
      <w:r w:rsidR="001F3D1D">
        <w:rPr>
          <w:rFonts w:ascii="Arial" w:hAnsi="Arial" w:cs="Arial"/>
          <w:b/>
          <w:color w:val="auto"/>
          <w:sz w:val="28"/>
          <w:szCs w:val="28"/>
        </w:rPr>
        <w:t>R</w:t>
      </w:r>
      <w:r w:rsidRPr="00013734">
        <w:rPr>
          <w:rFonts w:ascii="Arial" w:hAnsi="Arial" w:cs="Arial"/>
          <w:b/>
          <w:color w:val="auto"/>
          <w:sz w:val="28"/>
          <w:szCs w:val="28"/>
        </w:rPr>
        <w:t xml:space="preserve">esources </w:t>
      </w:r>
    </w:p>
    <w:p w14:paraId="4D19F258" w14:textId="77777777" w:rsidR="007D1CE8" w:rsidRPr="003C20E5" w:rsidRDefault="007D1CE8" w:rsidP="007D1CE8">
      <w:pPr>
        <w:pStyle w:val="NoSpacing"/>
        <w:rPr>
          <w:rFonts w:cs="Arial"/>
          <w:szCs w:val="24"/>
        </w:rPr>
      </w:pPr>
    </w:p>
    <w:p w14:paraId="7772EA4A" w14:textId="4A0A03BB" w:rsidR="007D1CE8" w:rsidRPr="003C20E5" w:rsidRDefault="007D1CE8" w:rsidP="007D1CE8">
      <w:pPr>
        <w:pStyle w:val="NoSpacing"/>
        <w:rPr>
          <w:rFonts w:cs="Arial"/>
          <w:szCs w:val="24"/>
        </w:rPr>
      </w:pPr>
      <w:r w:rsidRPr="003C20E5">
        <w:rPr>
          <w:rFonts w:cs="Arial"/>
          <w:szCs w:val="24"/>
        </w:rPr>
        <w:t xml:space="preserve">University-led improvements to teaching, assessment and student support have had a cumulative positive impact on degree outcomes </w:t>
      </w:r>
      <w:r w:rsidR="00F7596D">
        <w:rPr>
          <w:rFonts w:cs="Arial"/>
          <w:szCs w:val="24"/>
        </w:rPr>
        <w:t>over</w:t>
      </w:r>
      <w:r w:rsidRPr="003C20E5">
        <w:rPr>
          <w:rFonts w:cs="Arial"/>
          <w:szCs w:val="24"/>
        </w:rPr>
        <w:t xml:space="preserve"> the last five years. A Taught Degrees Framework</w:t>
      </w:r>
      <w:r w:rsidR="00B5279C" w:rsidRPr="003C20E5">
        <w:rPr>
          <w:rFonts w:cs="Arial"/>
          <w:szCs w:val="24"/>
        </w:rPr>
        <w:t xml:space="preserve"> </w:t>
      </w:r>
      <w:r w:rsidRPr="003C20E5">
        <w:rPr>
          <w:rFonts w:cs="Arial"/>
          <w:szCs w:val="24"/>
        </w:rPr>
        <w:t xml:space="preserve">supports curriculum design and delivery by requiring that </w:t>
      </w:r>
      <w:r w:rsidR="006C1FB3" w:rsidRPr="003C20E5">
        <w:rPr>
          <w:rFonts w:cs="Arial"/>
          <w:szCs w:val="24"/>
        </w:rPr>
        <w:t>course</w:t>
      </w:r>
      <w:r w:rsidRPr="003C20E5">
        <w:rPr>
          <w:rFonts w:cs="Arial"/>
          <w:szCs w:val="24"/>
        </w:rPr>
        <w:t xml:space="preserve"> teams systematically plan and describe the ‘student journey’ from induction, through in-programme transitions to graduation and employment or </w:t>
      </w:r>
      <w:r w:rsidR="006C1FB3" w:rsidRPr="003C20E5">
        <w:rPr>
          <w:rFonts w:cs="Arial"/>
          <w:szCs w:val="24"/>
        </w:rPr>
        <w:t>further</w:t>
      </w:r>
      <w:r w:rsidRPr="003C20E5">
        <w:rPr>
          <w:rFonts w:cs="Arial"/>
          <w:szCs w:val="24"/>
        </w:rPr>
        <w:t xml:space="preserve"> study. Specific sections</w:t>
      </w:r>
      <w:r w:rsidR="006C1FB3" w:rsidRPr="003C20E5">
        <w:rPr>
          <w:rFonts w:cs="Arial"/>
          <w:szCs w:val="24"/>
        </w:rPr>
        <w:t xml:space="preserve"> of the Framework</w:t>
      </w:r>
      <w:r w:rsidRPr="003C20E5">
        <w:rPr>
          <w:rFonts w:cs="Arial"/>
          <w:szCs w:val="24"/>
        </w:rPr>
        <w:t xml:space="preserve"> provide advice and guidance on developing students’ academic and employability skills and integrating work-related and placement learning with</w:t>
      </w:r>
      <w:r w:rsidR="009A6A7D" w:rsidRPr="003C20E5">
        <w:rPr>
          <w:rFonts w:cs="Arial"/>
          <w:szCs w:val="24"/>
        </w:rPr>
        <w:t>in the curriculum</w:t>
      </w:r>
      <w:r w:rsidRPr="003C20E5">
        <w:rPr>
          <w:rFonts w:cs="Arial"/>
          <w:szCs w:val="24"/>
        </w:rPr>
        <w:t xml:space="preserve">. Separate </w:t>
      </w:r>
      <w:r w:rsidR="006C1FB3" w:rsidRPr="003C20E5">
        <w:rPr>
          <w:rFonts w:cs="Arial"/>
          <w:szCs w:val="24"/>
        </w:rPr>
        <w:t xml:space="preserve">guidance </w:t>
      </w:r>
      <w:r w:rsidRPr="003C20E5">
        <w:rPr>
          <w:rFonts w:cs="Arial"/>
          <w:szCs w:val="24"/>
        </w:rPr>
        <w:t>govern</w:t>
      </w:r>
      <w:r w:rsidR="006C1FB3" w:rsidRPr="003C20E5">
        <w:rPr>
          <w:rFonts w:cs="Arial"/>
          <w:szCs w:val="24"/>
        </w:rPr>
        <w:t>s</w:t>
      </w:r>
      <w:r w:rsidRPr="003C20E5">
        <w:rPr>
          <w:rFonts w:cs="Arial"/>
          <w:szCs w:val="24"/>
        </w:rPr>
        <w:t xml:space="preserve"> the use of learning technologies, including our</w:t>
      </w:r>
      <w:r w:rsidR="009A6A7D" w:rsidRPr="003C20E5">
        <w:rPr>
          <w:rFonts w:cs="Arial"/>
          <w:szCs w:val="24"/>
        </w:rPr>
        <w:t xml:space="preserve"> ‘Learning Edge’ </w:t>
      </w:r>
      <w:r w:rsidRPr="003C20E5">
        <w:rPr>
          <w:rFonts w:cs="Arial"/>
          <w:szCs w:val="24"/>
        </w:rPr>
        <w:t xml:space="preserve">Blackboard virtual learning environment, </w:t>
      </w:r>
      <w:r w:rsidR="003C20E5" w:rsidRPr="003C20E5">
        <w:rPr>
          <w:rStyle w:val="cf01"/>
          <w:rFonts w:ascii="Arial" w:hAnsi="Arial" w:cs="Arial"/>
          <w:sz w:val="24"/>
          <w:szCs w:val="24"/>
        </w:rPr>
        <w:t xml:space="preserve">which supports independent study and preparation for assessment, </w:t>
      </w:r>
      <w:r w:rsidRPr="003C20E5">
        <w:rPr>
          <w:rFonts w:cs="Arial"/>
          <w:szCs w:val="24"/>
        </w:rPr>
        <w:t xml:space="preserve">and the operation of personal academic tutoring and student peer mentoring. Learning </w:t>
      </w:r>
      <w:r w:rsidR="009A6A7D" w:rsidRPr="003C20E5">
        <w:rPr>
          <w:rFonts w:cs="Arial"/>
          <w:szCs w:val="24"/>
        </w:rPr>
        <w:t xml:space="preserve">resources and </w:t>
      </w:r>
      <w:r w:rsidRPr="003C20E5">
        <w:rPr>
          <w:rFonts w:cs="Arial"/>
          <w:szCs w:val="24"/>
        </w:rPr>
        <w:t>support ha</w:t>
      </w:r>
      <w:r w:rsidR="009A6A7D" w:rsidRPr="003C20E5">
        <w:rPr>
          <w:rFonts w:cs="Arial"/>
          <w:szCs w:val="24"/>
        </w:rPr>
        <w:t>ve</w:t>
      </w:r>
      <w:r w:rsidRPr="003C20E5">
        <w:rPr>
          <w:rFonts w:cs="Arial"/>
          <w:szCs w:val="24"/>
        </w:rPr>
        <w:t xml:space="preserve"> been enhanced and expanded over time</w:t>
      </w:r>
      <w:r w:rsidR="00D44985" w:rsidRPr="003C20E5">
        <w:rPr>
          <w:rFonts w:cs="Arial"/>
          <w:szCs w:val="24"/>
        </w:rPr>
        <w:t>, including the</w:t>
      </w:r>
      <w:r w:rsidRPr="003C20E5">
        <w:rPr>
          <w:rFonts w:cs="Arial"/>
          <w:szCs w:val="24"/>
        </w:rPr>
        <w:t xml:space="preserve"> £26 million development </w:t>
      </w:r>
      <w:r w:rsidR="00D44985" w:rsidRPr="003C20E5">
        <w:rPr>
          <w:rFonts w:cs="Arial"/>
          <w:szCs w:val="24"/>
        </w:rPr>
        <w:t>of our Catalyst centre in 2018 to house</w:t>
      </w:r>
      <w:r w:rsidRPr="003C20E5">
        <w:rPr>
          <w:rFonts w:cs="Arial"/>
          <w:szCs w:val="24"/>
        </w:rPr>
        <w:t xml:space="preserve"> library and learning services, student support and careers advisors</w:t>
      </w:r>
      <w:r w:rsidR="006C1FB3" w:rsidRPr="003C20E5">
        <w:rPr>
          <w:rFonts w:cs="Arial"/>
          <w:szCs w:val="24"/>
        </w:rPr>
        <w:t>,</w:t>
      </w:r>
      <w:r w:rsidRPr="003C20E5">
        <w:rPr>
          <w:rFonts w:cs="Arial"/>
          <w:szCs w:val="24"/>
        </w:rPr>
        <w:t xml:space="preserve"> including support for students with specific learning difficulties or disabilities. Generous IT provision is available to all students, and specialist labs, studios and simulation facilities support the delivery of individual subjects. Student satisfaction with</w:t>
      </w:r>
      <w:r w:rsidR="00815CDF" w:rsidRPr="003C20E5">
        <w:rPr>
          <w:rFonts w:cs="Arial"/>
          <w:szCs w:val="24"/>
        </w:rPr>
        <w:t xml:space="preserve"> </w:t>
      </w:r>
      <w:r w:rsidRPr="003C20E5">
        <w:rPr>
          <w:rFonts w:cs="Arial"/>
          <w:szCs w:val="24"/>
        </w:rPr>
        <w:t>learning resources exceeded the national average in the 20</w:t>
      </w:r>
      <w:r w:rsidR="00B84032" w:rsidRPr="003C20E5">
        <w:rPr>
          <w:rFonts w:cs="Arial"/>
          <w:szCs w:val="24"/>
        </w:rPr>
        <w:t>2</w:t>
      </w:r>
      <w:r w:rsidR="00C60589" w:rsidRPr="003C20E5">
        <w:rPr>
          <w:rFonts w:cs="Arial"/>
          <w:szCs w:val="24"/>
        </w:rPr>
        <w:t>2</w:t>
      </w:r>
      <w:r w:rsidRPr="003C20E5">
        <w:rPr>
          <w:rFonts w:cs="Arial"/>
          <w:szCs w:val="24"/>
        </w:rPr>
        <w:t xml:space="preserve"> NSS</w:t>
      </w:r>
      <w:r w:rsidR="00815CDF" w:rsidRPr="003C20E5">
        <w:rPr>
          <w:rFonts w:cs="Arial"/>
          <w:szCs w:val="24"/>
        </w:rPr>
        <w:t xml:space="preserve">, at </w:t>
      </w:r>
      <w:r w:rsidR="00C60589" w:rsidRPr="003C20E5">
        <w:rPr>
          <w:rFonts w:cs="Arial"/>
          <w:szCs w:val="24"/>
        </w:rPr>
        <w:t>86.1%</w:t>
      </w:r>
      <w:r w:rsidR="00815CDF" w:rsidRPr="003C20E5">
        <w:rPr>
          <w:rFonts w:cs="Arial"/>
          <w:szCs w:val="24"/>
        </w:rPr>
        <w:t xml:space="preserve"> (compared to the average of </w:t>
      </w:r>
      <w:r w:rsidR="00C60589" w:rsidRPr="003C20E5">
        <w:rPr>
          <w:rFonts w:cs="Arial"/>
          <w:szCs w:val="24"/>
        </w:rPr>
        <w:t xml:space="preserve">80.9%). </w:t>
      </w:r>
    </w:p>
    <w:p w14:paraId="1C6A658E" w14:textId="77777777" w:rsidR="00B8203F" w:rsidRPr="00013734" w:rsidRDefault="00B8203F" w:rsidP="007D1CE8">
      <w:pPr>
        <w:pStyle w:val="NoSpacing"/>
        <w:rPr>
          <w:rFonts w:cs="Arial"/>
          <w:szCs w:val="24"/>
        </w:rPr>
      </w:pPr>
    </w:p>
    <w:p w14:paraId="50949D6C" w14:textId="5199AF42" w:rsidR="00841548" w:rsidRDefault="00841548" w:rsidP="007D1CE8">
      <w:pPr>
        <w:pStyle w:val="NoSpacing"/>
        <w:rPr>
          <w:rFonts w:cs="Arial"/>
          <w:szCs w:val="24"/>
        </w:rPr>
      </w:pPr>
    </w:p>
    <w:p w14:paraId="0FE54A13" w14:textId="77777777" w:rsidR="00C60589" w:rsidRPr="00013734" w:rsidRDefault="00C60589" w:rsidP="007D1CE8">
      <w:pPr>
        <w:pStyle w:val="NoSpacing"/>
        <w:rPr>
          <w:rFonts w:cs="Arial"/>
          <w:szCs w:val="24"/>
        </w:rPr>
      </w:pPr>
    </w:p>
    <w:p w14:paraId="3A98455D" w14:textId="4E91050D"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lastRenderedPageBreak/>
        <w:t xml:space="preserve">Identifying </w:t>
      </w:r>
      <w:r w:rsidR="00A95CF1">
        <w:rPr>
          <w:rFonts w:ascii="Arial" w:hAnsi="Arial" w:cs="Arial"/>
          <w:b/>
          <w:color w:val="auto"/>
          <w:sz w:val="28"/>
          <w:szCs w:val="28"/>
        </w:rPr>
        <w:t>G</w:t>
      </w:r>
      <w:r w:rsidRPr="00013734">
        <w:rPr>
          <w:rFonts w:ascii="Arial" w:hAnsi="Arial" w:cs="Arial"/>
          <w:b/>
          <w:color w:val="auto"/>
          <w:sz w:val="28"/>
          <w:szCs w:val="28"/>
        </w:rPr>
        <w:t xml:space="preserve">ood </w:t>
      </w:r>
      <w:r w:rsidR="00A95CF1">
        <w:rPr>
          <w:rFonts w:ascii="Arial" w:hAnsi="Arial" w:cs="Arial"/>
          <w:b/>
          <w:color w:val="auto"/>
          <w:sz w:val="28"/>
          <w:szCs w:val="28"/>
        </w:rPr>
        <w:t>P</w:t>
      </w:r>
      <w:r w:rsidRPr="00013734">
        <w:rPr>
          <w:rFonts w:ascii="Arial" w:hAnsi="Arial" w:cs="Arial"/>
          <w:b/>
          <w:color w:val="auto"/>
          <w:sz w:val="28"/>
          <w:szCs w:val="28"/>
        </w:rPr>
        <w:t xml:space="preserve">ractice and </w:t>
      </w:r>
      <w:r w:rsidR="00A95CF1">
        <w:rPr>
          <w:rFonts w:ascii="Arial" w:hAnsi="Arial" w:cs="Arial"/>
          <w:b/>
          <w:color w:val="auto"/>
          <w:sz w:val="28"/>
          <w:szCs w:val="28"/>
        </w:rPr>
        <w:t>A</w:t>
      </w:r>
      <w:r w:rsidRPr="00013734">
        <w:rPr>
          <w:rFonts w:ascii="Arial" w:hAnsi="Arial" w:cs="Arial"/>
          <w:b/>
          <w:color w:val="auto"/>
          <w:sz w:val="28"/>
          <w:szCs w:val="28"/>
        </w:rPr>
        <w:t xml:space="preserve">ctions </w:t>
      </w:r>
    </w:p>
    <w:p w14:paraId="7EA9CCC2" w14:textId="77777777" w:rsidR="007D1CE8" w:rsidRPr="00013734" w:rsidRDefault="007D1CE8" w:rsidP="007D1CE8">
      <w:pPr>
        <w:pStyle w:val="NoSpacing"/>
        <w:rPr>
          <w:rFonts w:cs="Arial"/>
          <w:szCs w:val="24"/>
        </w:rPr>
      </w:pPr>
    </w:p>
    <w:p w14:paraId="532135B9" w14:textId="71B8ED6A" w:rsidR="007D1CE8" w:rsidRPr="00013734" w:rsidRDefault="007D1CE8" w:rsidP="007D1CE8">
      <w:pPr>
        <w:autoSpaceDE w:val="0"/>
        <w:autoSpaceDN w:val="0"/>
        <w:adjustRightInd w:val="0"/>
        <w:spacing w:line="240" w:lineRule="auto"/>
        <w:rPr>
          <w:rFonts w:ascii="Arial" w:hAnsi="Arial" w:cs="Arial"/>
          <w:sz w:val="24"/>
          <w:szCs w:val="24"/>
        </w:rPr>
      </w:pPr>
      <w:r w:rsidRPr="00295BF4">
        <w:rPr>
          <w:rFonts w:ascii="Arial" w:hAnsi="Arial" w:cs="Arial"/>
          <w:sz w:val="24"/>
          <w:szCs w:val="24"/>
        </w:rPr>
        <w:t xml:space="preserve">Many of our innovations have resulted from high-level, cross-faculty </w:t>
      </w:r>
      <w:r w:rsidR="00AF7B2F" w:rsidRPr="00295BF4">
        <w:rPr>
          <w:rFonts w:ascii="Arial" w:hAnsi="Arial" w:cs="Arial"/>
          <w:sz w:val="24"/>
          <w:szCs w:val="24"/>
        </w:rPr>
        <w:t xml:space="preserve">projects and </w:t>
      </w:r>
      <w:r w:rsidRPr="00295BF4">
        <w:rPr>
          <w:rFonts w:ascii="Arial" w:hAnsi="Arial" w:cs="Arial"/>
          <w:sz w:val="24"/>
          <w:szCs w:val="24"/>
        </w:rPr>
        <w:t>developmental enquiries</w:t>
      </w:r>
      <w:r w:rsidR="00F57BD7" w:rsidRPr="00295BF4">
        <w:rPr>
          <w:rFonts w:ascii="Arial" w:hAnsi="Arial" w:cs="Arial"/>
          <w:sz w:val="24"/>
          <w:szCs w:val="24"/>
        </w:rPr>
        <w:t xml:space="preserve">, </w:t>
      </w:r>
      <w:r w:rsidR="0003223A" w:rsidRPr="00295BF4">
        <w:rPr>
          <w:rFonts w:ascii="Arial" w:hAnsi="Arial" w:cs="Arial"/>
          <w:sz w:val="24"/>
          <w:szCs w:val="24"/>
        </w:rPr>
        <w:t xml:space="preserve">all </w:t>
      </w:r>
      <w:r w:rsidR="00F57BD7" w:rsidRPr="00295BF4">
        <w:rPr>
          <w:rFonts w:ascii="Arial" w:hAnsi="Arial" w:cs="Arial"/>
          <w:sz w:val="24"/>
          <w:szCs w:val="24"/>
        </w:rPr>
        <w:t xml:space="preserve">aligned with the University’s over-arching </w:t>
      </w:r>
      <w:hyperlink r:id="rId31" w:history="1">
        <w:r w:rsidR="00F57BD7" w:rsidRPr="00295BF4">
          <w:rPr>
            <w:rStyle w:val="Hyperlink"/>
            <w:rFonts w:ascii="Arial" w:hAnsi="Arial" w:cs="Arial"/>
            <w:sz w:val="24"/>
            <w:szCs w:val="24"/>
          </w:rPr>
          <w:t>strategy</w:t>
        </w:r>
      </w:hyperlink>
      <w:r w:rsidR="00F57BD7" w:rsidRPr="00295BF4">
        <w:rPr>
          <w:rFonts w:ascii="Arial" w:hAnsi="Arial" w:cs="Arial"/>
          <w:sz w:val="24"/>
          <w:szCs w:val="24"/>
        </w:rPr>
        <w:t xml:space="preserve"> and</w:t>
      </w:r>
      <w:r w:rsidRPr="00295BF4">
        <w:rPr>
          <w:rFonts w:ascii="Arial" w:hAnsi="Arial" w:cs="Arial"/>
          <w:sz w:val="24"/>
          <w:szCs w:val="24"/>
        </w:rPr>
        <w:t xml:space="preserve"> designed to address areas for improvement as well as exposing and sharing good practice</w:t>
      </w:r>
      <w:r w:rsidR="008C1282" w:rsidRPr="00295BF4">
        <w:rPr>
          <w:rFonts w:ascii="Arial" w:hAnsi="Arial" w:cs="Arial"/>
          <w:sz w:val="24"/>
          <w:szCs w:val="24"/>
        </w:rPr>
        <w:t>,</w:t>
      </w:r>
      <w:r w:rsidRPr="00295BF4">
        <w:rPr>
          <w:rFonts w:ascii="Arial" w:hAnsi="Arial" w:cs="Arial"/>
          <w:sz w:val="24"/>
          <w:szCs w:val="24"/>
        </w:rPr>
        <w:t xml:space="preserve"> thus benefiting students across our whole portfolio</w:t>
      </w:r>
      <w:r w:rsidR="00F57BD7" w:rsidRPr="00295BF4">
        <w:rPr>
          <w:rFonts w:ascii="Arial" w:hAnsi="Arial" w:cs="Arial"/>
          <w:sz w:val="24"/>
          <w:szCs w:val="24"/>
        </w:rPr>
        <w:t xml:space="preserve"> of degrees</w:t>
      </w:r>
      <w:r w:rsidRPr="00295BF4">
        <w:rPr>
          <w:rFonts w:ascii="Arial" w:hAnsi="Arial" w:cs="Arial"/>
          <w:sz w:val="24"/>
          <w:szCs w:val="24"/>
        </w:rPr>
        <w:t>.</w:t>
      </w:r>
      <w:r w:rsidR="00AF7B2F" w:rsidRPr="00295BF4">
        <w:rPr>
          <w:rFonts w:ascii="Arial" w:hAnsi="Arial" w:cs="Arial"/>
          <w:sz w:val="24"/>
          <w:szCs w:val="24"/>
        </w:rPr>
        <w:t xml:space="preserve"> Programme design prioritises equal opportunity and inclusive learning in line with </w:t>
      </w:r>
      <w:proofErr w:type="gramStart"/>
      <w:r w:rsidR="00AF7B2F" w:rsidRPr="00295BF4">
        <w:rPr>
          <w:rFonts w:ascii="Arial" w:hAnsi="Arial" w:cs="Arial"/>
          <w:sz w:val="24"/>
          <w:szCs w:val="24"/>
        </w:rPr>
        <w:t>University</w:t>
      </w:r>
      <w:proofErr w:type="gramEnd"/>
      <w:r w:rsidR="00AF7B2F" w:rsidRPr="00295BF4">
        <w:rPr>
          <w:rFonts w:ascii="Arial" w:hAnsi="Arial" w:cs="Arial"/>
          <w:sz w:val="24"/>
          <w:szCs w:val="24"/>
        </w:rPr>
        <w:t xml:space="preserve"> strategy for widening </w:t>
      </w:r>
      <w:hyperlink r:id="rId32" w:history="1">
        <w:r w:rsidR="00AF7B2F" w:rsidRPr="00295BF4">
          <w:rPr>
            <w:rStyle w:val="Hyperlink"/>
            <w:rFonts w:ascii="Arial" w:hAnsi="Arial" w:cs="Arial"/>
            <w:sz w:val="24"/>
            <w:szCs w:val="24"/>
          </w:rPr>
          <w:t>access and participation</w:t>
        </w:r>
      </w:hyperlink>
      <w:r w:rsidR="00F7596D">
        <w:rPr>
          <w:rFonts w:ascii="Arial" w:hAnsi="Arial" w:cs="Arial"/>
          <w:sz w:val="24"/>
          <w:szCs w:val="24"/>
        </w:rPr>
        <w:t>. P</w:t>
      </w:r>
      <w:r w:rsidR="00F57BD7" w:rsidRPr="00295BF4">
        <w:rPr>
          <w:rFonts w:ascii="Arial" w:hAnsi="Arial" w:cs="Arial"/>
          <w:sz w:val="24"/>
          <w:szCs w:val="24"/>
        </w:rPr>
        <w:t xml:space="preserve">olicies and procedures for reasonable adjustments and </w:t>
      </w:r>
      <w:r w:rsidR="00360EB7">
        <w:rPr>
          <w:rFonts w:ascii="Arial" w:hAnsi="Arial" w:cs="Arial"/>
          <w:sz w:val="24"/>
          <w:szCs w:val="24"/>
        </w:rPr>
        <w:t>personal</w:t>
      </w:r>
      <w:r w:rsidR="00F57BD7" w:rsidRPr="00295BF4">
        <w:rPr>
          <w:rFonts w:ascii="Arial" w:hAnsi="Arial" w:cs="Arial"/>
          <w:sz w:val="24"/>
          <w:szCs w:val="24"/>
        </w:rPr>
        <w:t xml:space="preserve"> circumstances help ensure that individuals</w:t>
      </w:r>
      <w:r w:rsidR="00F7596D">
        <w:rPr>
          <w:rFonts w:ascii="Arial" w:hAnsi="Arial" w:cs="Arial"/>
          <w:sz w:val="24"/>
          <w:szCs w:val="24"/>
        </w:rPr>
        <w:t>,</w:t>
      </w:r>
      <w:r w:rsidR="00F57BD7" w:rsidRPr="00295BF4">
        <w:rPr>
          <w:rFonts w:ascii="Arial" w:hAnsi="Arial" w:cs="Arial"/>
          <w:sz w:val="24"/>
          <w:szCs w:val="24"/>
        </w:rPr>
        <w:t xml:space="preserve"> including </w:t>
      </w:r>
      <w:r w:rsidR="0003223A" w:rsidRPr="00295BF4">
        <w:rPr>
          <w:rFonts w:ascii="Arial" w:hAnsi="Arial" w:cs="Arial"/>
          <w:sz w:val="24"/>
          <w:szCs w:val="24"/>
        </w:rPr>
        <w:t xml:space="preserve">those </w:t>
      </w:r>
      <w:r w:rsidR="00F57BD7" w:rsidRPr="00295BF4">
        <w:rPr>
          <w:rFonts w:ascii="Arial" w:hAnsi="Arial" w:cs="Arial"/>
          <w:sz w:val="24"/>
          <w:szCs w:val="24"/>
        </w:rPr>
        <w:t>with specific learning difficulties or disabilities</w:t>
      </w:r>
      <w:r w:rsidR="00F7596D">
        <w:rPr>
          <w:rFonts w:ascii="Arial" w:hAnsi="Arial" w:cs="Arial"/>
          <w:sz w:val="24"/>
          <w:szCs w:val="24"/>
        </w:rPr>
        <w:t>,</w:t>
      </w:r>
      <w:r w:rsidR="00F57BD7" w:rsidRPr="00295BF4">
        <w:rPr>
          <w:rFonts w:ascii="Arial" w:hAnsi="Arial" w:cs="Arial"/>
          <w:sz w:val="24"/>
          <w:szCs w:val="24"/>
        </w:rPr>
        <w:t xml:space="preserve"> are not disadvantaged</w:t>
      </w:r>
      <w:r w:rsidR="00AF7B2F" w:rsidRPr="00295BF4">
        <w:rPr>
          <w:rFonts w:ascii="Arial" w:hAnsi="Arial" w:cs="Arial"/>
          <w:sz w:val="24"/>
          <w:szCs w:val="24"/>
        </w:rPr>
        <w:t>.</w:t>
      </w:r>
      <w:r w:rsidRPr="00295BF4">
        <w:rPr>
          <w:rFonts w:ascii="Arial" w:hAnsi="Arial" w:cs="Arial"/>
          <w:sz w:val="24"/>
          <w:szCs w:val="24"/>
        </w:rPr>
        <w:t xml:space="preserve"> The </w:t>
      </w:r>
      <w:r w:rsidRPr="00295BF4">
        <w:rPr>
          <w:rFonts w:ascii="Arial" w:eastAsia="Times New Roman" w:hAnsi="Arial" w:cs="Arial"/>
          <w:sz w:val="24"/>
          <w:szCs w:val="24"/>
        </w:rPr>
        <w:t>Taught Degrees Framework sets specific expectations of high-quality assessment to which have been added a series of ‘baseline</w:t>
      </w:r>
      <w:r w:rsidR="008C1282" w:rsidRPr="00295BF4">
        <w:rPr>
          <w:rFonts w:ascii="Arial" w:eastAsia="Times New Roman" w:hAnsi="Arial" w:cs="Arial"/>
          <w:sz w:val="24"/>
          <w:szCs w:val="24"/>
        </w:rPr>
        <w:t>’</w:t>
      </w:r>
      <w:r w:rsidRPr="00295BF4">
        <w:rPr>
          <w:rFonts w:ascii="Arial" w:eastAsia="Times New Roman" w:hAnsi="Arial" w:cs="Arial"/>
          <w:sz w:val="24"/>
          <w:szCs w:val="24"/>
        </w:rPr>
        <w:t xml:space="preserve"> assessment practices which all programmes must follow. A ‘What You Need </w:t>
      </w:r>
      <w:proofErr w:type="gramStart"/>
      <w:r w:rsidRPr="00295BF4">
        <w:rPr>
          <w:rFonts w:ascii="Arial" w:eastAsia="Times New Roman" w:hAnsi="Arial" w:cs="Arial"/>
          <w:sz w:val="24"/>
          <w:szCs w:val="24"/>
        </w:rPr>
        <w:t>To</w:t>
      </w:r>
      <w:proofErr w:type="gramEnd"/>
      <w:r w:rsidRPr="00295BF4">
        <w:rPr>
          <w:rFonts w:ascii="Arial" w:eastAsia="Times New Roman" w:hAnsi="Arial" w:cs="Arial"/>
          <w:sz w:val="24"/>
          <w:szCs w:val="24"/>
        </w:rPr>
        <w:t xml:space="preserve"> Know About Assessment’ Guide, written in plain English and accessible by all students, focuses on developing their understanding of assessment, the nature of feedback and how to use it effectively. </w:t>
      </w:r>
      <w:r w:rsidR="008F1B20" w:rsidRPr="00295BF4">
        <w:rPr>
          <w:rFonts w:ascii="Arial" w:eastAsia="Times New Roman" w:hAnsi="Arial" w:cs="Arial"/>
          <w:sz w:val="24"/>
          <w:szCs w:val="24"/>
        </w:rPr>
        <w:t>Training and mentoring are provided for internal assessors</w:t>
      </w:r>
      <w:r w:rsidR="009A5B39">
        <w:rPr>
          <w:rFonts w:ascii="Arial" w:eastAsia="Times New Roman" w:hAnsi="Arial" w:cs="Arial"/>
          <w:sz w:val="24"/>
          <w:szCs w:val="24"/>
        </w:rPr>
        <w:t xml:space="preserve">, including a successful </w:t>
      </w:r>
      <w:r w:rsidR="008F1B20">
        <w:rPr>
          <w:rFonts w:ascii="Arial" w:hAnsi="Arial" w:cs="Arial"/>
          <w:sz w:val="24"/>
          <w:szCs w:val="24"/>
        </w:rPr>
        <w:t>pilot</w:t>
      </w:r>
      <w:r w:rsidR="009A5B39">
        <w:rPr>
          <w:rFonts w:ascii="Arial" w:hAnsi="Arial" w:cs="Arial"/>
          <w:sz w:val="24"/>
          <w:szCs w:val="24"/>
        </w:rPr>
        <w:t xml:space="preserve"> in 2022</w:t>
      </w:r>
      <w:r w:rsidR="008F1B20">
        <w:rPr>
          <w:rFonts w:ascii="Arial" w:hAnsi="Arial" w:cs="Arial"/>
          <w:sz w:val="24"/>
          <w:szCs w:val="24"/>
        </w:rPr>
        <w:t xml:space="preserve"> </w:t>
      </w:r>
      <w:r w:rsidR="004B3E6E">
        <w:rPr>
          <w:rFonts w:ascii="Arial" w:hAnsi="Arial" w:cs="Arial"/>
          <w:sz w:val="24"/>
          <w:szCs w:val="24"/>
        </w:rPr>
        <w:t xml:space="preserve">through </w:t>
      </w:r>
      <w:r w:rsidR="0009387E">
        <w:rPr>
          <w:rFonts w:ascii="Arial" w:hAnsi="Arial" w:cs="Arial"/>
          <w:sz w:val="24"/>
          <w:szCs w:val="24"/>
        </w:rPr>
        <w:t>which the University delivered</w:t>
      </w:r>
      <w:r w:rsidR="008F1B20" w:rsidRPr="00295BF4">
        <w:rPr>
          <w:rFonts w:ascii="Arial" w:hAnsi="Arial" w:cs="Arial"/>
          <w:sz w:val="24"/>
          <w:szCs w:val="24"/>
        </w:rPr>
        <w:t xml:space="preserve"> </w:t>
      </w:r>
      <w:proofErr w:type="gramStart"/>
      <w:r w:rsidR="008F1B20" w:rsidRPr="009A5B39">
        <w:rPr>
          <w:rFonts w:ascii="Arial" w:hAnsi="Arial" w:cs="Arial"/>
          <w:sz w:val="24"/>
          <w:szCs w:val="24"/>
        </w:rPr>
        <w:t>nationally-accredited</w:t>
      </w:r>
      <w:proofErr w:type="gramEnd"/>
      <w:r w:rsidR="008F1B20" w:rsidRPr="009A5B39">
        <w:rPr>
          <w:rFonts w:ascii="Arial" w:hAnsi="Arial" w:cs="Arial"/>
          <w:sz w:val="24"/>
          <w:szCs w:val="24"/>
        </w:rPr>
        <w:t xml:space="preserve"> external examiner training</w:t>
      </w:r>
      <w:r w:rsidR="008F1B20" w:rsidRPr="00295BF4">
        <w:rPr>
          <w:rFonts w:ascii="Arial" w:hAnsi="Arial" w:cs="Arial"/>
          <w:sz w:val="24"/>
          <w:szCs w:val="24"/>
        </w:rPr>
        <w:t xml:space="preserve"> to our own staff</w:t>
      </w:r>
      <w:r w:rsidR="009A5B39">
        <w:rPr>
          <w:rFonts w:ascii="Arial" w:hAnsi="Arial" w:cs="Arial"/>
          <w:sz w:val="24"/>
          <w:szCs w:val="24"/>
        </w:rPr>
        <w:t xml:space="preserve">. </w:t>
      </w:r>
    </w:p>
    <w:p w14:paraId="3C16CECD" w14:textId="037EABC3" w:rsidR="007D1CE8" w:rsidRPr="00013734" w:rsidRDefault="007D1CE8" w:rsidP="007D1CE8">
      <w:pPr>
        <w:pStyle w:val="NoSpacing"/>
        <w:rPr>
          <w:rFonts w:cs="Arial"/>
          <w:szCs w:val="24"/>
        </w:rPr>
      </w:pPr>
    </w:p>
    <w:p w14:paraId="52086B15" w14:textId="323218D9" w:rsidR="007D1CE8" w:rsidRPr="00013734" w:rsidRDefault="007D1CE8" w:rsidP="00D04399">
      <w:pPr>
        <w:pStyle w:val="Heading1"/>
        <w:rPr>
          <w:rFonts w:ascii="Arial" w:hAnsi="Arial" w:cs="Arial"/>
          <w:b/>
          <w:color w:val="auto"/>
          <w:sz w:val="28"/>
          <w:szCs w:val="28"/>
        </w:rPr>
      </w:pPr>
      <w:r w:rsidRPr="00013734">
        <w:rPr>
          <w:rFonts w:ascii="Arial" w:hAnsi="Arial" w:cs="Arial"/>
          <w:b/>
          <w:color w:val="auto"/>
          <w:sz w:val="28"/>
          <w:szCs w:val="28"/>
        </w:rPr>
        <w:t xml:space="preserve">Risks and </w:t>
      </w:r>
      <w:r w:rsidR="00DC31C3">
        <w:rPr>
          <w:rFonts w:ascii="Arial" w:hAnsi="Arial" w:cs="Arial"/>
          <w:b/>
          <w:color w:val="auto"/>
          <w:sz w:val="28"/>
          <w:szCs w:val="28"/>
        </w:rPr>
        <w:t>C</w:t>
      </w:r>
      <w:r w:rsidRPr="00013734">
        <w:rPr>
          <w:rFonts w:ascii="Arial" w:hAnsi="Arial" w:cs="Arial"/>
          <w:b/>
          <w:color w:val="auto"/>
          <w:sz w:val="28"/>
          <w:szCs w:val="28"/>
        </w:rPr>
        <w:t xml:space="preserve">hallenges </w:t>
      </w:r>
    </w:p>
    <w:p w14:paraId="2800F1F3" w14:textId="77777777" w:rsidR="007D1CE8" w:rsidRPr="00013734" w:rsidRDefault="007D1CE8" w:rsidP="007D1CE8">
      <w:pPr>
        <w:pStyle w:val="NoSpacing"/>
        <w:rPr>
          <w:rFonts w:cs="Arial"/>
          <w:szCs w:val="24"/>
        </w:rPr>
      </w:pPr>
    </w:p>
    <w:p w14:paraId="474ED1A4" w14:textId="0A4C5164" w:rsidR="007D1CE8" w:rsidRPr="00013734" w:rsidRDefault="007D1CE8" w:rsidP="007D1CE8">
      <w:pPr>
        <w:pStyle w:val="NoSpacing"/>
        <w:rPr>
          <w:rFonts w:cs="Arial"/>
          <w:szCs w:val="24"/>
        </w:rPr>
      </w:pPr>
      <w:r w:rsidRPr="00BD05F3">
        <w:rPr>
          <w:rFonts w:cs="Arial"/>
          <w:szCs w:val="24"/>
        </w:rPr>
        <w:t xml:space="preserve">Despite having confidence in our assessment processes and practices we are never complacent. Degree outcomes are monitored continuously by senior managers and evaluated </w:t>
      </w:r>
      <w:r w:rsidR="008C1282" w:rsidRPr="00BD05F3">
        <w:rPr>
          <w:rFonts w:cs="Arial"/>
          <w:szCs w:val="24"/>
        </w:rPr>
        <w:t xml:space="preserve">and acted on </w:t>
      </w:r>
      <w:r w:rsidRPr="00BD05F3">
        <w:rPr>
          <w:rFonts w:cs="Arial"/>
          <w:szCs w:val="24"/>
        </w:rPr>
        <w:t xml:space="preserve">by Faculties, the Academic </w:t>
      </w:r>
      <w:proofErr w:type="gramStart"/>
      <w:r w:rsidRPr="00BD05F3">
        <w:rPr>
          <w:rFonts w:cs="Arial"/>
          <w:szCs w:val="24"/>
        </w:rPr>
        <w:t>Board</w:t>
      </w:r>
      <w:proofErr w:type="gramEnd"/>
      <w:r w:rsidRPr="00BD05F3">
        <w:rPr>
          <w:rFonts w:cs="Arial"/>
          <w:szCs w:val="24"/>
        </w:rPr>
        <w:t xml:space="preserve"> and its committees. External examiners’ reports are responded to promptly and fully. As our portfolio of degrees increases and our student intake grows more </w:t>
      </w:r>
      <w:proofErr w:type="gramStart"/>
      <w:r w:rsidRPr="00BD05F3">
        <w:rPr>
          <w:rFonts w:cs="Arial"/>
          <w:szCs w:val="24"/>
        </w:rPr>
        <w:t>diverse</w:t>
      </w:r>
      <w:proofErr w:type="gramEnd"/>
      <w:r w:rsidRPr="00BD05F3">
        <w:rPr>
          <w:rFonts w:cs="Arial"/>
          <w:szCs w:val="24"/>
        </w:rPr>
        <w:t xml:space="preserve"> we will continue to address the learning needs of students with a wide range of previous educational backgrounds, qualifications and protected characteristics</w:t>
      </w:r>
      <w:r w:rsidR="00EF3FCA">
        <w:rPr>
          <w:rFonts w:cs="Arial"/>
          <w:szCs w:val="24"/>
        </w:rPr>
        <w:t>;</w:t>
      </w:r>
      <w:r w:rsidRPr="00BD05F3">
        <w:rPr>
          <w:rFonts w:cs="Arial"/>
          <w:szCs w:val="24"/>
        </w:rPr>
        <w:t xml:space="preserve"> supporting the development of excellence in learning and teaching to underpin maximum student success</w:t>
      </w:r>
      <w:r w:rsidR="001D70D9">
        <w:rPr>
          <w:rFonts w:cs="Arial"/>
          <w:szCs w:val="24"/>
        </w:rPr>
        <w:t xml:space="preserve"> in</w:t>
      </w:r>
      <w:r w:rsidR="0052747A">
        <w:rPr>
          <w:rFonts w:cs="Arial"/>
          <w:szCs w:val="24"/>
        </w:rPr>
        <w:t>,</w:t>
      </w:r>
      <w:r w:rsidRPr="00BD05F3">
        <w:rPr>
          <w:rFonts w:cs="Arial"/>
          <w:szCs w:val="24"/>
        </w:rPr>
        <w:t xml:space="preserve"> </w:t>
      </w:r>
      <w:r w:rsidR="00A83AE1">
        <w:rPr>
          <w:rFonts w:cs="Arial"/>
          <w:szCs w:val="24"/>
        </w:rPr>
        <w:t xml:space="preserve">and </w:t>
      </w:r>
      <w:r w:rsidR="0038418D">
        <w:rPr>
          <w:rFonts w:cs="Arial"/>
          <w:szCs w:val="24"/>
        </w:rPr>
        <w:t>progress from</w:t>
      </w:r>
      <w:r w:rsidR="0052747A">
        <w:rPr>
          <w:rFonts w:cs="Arial"/>
          <w:szCs w:val="24"/>
        </w:rPr>
        <w:t>,</w:t>
      </w:r>
      <w:r w:rsidR="0038418D">
        <w:rPr>
          <w:rFonts w:cs="Arial"/>
          <w:szCs w:val="24"/>
        </w:rPr>
        <w:t xml:space="preserve"> higher education. </w:t>
      </w:r>
    </w:p>
    <w:p w14:paraId="3784DC3B" w14:textId="649CD95C" w:rsidR="004C06AA" w:rsidRPr="00013734" w:rsidRDefault="004C06AA" w:rsidP="008B538C">
      <w:pPr>
        <w:pStyle w:val="NoSpacing"/>
        <w:rPr>
          <w:rFonts w:cs="Arial"/>
          <w:szCs w:val="24"/>
        </w:rPr>
      </w:pPr>
    </w:p>
    <w:sectPr w:rsidR="004C06AA" w:rsidRPr="0001373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09B" w14:textId="77777777" w:rsidR="006B1190" w:rsidRDefault="006B1190" w:rsidP="00F33016">
      <w:pPr>
        <w:spacing w:line="240" w:lineRule="auto"/>
      </w:pPr>
      <w:r>
        <w:separator/>
      </w:r>
    </w:p>
  </w:endnote>
  <w:endnote w:type="continuationSeparator" w:id="0">
    <w:p w14:paraId="20B49386" w14:textId="77777777" w:rsidR="006B1190" w:rsidRDefault="006B1190" w:rsidP="00F33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E9DA" w14:textId="77777777" w:rsidR="004061E9" w:rsidRDefault="0040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43381"/>
      <w:docPartObj>
        <w:docPartGallery w:val="Page Numbers (Bottom of Page)"/>
        <w:docPartUnique/>
      </w:docPartObj>
    </w:sdtPr>
    <w:sdtEndPr>
      <w:rPr>
        <w:noProof/>
      </w:rPr>
    </w:sdtEndPr>
    <w:sdtContent>
      <w:p w14:paraId="4F9EC924" w14:textId="5E28FC9B" w:rsidR="00F33016" w:rsidRDefault="00F33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CA5A0" w14:textId="77777777" w:rsidR="00F33016" w:rsidRDefault="00F33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3A4A" w14:textId="77777777" w:rsidR="004061E9" w:rsidRDefault="0040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58FF" w14:textId="77777777" w:rsidR="006B1190" w:rsidRDefault="006B1190" w:rsidP="00F33016">
      <w:pPr>
        <w:spacing w:line="240" w:lineRule="auto"/>
      </w:pPr>
      <w:r>
        <w:separator/>
      </w:r>
    </w:p>
  </w:footnote>
  <w:footnote w:type="continuationSeparator" w:id="0">
    <w:p w14:paraId="20AED267" w14:textId="77777777" w:rsidR="006B1190" w:rsidRDefault="006B1190" w:rsidP="00F33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B72B" w14:textId="77777777" w:rsidR="004061E9" w:rsidRDefault="0040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4D81" w14:textId="13191BDF" w:rsidR="004061E9" w:rsidRDefault="00406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B73" w14:textId="77777777" w:rsidR="004061E9" w:rsidRDefault="0040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9C2"/>
    <w:multiLevelType w:val="hybridMultilevel"/>
    <w:tmpl w:val="3FAAA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45552"/>
    <w:multiLevelType w:val="hybridMultilevel"/>
    <w:tmpl w:val="EE6E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5647A"/>
    <w:multiLevelType w:val="hybridMultilevel"/>
    <w:tmpl w:val="B0AE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27"/>
    <w:rsid w:val="000017BF"/>
    <w:rsid w:val="00003505"/>
    <w:rsid w:val="00013734"/>
    <w:rsid w:val="00016F08"/>
    <w:rsid w:val="00017B2E"/>
    <w:rsid w:val="0002060E"/>
    <w:rsid w:val="0002078A"/>
    <w:rsid w:val="00020939"/>
    <w:rsid w:val="0002104A"/>
    <w:rsid w:val="000222D7"/>
    <w:rsid w:val="0002368F"/>
    <w:rsid w:val="000236CE"/>
    <w:rsid w:val="00024842"/>
    <w:rsid w:val="00027872"/>
    <w:rsid w:val="0003109F"/>
    <w:rsid w:val="0003223A"/>
    <w:rsid w:val="00033387"/>
    <w:rsid w:val="00035509"/>
    <w:rsid w:val="000355C5"/>
    <w:rsid w:val="00040247"/>
    <w:rsid w:val="00045B8C"/>
    <w:rsid w:val="00047B0E"/>
    <w:rsid w:val="0005028E"/>
    <w:rsid w:val="000639DF"/>
    <w:rsid w:val="00073553"/>
    <w:rsid w:val="00074DF8"/>
    <w:rsid w:val="00083B0E"/>
    <w:rsid w:val="0009387E"/>
    <w:rsid w:val="00095AAE"/>
    <w:rsid w:val="00096711"/>
    <w:rsid w:val="000B4DC1"/>
    <w:rsid w:val="000B57B2"/>
    <w:rsid w:val="000B739D"/>
    <w:rsid w:val="000C1F56"/>
    <w:rsid w:val="000C5DCD"/>
    <w:rsid w:val="000C5F1A"/>
    <w:rsid w:val="000C7679"/>
    <w:rsid w:val="000C7A20"/>
    <w:rsid w:val="000D2751"/>
    <w:rsid w:val="000D7B25"/>
    <w:rsid w:val="000E44DD"/>
    <w:rsid w:val="000F1F84"/>
    <w:rsid w:val="000F3143"/>
    <w:rsid w:val="000F44D2"/>
    <w:rsid w:val="000F5BAB"/>
    <w:rsid w:val="00103205"/>
    <w:rsid w:val="00105A72"/>
    <w:rsid w:val="00106C78"/>
    <w:rsid w:val="0011138F"/>
    <w:rsid w:val="00113002"/>
    <w:rsid w:val="001257E8"/>
    <w:rsid w:val="00144C88"/>
    <w:rsid w:val="00146DBD"/>
    <w:rsid w:val="00154F09"/>
    <w:rsid w:val="001571A1"/>
    <w:rsid w:val="00164BFA"/>
    <w:rsid w:val="00165ACE"/>
    <w:rsid w:val="001662CF"/>
    <w:rsid w:val="00170677"/>
    <w:rsid w:val="00177CA2"/>
    <w:rsid w:val="00181B46"/>
    <w:rsid w:val="0019388C"/>
    <w:rsid w:val="00194166"/>
    <w:rsid w:val="00196E70"/>
    <w:rsid w:val="001B6C39"/>
    <w:rsid w:val="001C2129"/>
    <w:rsid w:val="001C4686"/>
    <w:rsid w:val="001C6A5B"/>
    <w:rsid w:val="001D2789"/>
    <w:rsid w:val="001D4E2F"/>
    <w:rsid w:val="001D705E"/>
    <w:rsid w:val="001D70D9"/>
    <w:rsid w:val="001D762C"/>
    <w:rsid w:val="001E7323"/>
    <w:rsid w:val="001F1AA9"/>
    <w:rsid w:val="001F3D1D"/>
    <w:rsid w:val="00206FF2"/>
    <w:rsid w:val="0021146C"/>
    <w:rsid w:val="00211477"/>
    <w:rsid w:val="00212490"/>
    <w:rsid w:val="00216987"/>
    <w:rsid w:val="00217707"/>
    <w:rsid w:val="00220A4D"/>
    <w:rsid w:val="00222EC2"/>
    <w:rsid w:val="00226FFD"/>
    <w:rsid w:val="00231194"/>
    <w:rsid w:val="00235173"/>
    <w:rsid w:val="00235180"/>
    <w:rsid w:val="00241208"/>
    <w:rsid w:val="00245124"/>
    <w:rsid w:val="00245221"/>
    <w:rsid w:val="00250D08"/>
    <w:rsid w:val="00251CD2"/>
    <w:rsid w:val="00261B0F"/>
    <w:rsid w:val="00267C15"/>
    <w:rsid w:val="0027025D"/>
    <w:rsid w:val="00277591"/>
    <w:rsid w:val="0028235A"/>
    <w:rsid w:val="002847A2"/>
    <w:rsid w:val="002915F7"/>
    <w:rsid w:val="00295B0A"/>
    <w:rsid w:val="00295BF4"/>
    <w:rsid w:val="002A3318"/>
    <w:rsid w:val="002E228E"/>
    <w:rsid w:val="002F0BFD"/>
    <w:rsid w:val="002F0C51"/>
    <w:rsid w:val="002F3787"/>
    <w:rsid w:val="003021F6"/>
    <w:rsid w:val="003022AB"/>
    <w:rsid w:val="0032123E"/>
    <w:rsid w:val="00331773"/>
    <w:rsid w:val="00344B8C"/>
    <w:rsid w:val="003456EE"/>
    <w:rsid w:val="00347F62"/>
    <w:rsid w:val="00350FCE"/>
    <w:rsid w:val="003530C2"/>
    <w:rsid w:val="00360EB7"/>
    <w:rsid w:val="00361CEE"/>
    <w:rsid w:val="003628DE"/>
    <w:rsid w:val="003766B5"/>
    <w:rsid w:val="003770F7"/>
    <w:rsid w:val="0038100F"/>
    <w:rsid w:val="0038418D"/>
    <w:rsid w:val="003A3687"/>
    <w:rsid w:val="003C20E5"/>
    <w:rsid w:val="003C7B83"/>
    <w:rsid w:val="003F2165"/>
    <w:rsid w:val="004039DC"/>
    <w:rsid w:val="004061E9"/>
    <w:rsid w:val="00407867"/>
    <w:rsid w:val="00415C0B"/>
    <w:rsid w:val="00416921"/>
    <w:rsid w:val="0042253F"/>
    <w:rsid w:val="00425B12"/>
    <w:rsid w:val="00425F10"/>
    <w:rsid w:val="00431590"/>
    <w:rsid w:val="00450C3B"/>
    <w:rsid w:val="004544BE"/>
    <w:rsid w:val="00456356"/>
    <w:rsid w:val="0047623E"/>
    <w:rsid w:val="004779D4"/>
    <w:rsid w:val="004802FF"/>
    <w:rsid w:val="00482433"/>
    <w:rsid w:val="004A13FB"/>
    <w:rsid w:val="004A3EE5"/>
    <w:rsid w:val="004A53C1"/>
    <w:rsid w:val="004A58AD"/>
    <w:rsid w:val="004A6EF8"/>
    <w:rsid w:val="004B3E6E"/>
    <w:rsid w:val="004C034E"/>
    <w:rsid w:val="004C06AA"/>
    <w:rsid w:val="004C16B4"/>
    <w:rsid w:val="004C4672"/>
    <w:rsid w:val="004D2914"/>
    <w:rsid w:val="004D30B1"/>
    <w:rsid w:val="004D44D4"/>
    <w:rsid w:val="004D4E96"/>
    <w:rsid w:val="004E56B6"/>
    <w:rsid w:val="004F103A"/>
    <w:rsid w:val="004F4973"/>
    <w:rsid w:val="00507C40"/>
    <w:rsid w:val="00513779"/>
    <w:rsid w:val="00517FFA"/>
    <w:rsid w:val="00524646"/>
    <w:rsid w:val="00526ADF"/>
    <w:rsid w:val="0052745A"/>
    <w:rsid w:val="0052747A"/>
    <w:rsid w:val="00544157"/>
    <w:rsid w:val="00547599"/>
    <w:rsid w:val="00547782"/>
    <w:rsid w:val="00561BB9"/>
    <w:rsid w:val="00567206"/>
    <w:rsid w:val="00574B2D"/>
    <w:rsid w:val="005854CE"/>
    <w:rsid w:val="00587E86"/>
    <w:rsid w:val="00593823"/>
    <w:rsid w:val="005957F8"/>
    <w:rsid w:val="00597461"/>
    <w:rsid w:val="00597985"/>
    <w:rsid w:val="005A710A"/>
    <w:rsid w:val="005A7A04"/>
    <w:rsid w:val="005C2223"/>
    <w:rsid w:val="005C22FD"/>
    <w:rsid w:val="005D09C9"/>
    <w:rsid w:val="005D788F"/>
    <w:rsid w:val="005E2C0C"/>
    <w:rsid w:val="005E6AF5"/>
    <w:rsid w:val="005E73D8"/>
    <w:rsid w:val="005F0626"/>
    <w:rsid w:val="005F0E12"/>
    <w:rsid w:val="005F584C"/>
    <w:rsid w:val="00603312"/>
    <w:rsid w:val="00603A08"/>
    <w:rsid w:val="006115FA"/>
    <w:rsid w:val="0061697F"/>
    <w:rsid w:val="00617792"/>
    <w:rsid w:val="006226CE"/>
    <w:rsid w:val="006319FF"/>
    <w:rsid w:val="00632947"/>
    <w:rsid w:val="00646FFF"/>
    <w:rsid w:val="0065035D"/>
    <w:rsid w:val="006637F7"/>
    <w:rsid w:val="00672562"/>
    <w:rsid w:val="00676884"/>
    <w:rsid w:val="00686EC3"/>
    <w:rsid w:val="00694F65"/>
    <w:rsid w:val="006B1190"/>
    <w:rsid w:val="006B2FBD"/>
    <w:rsid w:val="006B4981"/>
    <w:rsid w:val="006C1FB3"/>
    <w:rsid w:val="006C3B46"/>
    <w:rsid w:val="006C5AA9"/>
    <w:rsid w:val="006D59C3"/>
    <w:rsid w:val="006D77FE"/>
    <w:rsid w:val="006E56B4"/>
    <w:rsid w:val="006F547B"/>
    <w:rsid w:val="006F771A"/>
    <w:rsid w:val="00711847"/>
    <w:rsid w:val="00720F22"/>
    <w:rsid w:val="00722685"/>
    <w:rsid w:val="00724EBB"/>
    <w:rsid w:val="00737BC9"/>
    <w:rsid w:val="00761B13"/>
    <w:rsid w:val="00771B7C"/>
    <w:rsid w:val="00775E5E"/>
    <w:rsid w:val="00776560"/>
    <w:rsid w:val="00787EAF"/>
    <w:rsid w:val="00797AAA"/>
    <w:rsid w:val="007A2C33"/>
    <w:rsid w:val="007A7804"/>
    <w:rsid w:val="007B015B"/>
    <w:rsid w:val="007B293D"/>
    <w:rsid w:val="007C2ABA"/>
    <w:rsid w:val="007C7403"/>
    <w:rsid w:val="007D082E"/>
    <w:rsid w:val="007D1CE8"/>
    <w:rsid w:val="007D35B7"/>
    <w:rsid w:val="007D7A5D"/>
    <w:rsid w:val="007E47A8"/>
    <w:rsid w:val="007F4E26"/>
    <w:rsid w:val="007F6690"/>
    <w:rsid w:val="00815478"/>
    <w:rsid w:val="00815CDF"/>
    <w:rsid w:val="008233E9"/>
    <w:rsid w:val="0083448F"/>
    <w:rsid w:val="00837AC5"/>
    <w:rsid w:val="00841548"/>
    <w:rsid w:val="00843146"/>
    <w:rsid w:val="00855EE0"/>
    <w:rsid w:val="00860FCF"/>
    <w:rsid w:val="008620ED"/>
    <w:rsid w:val="008628A6"/>
    <w:rsid w:val="0086372A"/>
    <w:rsid w:val="0086681C"/>
    <w:rsid w:val="00866AA7"/>
    <w:rsid w:val="008720EE"/>
    <w:rsid w:val="00880300"/>
    <w:rsid w:val="0088227F"/>
    <w:rsid w:val="008931F4"/>
    <w:rsid w:val="008A1492"/>
    <w:rsid w:val="008A1746"/>
    <w:rsid w:val="008A4116"/>
    <w:rsid w:val="008A4719"/>
    <w:rsid w:val="008A5FCF"/>
    <w:rsid w:val="008B01AE"/>
    <w:rsid w:val="008B4182"/>
    <w:rsid w:val="008B45A6"/>
    <w:rsid w:val="008B538C"/>
    <w:rsid w:val="008C1282"/>
    <w:rsid w:val="008C3078"/>
    <w:rsid w:val="008C4EF9"/>
    <w:rsid w:val="008D3B03"/>
    <w:rsid w:val="008D6D1B"/>
    <w:rsid w:val="008D7B2F"/>
    <w:rsid w:val="008E29ED"/>
    <w:rsid w:val="008E4B45"/>
    <w:rsid w:val="008E66BF"/>
    <w:rsid w:val="008F0903"/>
    <w:rsid w:val="008F1B20"/>
    <w:rsid w:val="009048AF"/>
    <w:rsid w:val="00906E40"/>
    <w:rsid w:val="009107C2"/>
    <w:rsid w:val="009226EB"/>
    <w:rsid w:val="00930BBA"/>
    <w:rsid w:val="00940C5A"/>
    <w:rsid w:val="0094100C"/>
    <w:rsid w:val="00942758"/>
    <w:rsid w:val="00944B8D"/>
    <w:rsid w:val="00954CCE"/>
    <w:rsid w:val="00957B62"/>
    <w:rsid w:val="00971F84"/>
    <w:rsid w:val="009A2970"/>
    <w:rsid w:val="009A2E46"/>
    <w:rsid w:val="009A4BD6"/>
    <w:rsid w:val="009A5B39"/>
    <w:rsid w:val="009A6A7D"/>
    <w:rsid w:val="009A727C"/>
    <w:rsid w:val="009B6F90"/>
    <w:rsid w:val="009C034D"/>
    <w:rsid w:val="009C06C9"/>
    <w:rsid w:val="009C0F68"/>
    <w:rsid w:val="009D3BA6"/>
    <w:rsid w:val="009E523C"/>
    <w:rsid w:val="009E606D"/>
    <w:rsid w:val="009F1BD4"/>
    <w:rsid w:val="009F7564"/>
    <w:rsid w:val="00A0115E"/>
    <w:rsid w:val="00A10FB1"/>
    <w:rsid w:val="00A110C2"/>
    <w:rsid w:val="00A14DD4"/>
    <w:rsid w:val="00A210BF"/>
    <w:rsid w:val="00A35B56"/>
    <w:rsid w:val="00A410FB"/>
    <w:rsid w:val="00A44363"/>
    <w:rsid w:val="00A503EB"/>
    <w:rsid w:val="00A53722"/>
    <w:rsid w:val="00A72A27"/>
    <w:rsid w:val="00A73523"/>
    <w:rsid w:val="00A76D34"/>
    <w:rsid w:val="00A811D1"/>
    <w:rsid w:val="00A82A22"/>
    <w:rsid w:val="00A83AE1"/>
    <w:rsid w:val="00A85E04"/>
    <w:rsid w:val="00A92F2D"/>
    <w:rsid w:val="00A9419A"/>
    <w:rsid w:val="00A95267"/>
    <w:rsid w:val="00A95CF1"/>
    <w:rsid w:val="00AA1280"/>
    <w:rsid w:val="00AB72D9"/>
    <w:rsid w:val="00AC2391"/>
    <w:rsid w:val="00AD0B7D"/>
    <w:rsid w:val="00AD0FD2"/>
    <w:rsid w:val="00AE25F9"/>
    <w:rsid w:val="00AE51EC"/>
    <w:rsid w:val="00AE68FB"/>
    <w:rsid w:val="00AF79A9"/>
    <w:rsid w:val="00AF7B2F"/>
    <w:rsid w:val="00B00713"/>
    <w:rsid w:val="00B00F4C"/>
    <w:rsid w:val="00B02F83"/>
    <w:rsid w:val="00B03876"/>
    <w:rsid w:val="00B0712A"/>
    <w:rsid w:val="00B073CD"/>
    <w:rsid w:val="00B21DF3"/>
    <w:rsid w:val="00B32688"/>
    <w:rsid w:val="00B36C2D"/>
    <w:rsid w:val="00B43332"/>
    <w:rsid w:val="00B5279C"/>
    <w:rsid w:val="00B56BF3"/>
    <w:rsid w:val="00B72F66"/>
    <w:rsid w:val="00B7574F"/>
    <w:rsid w:val="00B81D54"/>
    <w:rsid w:val="00B8203F"/>
    <w:rsid w:val="00B84032"/>
    <w:rsid w:val="00B84F1A"/>
    <w:rsid w:val="00B92BC6"/>
    <w:rsid w:val="00B9326E"/>
    <w:rsid w:val="00BB3524"/>
    <w:rsid w:val="00BC6746"/>
    <w:rsid w:val="00BC762B"/>
    <w:rsid w:val="00BD05F3"/>
    <w:rsid w:val="00BD5F28"/>
    <w:rsid w:val="00BD6831"/>
    <w:rsid w:val="00BF1BE7"/>
    <w:rsid w:val="00BF2070"/>
    <w:rsid w:val="00BF4CBA"/>
    <w:rsid w:val="00C0160B"/>
    <w:rsid w:val="00C14E7D"/>
    <w:rsid w:val="00C16A20"/>
    <w:rsid w:val="00C22482"/>
    <w:rsid w:val="00C25F13"/>
    <w:rsid w:val="00C32067"/>
    <w:rsid w:val="00C345C5"/>
    <w:rsid w:val="00C35826"/>
    <w:rsid w:val="00C41927"/>
    <w:rsid w:val="00C4573D"/>
    <w:rsid w:val="00C5150C"/>
    <w:rsid w:val="00C547C7"/>
    <w:rsid w:val="00C60589"/>
    <w:rsid w:val="00C656F7"/>
    <w:rsid w:val="00C76905"/>
    <w:rsid w:val="00C81617"/>
    <w:rsid w:val="00C86962"/>
    <w:rsid w:val="00C930AA"/>
    <w:rsid w:val="00CA1319"/>
    <w:rsid w:val="00CA469D"/>
    <w:rsid w:val="00CA7559"/>
    <w:rsid w:val="00CB6DCF"/>
    <w:rsid w:val="00CC0576"/>
    <w:rsid w:val="00CC0C28"/>
    <w:rsid w:val="00CC45F1"/>
    <w:rsid w:val="00CC466D"/>
    <w:rsid w:val="00CC6311"/>
    <w:rsid w:val="00CD415D"/>
    <w:rsid w:val="00CF2A84"/>
    <w:rsid w:val="00CF3824"/>
    <w:rsid w:val="00CF4427"/>
    <w:rsid w:val="00CF71DB"/>
    <w:rsid w:val="00CF75EE"/>
    <w:rsid w:val="00CF79A6"/>
    <w:rsid w:val="00D029BC"/>
    <w:rsid w:val="00D04399"/>
    <w:rsid w:val="00D06177"/>
    <w:rsid w:val="00D126CF"/>
    <w:rsid w:val="00D24700"/>
    <w:rsid w:val="00D25AEE"/>
    <w:rsid w:val="00D3525C"/>
    <w:rsid w:val="00D44985"/>
    <w:rsid w:val="00D5089A"/>
    <w:rsid w:val="00D57E84"/>
    <w:rsid w:val="00D60DBC"/>
    <w:rsid w:val="00D6676E"/>
    <w:rsid w:val="00D71C95"/>
    <w:rsid w:val="00D81857"/>
    <w:rsid w:val="00D81E6E"/>
    <w:rsid w:val="00D831FA"/>
    <w:rsid w:val="00D90244"/>
    <w:rsid w:val="00D91AB4"/>
    <w:rsid w:val="00D94398"/>
    <w:rsid w:val="00D96AA9"/>
    <w:rsid w:val="00DA47DE"/>
    <w:rsid w:val="00DA5620"/>
    <w:rsid w:val="00DB4359"/>
    <w:rsid w:val="00DB78E9"/>
    <w:rsid w:val="00DB7E50"/>
    <w:rsid w:val="00DC2B72"/>
    <w:rsid w:val="00DC31C3"/>
    <w:rsid w:val="00DC4AB5"/>
    <w:rsid w:val="00DC7947"/>
    <w:rsid w:val="00DD34C4"/>
    <w:rsid w:val="00DE3CD9"/>
    <w:rsid w:val="00DE4B5B"/>
    <w:rsid w:val="00DF07C9"/>
    <w:rsid w:val="00DF3F15"/>
    <w:rsid w:val="00E02635"/>
    <w:rsid w:val="00E05C4C"/>
    <w:rsid w:val="00E062DE"/>
    <w:rsid w:val="00E31373"/>
    <w:rsid w:val="00E35DDC"/>
    <w:rsid w:val="00E444E5"/>
    <w:rsid w:val="00E466F1"/>
    <w:rsid w:val="00E56ED7"/>
    <w:rsid w:val="00E56F9E"/>
    <w:rsid w:val="00E6126D"/>
    <w:rsid w:val="00E70452"/>
    <w:rsid w:val="00E76132"/>
    <w:rsid w:val="00E775B1"/>
    <w:rsid w:val="00E82087"/>
    <w:rsid w:val="00E85FF2"/>
    <w:rsid w:val="00EB01DC"/>
    <w:rsid w:val="00EB0645"/>
    <w:rsid w:val="00EB11E7"/>
    <w:rsid w:val="00EC299F"/>
    <w:rsid w:val="00EC72DE"/>
    <w:rsid w:val="00ED28D7"/>
    <w:rsid w:val="00ED402F"/>
    <w:rsid w:val="00ED6230"/>
    <w:rsid w:val="00EE3C0B"/>
    <w:rsid w:val="00EE5B1E"/>
    <w:rsid w:val="00EF3FCA"/>
    <w:rsid w:val="00EF7C5D"/>
    <w:rsid w:val="00F0063B"/>
    <w:rsid w:val="00F06C81"/>
    <w:rsid w:val="00F10DF5"/>
    <w:rsid w:val="00F11236"/>
    <w:rsid w:val="00F24BF0"/>
    <w:rsid w:val="00F24D60"/>
    <w:rsid w:val="00F31307"/>
    <w:rsid w:val="00F33016"/>
    <w:rsid w:val="00F36266"/>
    <w:rsid w:val="00F378B7"/>
    <w:rsid w:val="00F37B7B"/>
    <w:rsid w:val="00F430A0"/>
    <w:rsid w:val="00F55B0B"/>
    <w:rsid w:val="00F57BD7"/>
    <w:rsid w:val="00F600E0"/>
    <w:rsid w:val="00F629D5"/>
    <w:rsid w:val="00F65CAD"/>
    <w:rsid w:val="00F71C66"/>
    <w:rsid w:val="00F7313B"/>
    <w:rsid w:val="00F7596D"/>
    <w:rsid w:val="00F829BC"/>
    <w:rsid w:val="00F85D08"/>
    <w:rsid w:val="00FA0B98"/>
    <w:rsid w:val="00FA5731"/>
    <w:rsid w:val="00FC2B1B"/>
    <w:rsid w:val="00FD6704"/>
    <w:rsid w:val="00FE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FD263"/>
  <w15:chartTrackingRefBased/>
  <w15:docId w15:val="{7CA81739-FE32-41A6-B23D-09BC3D07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1A"/>
    <w:pPr>
      <w:spacing w:after="0"/>
    </w:pPr>
    <w:rPr>
      <w:rFonts w:ascii="Calibri" w:eastAsia="Calibri" w:hAnsi="Calibri" w:cs="Times New Roman"/>
    </w:rPr>
  </w:style>
  <w:style w:type="paragraph" w:styleId="Heading1">
    <w:name w:val="heading 1"/>
    <w:basedOn w:val="Normal"/>
    <w:next w:val="Normal"/>
    <w:link w:val="Heading1Char"/>
    <w:uiPriority w:val="9"/>
    <w:qFormat/>
    <w:rsid w:val="00D043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E73D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5E73D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F33016"/>
    <w:pPr>
      <w:tabs>
        <w:tab w:val="center" w:pos="4513"/>
        <w:tab w:val="right" w:pos="9026"/>
      </w:tabs>
      <w:spacing w:line="240" w:lineRule="auto"/>
    </w:pPr>
  </w:style>
  <w:style w:type="character" w:customStyle="1" w:styleId="HeaderChar">
    <w:name w:val="Header Char"/>
    <w:basedOn w:val="DefaultParagraphFont"/>
    <w:link w:val="Header"/>
    <w:uiPriority w:val="99"/>
    <w:rsid w:val="00F33016"/>
    <w:rPr>
      <w:rFonts w:ascii="Arial" w:hAnsi="Arial"/>
      <w:sz w:val="24"/>
    </w:rPr>
  </w:style>
  <w:style w:type="paragraph" w:styleId="Footer">
    <w:name w:val="footer"/>
    <w:basedOn w:val="Normal"/>
    <w:link w:val="FooterChar"/>
    <w:uiPriority w:val="99"/>
    <w:unhideWhenUsed/>
    <w:rsid w:val="00F33016"/>
    <w:pPr>
      <w:tabs>
        <w:tab w:val="center" w:pos="4513"/>
        <w:tab w:val="right" w:pos="9026"/>
      </w:tabs>
      <w:spacing w:line="240" w:lineRule="auto"/>
    </w:pPr>
  </w:style>
  <w:style w:type="character" w:customStyle="1" w:styleId="FooterChar">
    <w:name w:val="Footer Char"/>
    <w:basedOn w:val="DefaultParagraphFont"/>
    <w:link w:val="Footer"/>
    <w:uiPriority w:val="99"/>
    <w:rsid w:val="00F33016"/>
    <w:rPr>
      <w:rFonts w:ascii="Arial" w:hAnsi="Arial"/>
      <w:sz w:val="24"/>
    </w:rPr>
  </w:style>
  <w:style w:type="paragraph" w:styleId="FootnoteText">
    <w:name w:val="footnote text"/>
    <w:basedOn w:val="Normal"/>
    <w:link w:val="FootnoteTextChar"/>
    <w:uiPriority w:val="99"/>
    <w:unhideWhenUsed/>
    <w:rsid w:val="00BD5F28"/>
    <w:pPr>
      <w:spacing w:line="240" w:lineRule="auto"/>
    </w:pPr>
    <w:rPr>
      <w:sz w:val="20"/>
      <w:szCs w:val="20"/>
    </w:rPr>
  </w:style>
  <w:style w:type="character" w:customStyle="1" w:styleId="FootnoteTextChar">
    <w:name w:val="Footnote Text Char"/>
    <w:basedOn w:val="DefaultParagraphFont"/>
    <w:link w:val="FootnoteText"/>
    <w:uiPriority w:val="99"/>
    <w:rsid w:val="00BD5F28"/>
    <w:rPr>
      <w:rFonts w:ascii="Arial" w:hAnsi="Arial"/>
      <w:sz w:val="20"/>
      <w:szCs w:val="20"/>
    </w:rPr>
  </w:style>
  <w:style w:type="character" w:styleId="FootnoteReference">
    <w:name w:val="footnote reference"/>
    <w:basedOn w:val="DefaultParagraphFont"/>
    <w:uiPriority w:val="99"/>
    <w:unhideWhenUsed/>
    <w:rsid w:val="00BD5F28"/>
    <w:rPr>
      <w:vertAlign w:val="superscript"/>
    </w:rPr>
  </w:style>
  <w:style w:type="character" w:styleId="Hyperlink">
    <w:name w:val="Hyperlink"/>
    <w:basedOn w:val="DefaultParagraphFont"/>
    <w:uiPriority w:val="99"/>
    <w:unhideWhenUsed/>
    <w:rsid w:val="00BD5F28"/>
    <w:rPr>
      <w:color w:val="0000FF" w:themeColor="hyperlink"/>
      <w:u w:val="single"/>
    </w:rPr>
  </w:style>
  <w:style w:type="character" w:styleId="UnresolvedMention">
    <w:name w:val="Unresolved Mention"/>
    <w:basedOn w:val="DefaultParagraphFont"/>
    <w:uiPriority w:val="99"/>
    <w:semiHidden/>
    <w:unhideWhenUsed/>
    <w:rsid w:val="00BD5F28"/>
    <w:rPr>
      <w:color w:val="605E5C"/>
      <w:shd w:val="clear" w:color="auto" w:fill="E1DFDD"/>
    </w:rPr>
  </w:style>
  <w:style w:type="paragraph" w:customStyle="1" w:styleId="Default">
    <w:name w:val="Default"/>
    <w:rsid w:val="008B538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B538C"/>
    <w:rPr>
      <w:sz w:val="16"/>
      <w:szCs w:val="16"/>
    </w:rPr>
  </w:style>
  <w:style w:type="paragraph" w:styleId="CommentText">
    <w:name w:val="annotation text"/>
    <w:basedOn w:val="Normal"/>
    <w:link w:val="CommentTextChar"/>
    <w:uiPriority w:val="99"/>
    <w:semiHidden/>
    <w:unhideWhenUsed/>
    <w:rsid w:val="008B538C"/>
    <w:pPr>
      <w:spacing w:line="240" w:lineRule="auto"/>
    </w:pPr>
    <w:rPr>
      <w:sz w:val="20"/>
      <w:szCs w:val="20"/>
    </w:rPr>
  </w:style>
  <w:style w:type="character" w:customStyle="1" w:styleId="CommentTextChar">
    <w:name w:val="Comment Text Char"/>
    <w:basedOn w:val="DefaultParagraphFont"/>
    <w:link w:val="CommentText"/>
    <w:uiPriority w:val="99"/>
    <w:semiHidden/>
    <w:rsid w:val="008B53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538C"/>
    <w:rPr>
      <w:b/>
      <w:bCs/>
    </w:rPr>
  </w:style>
  <w:style w:type="character" w:customStyle="1" w:styleId="CommentSubjectChar">
    <w:name w:val="Comment Subject Char"/>
    <w:basedOn w:val="CommentTextChar"/>
    <w:link w:val="CommentSubject"/>
    <w:uiPriority w:val="99"/>
    <w:semiHidden/>
    <w:rsid w:val="008B538C"/>
    <w:rPr>
      <w:rFonts w:ascii="Arial" w:hAnsi="Arial"/>
      <w:b/>
      <w:bCs/>
      <w:sz w:val="20"/>
      <w:szCs w:val="20"/>
    </w:rPr>
  </w:style>
  <w:style w:type="paragraph" w:styleId="BalloonText">
    <w:name w:val="Balloon Text"/>
    <w:basedOn w:val="Normal"/>
    <w:link w:val="BalloonTextChar"/>
    <w:uiPriority w:val="99"/>
    <w:semiHidden/>
    <w:unhideWhenUsed/>
    <w:rsid w:val="008B53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8C"/>
    <w:rPr>
      <w:rFonts w:ascii="Segoe UI" w:hAnsi="Segoe UI" w:cs="Segoe UI"/>
      <w:sz w:val="18"/>
      <w:szCs w:val="18"/>
    </w:rPr>
  </w:style>
  <w:style w:type="character" w:customStyle="1" w:styleId="NoSpacingChar">
    <w:name w:val="No Spacing Char"/>
    <w:link w:val="NoSpacing"/>
    <w:uiPriority w:val="1"/>
    <w:rsid w:val="00B84F1A"/>
    <w:rPr>
      <w:rFonts w:ascii="Arial" w:hAnsi="Arial"/>
      <w:sz w:val="24"/>
    </w:rPr>
  </w:style>
  <w:style w:type="character" w:styleId="FollowedHyperlink">
    <w:name w:val="FollowedHyperlink"/>
    <w:basedOn w:val="DefaultParagraphFont"/>
    <w:uiPriority w:val="99"/>
    <w:semiHidden/>
    <w:unhideWhenUsed/>
    <w:rsid w:val="0028235A"/>
    <w:rPr>
      <w:color w:val="800080" w:themeColor="followedHyperlink"/>
      <w:u w:val="single"/>
    </w:rPr>
  </w:style>
  <w:style w:type="character" w:customStyle="1" w:styleId="Heading2Char">
    <w:name w:val="Heading 2 Char"/>
    <w:basedOn w:val="DefaultParagraphFont"/>
    <w:link w:val="Heading2"/>
    <w:uiPriority w:val="9"/>
    <w:rsid w:val="005E73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E73D8"/>
    <w:rPr>
      <w:rFonts w:ascii="Times New Roman" w:eastAsia="Times New Roman" w:hAnsi="Times New Roman" w:cs="Times New Roman"/>
      <w:b/>
      <w:bCs/>
      <w:sz w:val="27"/>
      <w:szCs w:val="27"/>
      <w:lang w:eastAsia="en-GB"/>
    </w:rPr>
  </w:style>
  <w:style w:type="paragraph" w:styleId="Title">
    <w:name w:val="Title"/>
    <w:basedOn w:val="Normal"/>
    <w:next w:val="Normal"/>
    <w:link w:val="TitleChar"/>
    <w:uiPriority w:val="10"/>
    <w:qFormat/>
    <w:rsid w:val="00D0439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439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7D35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A10F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834">
      <w:bodyDiv w:val="1"/>
      <w:marLeft w:val="0"/>
      <w:marRight w:val="0"/>
      <w:marTop w:val="0"/>
      <w:marBottom w:val="0"/>
      <w:divBdr>
        <w:top w:val="none" w:sz="0" w:space="0" w:color="auto"/>
        <w:left w:val="none" w:sz="0" w:space="0" w:color="auto"/>
        <w:bottom w:val="none" w:sz="0" w:space="0" w:color="auto"/>
        <w:right w:val="none" w:sz="0" w:space="0" w:color="auto"/>
      </w:divBdr>
    </w:div>
    <w:div w:id="532309234">
      <w:bodyDiv w:val="1"/>
      <w:marLeft w:val="0"/>
      <w:marRight w:val="0"/>
      <w:marTop w:val="0"/>
      <w:marBottom w:val="0"/>
      <w:divBdr>
        <w:top w:val="none" w:sz="0" w:space="0" w:color="auto"/>
        <w:left w:val="none" w:sz="0" w:space="0" w:color="auto"/>
        <w:bottom w:val="none" w:sz="0" w:space="0" w:color="auto"/>
        <w:right w:val="none" w:sz="0" w:space="0" w:color="auto"/>
      </w:divBdr>
    </w:div>
    <w:div w:id="688455810">
      <w:bodyDiv w:val="1"/>
      <w:marLeft w:val="0"/>
      <w:marRight w:val="0"/>
      <w:marTop w:val="0"/>
      <w:marBottom w:val="0"/>
      <w:divBdr>
        <w:top w:val="none" w:sz="0" w:space="0" w:color="auto"/>
        <w:left w:val="none" w:sz="0" w:space="0" w:color="auto"/>
        <w:bottom w:val="none" w:sz="0" w:space="0" w:color="auto"/>
        <w:right w:val="none" w:sz="0" w:space="0" w:color="auto"/>
      </w:divBdr>
    </w:div>
    <w:div w:id="781455232">
      <w:bodyDiv w:val="1"/>
      <w:marLeft w:val="0"/>
      <w:marRight w:val="0"/>
      <w:marTop w:val="0"/>
      <w:marBottom w:val="0"/>
      <w:divBdr>
        <w:top w:val="none" w:sz="0" w:space="0" w:color="auto"/>
        <w:left w:val="none" w:sz="0" w:space="0" w:color="auto"/>
        <w:bottom w:val="none" w:sz="0" w:space="0" w:color="auto"/>
        <w:right w:val="none" w:sz="0" w:space="0" w:color="auto"/>
      </w:divBdr>
    </w:div>
    <w:div w:id="19484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www.qaa.ac.uk/en/quality-code/subject-benchmark-statements" TargetMode="External"/><Relationship Id="rId26" Type="http://schemas.openxmlformats.org/officeDocument/2006/relationships/hyperlink" Target="http://www.edgehill.ac.uk/aqdu/external-examiners/" TargetMode="External"/><Relationship Id="rId39" Type="http://schemas.openxmlformats.org/officeDocument/2006/relationships/fontTable" Target="fontTable.xml"/><Relationship Id="rId21" Type="http://schemas.openxmlformats.org/officeDocument/2006/relationships/hyperlink" Target="https://www.edgehill.ac.uk/document/marking-and-moderating-assessed-wor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officeforstudents.org.uk/media/53821cbf-5779-4380-bf2a-aa8f5c53ecd4/sector-recognised-standards.pdf" TargetMode="External"/><Relationship Id="rId25" Type="http://schemas.openxmlformats.org/officeDocument/2006/relationships/hyperlink" Target="http://www.edgehill.ac.uk/aqdu/monitoring-and-review/"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dgehill.ac.uk/departments/support/gqasc/agqa/course-design-development-and-approval/" TargetMode="External"/><Relationship Id="rId20" Type="http://schemas.openxmlformats.org/officeDocument/2006/relationships/hyperlink" Target="https://www.qaa.ac.uk/quality-code" TargetMode="External"/><Relationship Id="rId29" Type="http://schemas.openxmlformats.org/officeDocument/2006/relationships/hyperlink" Target="https://www.universitiesuk.ac.uk/policy-and-analysis/reports/Documents/2017/understanding-degree-algorith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53821cbf-5779-4380-bf2a-aa8f5c53ecd4/sector-recognised-standards.pdf" TargetMode="External"/><Relationship Id="rId24" Type="http://schemas.openxmlformats.org/officeDocument/2006/relationships/hyperlink" Target="https://view.officeapps.live.com/op/view.aspx?src=https%3A%2F%2Fwww.edgehill.ac.uk%2Fwp-content%2Fuploads%2Fdocuments%2FQMH-Chapter-5-academic-partnerships.docx&amp;wdOrigin=BROWSELINK" TargetMode="External"/><Relationship Id="rId32" Type="http://schemas.openxmlformats.org/officeDocument/2006/relationships/hyperlink" Target="https://www.edgehill.ac.uk/documents/access-participation-pla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gehill.ac.uk/wp-content/uploads/documents/learning-and-teaching-strategy.pdf" TargetMode="External"/><Relationship Id="rId23" Type="http://schemas.openxmlformats.org/officeDocument/2006/relationships/hyperlink" Target="https://www.edgehill.ac.uk/departments/support/gqasc/student-casework/" TargetMode="External"/><Relationship Id="rId28" Type="http://schemas.openxmlformats.org/officeDocument/2006/relationships/hyperlink" Target="https://www.edgehill.ac.uk/document/appendix-3-list-of-named-award-titles/" TargetMode="External"/><Relationship Id="rId36" Type="http://schemas.openxmlformats.org/officeDocument/2006/relationships/footer" Target="footer2.xml"/><Relationship Id="rId10" Type="http://schemas.openxmlformats.org/officeDocument/2006/relationships/hyperlink" Target="https://www.edgehill.ac.uk/corporate-information/board-of-governors" TargetMode="External"/><Relationship Id="rId19" Type="http://schemas.openxmlformats.org/officeDocument/2006/relationships/hyperlink" Target="http://www.edgehill.ac.uk/aqdu/professional-accreditations/" TargetMode="External"/><Relationship Id="rId31" Type="http://schemas.openxmlformats.org/officeDocument/2006/relationships/hyperlink" Target="https://www.edgehill.ac.uk/document/learning-and-teaching-strategy/" TargetMode="External"/><Relationship Id="rId4" Type="http://schemas.openxmlformats.org/officeDocument/2006/relationships/settings" Target="settings.xml"/><Relationship Id="rId9" Type="http://schemas.openxmlformats.org/officeDocument/2006/relationships/hyperlink" Target="https://www.edgehill.ac.uk/aqdu/academic-governance/" TargetMode="External"/><Relationship Id="rId14" Type="http://schemas.openxmlformats.org/officeDocument/2006/relationships/hyperlink" Target="https://www.edgehill.ac.uk/documents/quality-management-handbook/" TargetMode="External"/><Relationship Id="rId22" Type="http://schemas.openxmlformats.org/officeDocument/2006/relationships/hyperlink" Target="https://www.edgehill.ac.uk/document/appendix-7-procedures-for-the-submission-of-personal-circumstances-2022-23/" TargetMode="External"/><Relationship Id="rId27" Type="http://schemas.openxmlformats.org/officeDocument/2006/relationships/hyperlink" Target="https://www.edgehill.ac.uk/document/academic-regulations-2022-23/" TargetMode="External"/><Relationship Id="rId30" Type="http://schemas.openxmlformats.org/officeDocument/2006/relationships/hyperlink" Target="https://www.edgehill.ac.uk/document/academic-regulations-2022-23/"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allboh\Desktop\Copy%20of%20Degree%20Outcome%20Statement%20(H%20Smallbon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mallboh\Desktop\Copy%20of%20Degree%20Outcome%20Statement%20(H%20Smallbo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Percentage of First and Upper Second-Class Honours Awarded to First Degree Students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Faculty!$C$28</c:f>
              <c:strCache>
                <c:ptCount val="1"/>
                <c:pt idx="0">
                  <c:v>2017/18</c:v>
                </c:pt>
              </c:strCache>
            </c:strRef>
          </c:tx>
          <c:spPr>
            <a:solidFill>
              <a:schemeClr val="accent1"/>
            </a:solidFill>
            <a:ln>
              <a:noFill/>
            </a:ln>
            <a:effectLst/>
          </c:spPr>
          <c:invertIfNegative val="0"/>
          <c:cat>
            <c:strRef>
              <c:f>Faculty!$B$29:$B$32</c:f>
              <c:strCache>
                <c:ptCount val="4"/>
                <c:pt idx="0">
                  <c:v>EHU</c:v>
                </c:pt>
                <c:pt idx="1">
                  <c:v>Faculty of Arts &amp; Sciences</c:v>
                </c:pt>
                <c:pt idx="2">
                  <c:v>Faculty of Education</c:v>
                </c:pt>
                <c:pt idx="3">
                  <c:v>Faculty of Health, Social Care &amp; Medicine</c:v>
                </c:pt>
              </c:strCache>
            </c:strRef>
          </c:cat>
          <c:val>
            <c:numRef>
              <c:f>Faculty!$C$29:$C$32</c:f>
              <c:numCache>
                <c:formatCode>0.0%</c:formatCode>
                <c:ptCount val="4"/>
                <c:pt idx="0">
                  <c:v>0.73399999999999999</c:v>
                </c:pt>
                <c:pt idx="1">
                  <c:v>0.71799999999999997</c:v>
                </c:pt>
                <c:pt idx="2">
                  <c:v>0.81799999999999995</c:v>
                </c:pt>
                <c:pt idx="3">
                  <c:v>0.68200000000000005</c:v>
                </c:pt>
              </c:numCache>
            </c:numRef>
          </c:val>
          <c:extLst>
            <c:ext xmlns:c16="http://schemas.microsoft.com/office/drawing/2014/chart" uri="{C3380CC4-5D6E-409C-BE32-E72D297353CC}">
              <c16:uniqueId val="{00000000-8E4E-4F04-9532-6161E1D67C28}"/>
            </c:ext>
          </c:extLst>
        </c:ser>
        <c:ser>
          <c:idx val="1"/>
          <c:order val="1"/>
          <c:tx>
            <c:strRef>
              <c:f>Faculty!$D$28</c:f>
              <c:strCache>
                <c:ptCount val="1"/>
                <c:pt idx="0">
                  <c:v>2018/19</c:v>
                </c:pt>
              </c:strCache>
            </c:strRef>
          </c:tx>
          <c:spPr>
            <a:solidFill>
              <a:schemeClr val="accent2"/>
            </a:solidFill>
            <a:ln>
              <a:noFill/>
            </a:ln>
            <a:effectLst/>
          </c:spPr>
          <c:invertIfNegative val="0"/>
          <c:cat>
            <c:strRef>
              <c:f>Faculty!$B$29:$B$32</c:f>
              <c:strCache>
                <c:ptCount val="4"/>
                <c:pt idx="0">
                  <c:v>EHU</c:v>
                </c:pt>
                <c:pt idx="1">
                  <c:v>Faculty of Arts &amp; Sciences</c:v>
                </c:pt>
                <c:pt idx="2">
                  <c:v>Faculty of Education</c:v>
                </c:pt>
                <c:pt idx="3">
                  <c:v>Faculty of Health, Social Care &amp; Medicine</c:v>
                </c:pt>
              </c:strCache>
            </c:strRef>
          </c:cat>
          <c:val>
            <c:numRef>
              <c:f>Faculty!$D$29:$D$32</c:f>
              <c:numCache>
                <c:formatCode>0.0%</c:formatCode>
                <c:ptCount val="4"/>
                <c:pt idx="0">
                  <c:v>0.71099999999999997</c:v>
                </c:pt>
                <c:pt idx="1">
                  <c:v>0.71299999999999997</c:v>
                </c:pt>
                <c:pt idx="2">
                  <c:v>0.74299999999999999</c:v>
                </c:pt>
                <c:pt idx="3">
                  <c:v>0.67100000000000004</c:v>
                </c:pt>
              </c:numCache>
            </c:numRef>
          </c:val>
          <c:extLst>
            <c:ext xmlns:c16="http://schemas.microsoft.com/office/drawing/2014/chart" uri="{C3380CC4-5D6E-409C-BE32-E72D297353CC}">
              <c16:uniqueId val="{00000001-8E4E-4F04-9532-6161E1D67C28}"/>
            </c:ext>
          </c:extLst>
        </c:ser>
        <c:ser>
          <c:idx val="2"/>
          <c:order val="2"/>
          <c:tx>
            <c:strRef>
              <c:f>Faculty!$E$28</c:f>
              <c:strCache>
                <c:ptCount val="1"/>
                <c:pt idx="0">
                  <c:v>2019/20</c:v>
                </c:pt>
              </c:strCache>
            </c:strRef>
          </c:tx>
          <c:spPr>
            <a:solidFill>
              <a:schemeClr val="accent3"/>
            </a:solidFill>
            <a:ln>
              <a:noFill/>
            </a:ln>
            <a:effectLst/>
          </c:spPr>
          <c:invertIfNegative val="0"/>
          <c:cat>
            <c:strRef>
              <c:f>Faculty!$B$29:$B$32</c:f>
              <c:strCache>
                <c:ptCount val="4"/>
                <c:pt idx="0">
                  <c:v>EHU</c:v>
                </c:pt>
                <c:pt idx="1">
                  <c:v>Faculty of Arts &amp; Sciences</c:v>
                </c:pt>
                <c:pt idx="2">
                  <c:v>Faculty of Education</c:v>
                </c:pt>
                <c:pt idx="3">
                  <c:v>Faculty of Health, Social Care &amp; Medicine</c:v>
                </c:pt>
              </c:strCache>
            </c:strRef>
          </c:cat>
          <c:val>
            <c:numRef>
              <c:f>Faculty!$E$29:$E$32</c:f>
              <c:numCache>
                <c:formatCode>0.0%</c:formatCode>
                <c:ptCount val="4"/>
                <c:pt idx="0">
                  <c:v>0.754</c:v>
                </c:pt>
                <c:pt idx="1">
                  <c:v>0.77700000000000002</c:v>
                </c:pt>
                <c:pt idx="2">
                  <c:v>0.81499999999999995</c:v>
                </c:pt>
                <c:pt idx="3">
                  <c:v>0.63100000000000001</c:v>
                </c:pt>
              </c:numCache>
            </c:numRef>
          </c:val>
          <c:extLst>
            <c:ext xmlns:c16="http://schemas.microsoft.com/office/drawing/2014/chart" uri="{C3380CC4-5D6E-409C-BE32-E72D297353CC}">
              <c16:uniqueId val="{00000002-8E4E-4F04-9532-6161E1D67C28}"/>
            </c:ext>
          </c:extLst>
        </c:ser>
        <c:ser>
          <c:idx val="3"/>
          <c:order val="3"/>
          <c:tx>
            <c:strRef>
              <c:f>Faculty!$F$28</c:f>
              <c:strCache>
                <c:ptCount val="1"/>
                <c:pt idx="0">
                  <c:v>2020/21</c:v>
                </c:pt>
              </c:strCache>
            </c:strRef>
          </c:tx>
          <c:spPr>
            <a:solidFill>
              <a:schemeClr val="accent4"/>
            </a:solidFill>
            <a:ln>
              <a:noFill/>
            </a:ln>
            <a:effectLst/>
          </c:spPr>
          <c:invertIfNegative val="0"/>
          <c:cat>
            <c:strRef>
              <c:f>Faculty!$B$29:$B$32</c:f>
              <c:strCache>
                <c:ptCount val="4"/>
                <c:pt idx="0">
                  <c:v>EHU</c:v>
                </c:pt>
                <c:pt idx="1">
                  <c:v>Faculty of Arts &amp; Sciences</c:v>
                </c:pt>
                <c:pt idx="2">
                  <c:v>Faculty of Education</c:v>
                </c:pt>
                <c:pt idx="3">
                  <c:v>Faculty of Health, Social Care &amp; Medicine</c:v>
                </c:pt>
              </c:strCache>
            </c:strRef>
          </c:cat>
          <c:val>
            <c:numRef>
              <c:f>Faculty!$F$29:$F$32</c:f>
              <c:numCache>
                <c:formatCode>0.0%</c:formatCode>
                <c:ptCount val="4"/>
                <c:pt idx="0">
                  <c:v>0.78900000000000003</c:v>
                </c:pt>
                <c:pt idx="1">
                  <c:v>0.80700000000000005</c:v>
                </c:pt>
                <c:pt idx="2">
                  <c:v>0.80700000000000005</c:v>
                </c:pt>
                <c:pt idx="3">
                  <c:v>0.72899999999999998</c:v>
                </c:pt>
              </c:numCache>
            </c:numRef>
          </c:val>
          <c:extLst>
            <c:ext xmlns:c16="http://schemas.microsoft.com/office/drawing/2014/chart" uri="{C3380CC4-5D6E-409C-BE32-E72D297353CC}">
              <c16:uniqueId val="{00000003-8E4E-4F04-9532-6161E1D67C28}"/>
            </c:ext>
          </c:extLst>
        </c:ser>
        <c:ser>
          <c:idx val="4"/>
          <c:order val="4"/>
          <c:tx>
            <c:strRef>
              <c:f>Faculty!$G$28</c:f>
              <c:strCache>
                <c:ptCount val="1"/>
                <c:pt idx="0">
                  <c:v>2021/22</c:v>
                </c:pt>
              </c:strCache>
            </c:strRef>
          </c:tx>
          <c:spPr>
            <a:solidFill>
              <a:schemeClr val="accent5"/>
            </a:solidFill>
            <a:ln>
              <a:noFill/>
            </a:ln>
            <a:effectLst/>
          </c:spPr>
          <c:invertIfNegative val="0"/>
          <c:cat>
            <c:strRef>
              <c:f>Faculty!$B$29:$B$32</c:f>
              <c:strCache>
                <c:ptCount val="4"/>
                <c:pt idx="0">
                  <c:v>EHU</c:v>
                </c:pt>
                <c:pt idx="1">
                  <c:v>Faculty of Arts &amp; Sciences</c:v>
                </c:pt>
                <c:pt idx="2">
                  <c:v>Faculty of Education</c:v>
                </c:pt>
                <c:pt idx="3">
                  <c:v>Faculty of Health, Social Care &amp; Medicine</c:v>
                </c:pt>
              </c:strCache>
            </c:strRef>
          </c:cat>
          <c:val>
            <c:numRef>
              <c:f>Faculty!$G$29:$G$32</c:f>
              <c:numCache>
                <c:formatCode>0.0%</c:formatCode>
                <c:ptCount val="4"/>
                <c:pt idx="0">
                  <c:v>0.77</c:v>
                </c:pt>
                <c:pt idx="1">
                  <c:v>0.76500000000000001</c:v>
                </c:pt>
                <c:pt idx="2">
                  <c:v>0.78900000000000003</c:v>
                </c:pt>
                <c:pt idx="3">
                  <c:v>0.76300000000000001</c:v>
                </c:pt>
              </c:numCache>
            </c:numRef>
          </c:val>
          <c:extLst>
            <c:ext xmlns:c16="http://schemas.microsoft.com/office/drawing/2014/chart" uri="{C3380CC4-5D6E-409C-BE32-E72D297353CC}">
              <c16:uniqueId val="{00000004-8E4E-4F04-9532-6161E1D67C28}"/>
            </c:ext>
          </c:extLst>
        </c:ser>
        <c:dLbls>
          <c:showLegendKey val="0"/>
          <c:showVal val="0"/>
          <c:showCatName val="0"/>
          <c:showSerName val="0"/>
          <c:showPercent val="0"/>
          <c:showBubbleSize val="0"/>
        </c:dLbls>
        <c:gapWidth val="219"/>
        <c:overlap val="-27"/>
        <c:axId val="1729006015"/>
        <c:axId val="1729006431"/>
      </c:barChart>
      <c:catAx>
        <c:axId val="17290060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006431"/>
        <c:crosses val="autoZero"/>
        <c:auto val="1"/>
        <c:lblAlgn val="ctr"/>
        <c:lblOffset val="100"/>
        <c:noMultiLvlLbl val="0"/>
      </c:catAx>
      <c:valAx>
        <c:axId val="17290064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006015"/>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Percentage of First and Upper Second-Class Honours Awarded </a:t>
            </a:r>
            <a:r>
              <a:rPr lang="en-GB" sz="1200" b="0" i="0" u="none" strike="noStrike" baseline="0">
                <a:effectLst/>
              </a:rPr>
              <a:t>t</a:t>
            </a:r>
            <a:r>
              <a:rPr lang="en-GB" sz="1200"/>
              <a:t>o First Degree Students by Academic Year and Student Characteristic</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Characteristic!$J$3</c:f>
              <c:strCache>
                <c:ptCount val="1"/>
                <c:pt idx="0">
                  <c:v>2017/18</c:v>
                </c:pt>
              </c:strCache>
            </c:strRef>
          </c:tx>
          <c:spPr>
            <a:solidFill>
              <a:schemeClr val="accent1"/>
            </a:solidFill>
            <a:ln>
              <a:noFill/>
            </a:ln>
            <a:effectLst/>
          </c:spPr>
          <c:invertIfNegative val="0"/>
          <c:cat>
            <c:strRef>
              <c:f>Characteristic!$K$2:$P$2</c:f>
              <c:strCache>
                <c:ptCount val="6"/>
                <c:pt idx="0">
                  <c:v>Female</c:v>
                </c:pt>
                <c:pt idx="1">
                  <c:v>Male</c:v>
                </c:pt>
                <c:pt idx="2">
                  <c:v>Under 21</c:v>
                </c:pt>
                <c:pt idx="3">
                  <c:v>21 and over</c:v>
                </c:pt>
                <c:pt idx="4">
                  <c:v>BAME</c:v>
                </c:pt>
                <c:pt idx="5">
                  <c:v>Non-BAME</c:v>
                </c:pt>
              </c:strCache>
            </c:strRef>
          </c:cat>
          <c:val>
            <c:numRef>
              <c:f>Characteristic!$K$3:$P$3</c:f>
              <c:numCache>
                <c:formatCode>0.0%</c:formatCode>
                <c:ptCount val="6"/>
                <c:pt idx="0">
                  <c:v>0.76400000000000001</c:v>
                </c:pt>
                <c:pt idx="1">
                  <c:v>0.66600000000000004</c:v>
                </c:pt>
                <c:pt idx="2">
                  <c:v>0.78200000000000003</c:v>
                </c:pt>
                <c:pt idx="3">
                  <c:v>0.69699999999999995</c:v>
                </c:pt>
                <c:pt idx="4">
                  <c:v>0.60199999999999998</c:v>
                </c:pt>
                <c:pt idx="5">
                  <c:v>0.751</c:v>
                </c:pt>
              </c:numCache>
            </c:numRef>
          </c:val>
          <c:extLst>
            <c:ext xmlns:c16="http://schemas.microsoft.com/office/drawing/2014/chart" uri="{C3380CC4-5D6E-409C-BE32-E72D297353CC}">
              <c16:uniqueId val="{00000000-D012-4465-8370-B267F19B6A5E}"/>
            </c:ext>
          </c:extLst>
        </c:ser>
        <c:ser>
          <c:idx val="1"/>
          <c:order val="1"/>
          <c:tx>
            <c:strRef>
              <c:f>Characteristic!$J$4</c:f>
              <c:strCache>
                <c:ptCount val="1"/>
                <c:pt idx="0">
                  <c:v>2018/19</c:v>
                </c:pt>
              </c:strCache>
            </c:strRef>
          </c:tx>
          <c:spPr>
            <a:solidFill>
              <a:schemeClr val="accent2"/>
            </a:solidFill>
            <a:ln>
              <a:noFill/>
            </a:ln>
            <a:effectLst/>
          </c:spPr>
          <c:invertIfNegative val="0"/>
          <c:cat>
            <c:strRef>
              <c:f>Characteristic!$K$2:$P$2</c:f>
              <c:strCache>
                <c:ptCount val="6"/>
                <c:pt idx="0">
                  <c:v>Female</c:v>
                </c:pt>
                <c:pt idx="1">
                  <c:v>Male</c:v>
                </c:pt>
                <c:pt idx="2">
                  <c:v>Under 21</c:v>
                </c:pt>
                <c:pt idx="3">
                  <c:v>21 and over</c:v>
                </c:pt>
                <c:pt idx="4">
                  <c:v>BAME</c:v>
                </c:pt>
                <c:pt idx="5">
                  <c:v>Non-BAME</c:v>
                </c:pt>
              </c:strCache>
            </c:strRef>
          </c:cat>
          <c:val>
            <c:numRef>
              <c:f>Characteristic!$K$4:$P$4</c:f>
              <c:numCache>
                <c:formatCode>0.0%</c:formatCode>
                <c:ptCount val="6"/>
                <c:pt idx="0">
                  <c:v>0.73399999999999999</c:v>
                </c:pt>
                <c:pt idx="1">
                  <c:v>0.66</c:v>
                </c:pt>
                <c:pt idx="2">
                  <c:v>0.73699999999999999</c:v>
                </c:pt>
                <c:pt idx="3">
                  <c:v>0.69</c:v>
                </c:pt>
                <c:pt idx="4">
                  <c:v>0.65100000000000002</c:v>
                </c:pt>
                <c:pt idx="5">
                  <c:v>0.71699999999999997</c:v>
                </c:pt>
              </c:numCache>
            </c:numRef>
          </c:val>
          <c:extLst>
            <c:ext xmlns:c16="http://schemas.microsoft.com/office/drawing/2014/chart" uri="{C3380CC4-5D6E-409C-BE32-E72D297353CC}">
              <c16:uniqueId val="{00000001-D012-4465-8370-B267F19B6A5E}"/>
            </c:ext>
          </c:extLst>
        </c:ser>
        <c:ser>
          <c:idx val="2"/>
          <c:order val="2"/>
          <c:tx>
            <c:strRef>
              <c:f>Characteristic!$J$5</c:f>
              <c:strCache>
                <c:ptCount val="1"/>
                <c:pt idx="0">
                  <c:v>2019/20</c:v>
                </c:pt>
              </c:strCache>
            </c:strRef>
          </c:tx>
          <c:spPr>
            <a:solidFill>
              <a:schemeClr val="accent3"/>
            </a:solidFill>
            <a:ln>
              <a:noFill/>
            </a:ln>
            <a:effectLst/>
          </c:spPr>
          <c:invertIfNegative val="0"/>
          <c:cat>
            <c:strRef>
              <c:f>Characteristic!$K$2:$P$2</c:f>
              <c:strCache>
                <c:ptCount val="6"/>
                <c:pt idx="0">
                  <c:v>Female</c:v>
                </c:pt>
                <c:pt idx="1">
                  <c:v>Male</c:v>
                </c:pt>
                <c:pt idx="2">
                  <c:v>Under 21</c:v>
                </c:pt>
                <c:pt idx="3">
                  <c:v>21 and over</c:v>
                </c:pt>
                <c:pt idx="4">
                  <c:v>BAME</c:v>
                </c:pt>
                <c:pt idx="5">
                  <c:v>Non-BAME</c:v>
                </c:pt>
              </c:strCache>
            </c:strRef>
          </c:cat>
          <c:val>
            <c:numRef>
              <c:f>Characteristic!$K$5:$P$5</c:f>
              <c:numCache>
                <c:formatCode>0.0%</c:formatCode>
                <c:ptCount val="6"/>
                <c:pt idx="0">
                  <c:v>0.76700000000000002</c:v>
                </c:pt>
                <c:pt idx="1">
                  <c:v>0.72299999999999998</c:v>
                </c:pt>
                <c:pt idx="2">
                  <c:v>0.8</c:v>
                </c:pt>
                <c:pt idx="3">
                  <c:v>0.71699999999999997</c:v>
                </c:pt>
                <c:pt idx="4">
                  <c:v>0.6</c:v>
                </c:pt>
                <c:pt idx="5">
                  <c:v>0.76600000000000001</c:v>
                </c:pt>
              </c:numCache>
            </c:numRef>
          </c:val>
          <c:extLst>
            <c:ext xmlns:c16="http://schemas.microsoft.com/office/drawing/2014/chart" uri="{C3380CC4-5D6E-409C-BE32-E72D297353CC}">
              <c16:uniqueId val="{00000002-D012-4465-8370-B267F19B6A5E}"/>
            </c:ext>
          </c:extLst>
        </c:ser>
        <c:ser>
          <c:idx val="3"/>
          <c:order val="3"/>
          <c:tx>
            <c:strRef>
              <c:f>Characteristic!$J$6</c:f>
              <c:strCache>
                <c:ptCount val="1"/>
                <c:pt idx="0">
                  <c:v>2020/21</c:v>
                </c:pt>
              </c:strCache>
            </c:strRef>
          </c:tx>
          <c:spPr>
            <a:solidFill>
              <a:schemeClr val="accent4"/>
            </a:solidFill>
            <a:ln>
              <a:noFill/>
            </a:ln>
            <a:effectLst/>
          </c:spPr>
          <c:invertIfNegative val="0"/>
          <c:cat>
            <c:strRef>
              <c:f>Characteristic!$K$2:$P$2</c:f>
              <c:strCache>
                <c:ptCount val="6"/>
                <c:pt idx="0">
                  <c:v>Female</c:v>
                </c:pt>
                <c:pt idx="1">
                  <c:v>Male</c:v>
                </c:pt>
                <c:pt idx="2">
                  <c:v>Under 21</c:v>
                </c:pt>
                <c:pt idx="3">
                  <c:v>21 and over</c:v>
                </c:pt>
                <c:pt idx="4">
                  <c:v>BAME</c:v>
                </c:pt>
                <c:pt idx="5">
                  <c:v>Non-BAME</c:v>
                </c:pt>
              </c:strCache>
            </c:strRef>
          </c:cat>
          <c:val>
            <c:numRef>
              <c:f>Characteristic!$K$6:$P$6</c:f>
              <c:numCache>
                <c:formatCode>0.0%</c:formatCode>
                <c:ptCount val="6"/>
                <c:pt idx="0">
                  <c:v>0.80500000000000005</c:v>
                </c:pt>
                <c:pt idx="1">
                  <c:v>0.749</c:v>
                </c:pt>
                <c:pt idx="2">
                  <c:v>0.82799999999999996</c:v>
                </c:pt>
                <c:pt idx="3">
                  <c:v>0.75</c:v>
                </c:pt>
                <c:pt idx="4">
                  <c:v>0.68100000000000005</c:v>
                </c:pt>
                <c:pt idx="5">
                  <c:v>0.79800000000000004</c:v>
                </c:pt>
              </c:numCache>
            </c:numRef>
          </c:val>
          <c:extLst>
            <c:ext xmlns:c16="http://schemas.microsoft.com/office/drawing/2014/chart" uri="{C3380CC4-5D6E-409C-BE32-E72D297353CC}">
              <c16:uniqueId val="{00000003-D012-4465-8370-B267F19B6A5E}"/>
            </c:ext>
          </c:extLst>
        </c:ser>
        <c:ser>
          <c:idx val="4"/>
          <c:order val="4"/>
          <c:tx>
            <c:strRef>
              <c:f>Characteristic!$J$7</c:f>
              <c:strCache>
                <c:ptCount val="1"/>
                <c:pt idx="0">
                  <c:v>2021/22</c:v>
                </c:pt>
              </c:strCache>
            </c:strRef>
          </c:tx>
          <c:spPr>
            <a:solidFill>
              <a:schemeClr val="accent5"/>
            </a:solidFill>
            <a:ln>
              <a:noFill/>
            </a:ln>
            <a:effectLst/>
          </c:spPr>
          <c:invertIfNegative val="0"/>
          <c:cat>
            <c:strRef>
              <c:f>Characteristic!$K$2:$P$2</c:f>
              <c:strCache>
                <c:ptCount val="6"/>
                <c:pt idx="0">
                  <c:v>Female</c:v>
                </c:pt>
                <c:pt idx="1">
                  <c:v>Male</c:v>
                </c:pt>
                <c:pt idx="2">
                  <c:v>Under 21</c:v>
                </c:pt>
                <c:pt idx="3">
                  <c:v>21 and over</c:v>
                </c:pt>
                <c:pt idx="4">
                  <c:v>BAME</c:v>
                </c:pt>
                <c:pt idx="5">
                  <c:v>Non-BAME</c:v>
                </c:pt>
              </c:strCache>
            </c:strRef>
          </c:cat>
          <c:val>
            <c:numRef>
              <c:f>Characteristic!$K$7:$P$7</c:f>
              <c:numCache>
                <c:formatCode>0.0%</c:formatCode>
                <c:ptCount val="6"/>
                <c:pt idx="0">
                  <c:v>0.79900000000000004</c:v>
                </c:pt>
                <c:pt idx="1">
                  <c:v>0.69599999999999995</c:v>
                </c:pt>
                <c:pt idx="2">
                  <c:v>0.80500000000000005</c:v>
                </c:pt>
                <c:pt idx="3">
                  <c:v>0.73499999999999999</c:v>
                </c:pt>
                <c:pt idx="4">
                  <c:v>0.64600000000000002</c:v>
                </c:pt>
                <c:pt idx="5">
                  <c:v>0.77800000000000002</c:v>
                </c:pt>
              </c:numCache>
            </c:numRef>
          </c:val>
          <c:extLst>
            <c:ext xmlns:c16="http://schemas.microsoft.com/office/drawing/2014/chart" uri="{C3380CC4-5D6E-409C-BE32-E72D297353CC}">
              <c16:uniqueId val="{00000004-D012-4465-8370-B267F19B6A5E}"/>
            </c:ext>
          </c:extLst>
        </c:ser>
        <c:dLbls>
          <c:showLegendKey val="0"/>
          <c:showVal val="0"/>
          <c:showCatName val="0"/>
          <c:showSerName val="0"/>
          <c:showPercent val="0"/>
          <c:showBubbleSize val="0"/>
        </c:dLbls>
        <c:gapWidth val="219"/>
        <c:overlap val="-27"/>
        <c:axId val="1376240287"/>
        <c:axId val="1376241535"/>
      </c:barChart>
      <c:catAx>
        <c:axId val="1376240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76241535"/>
        <c:crosses val="autoZero"/>
        <c:auto val="1"/>
        <c:lblAlgn val="ctr"/>
        <c:lblOffset val="100"/>
        <c:noMultiLvlLbl val="0"/>
      </c:catAx>
      <c:valAx>
        <c:axId val="13762415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76240287"/>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1427-76DD-4BF1-90E1-E1FD255A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Turjansky</dc:creator>
  <cp:keywords/>
  <dc:description/>
  <cp:lastModifiedBy>Jennifer Smith</cp:lastModifiedBy>
  <cp:revision>8</cp:revision>
  <dcterms:created xsi:type="dcterms:W3CDTF">2022-11-09T07:48:00Z</dcterms:created>
  <dcterms:modified xsi:type="dcterms:W3CDTF">2023-01-06T10:10:00Z</dcterms:modified>
</cp:coreProperties>
</file>