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0F839" w14:textId="3628D282" w:rsidR="005A7A04" w:rsidRPr="00013734" w:rsidRDefault="005A7A04" w:rsidP="005A7A04">
      <w:pPr>
        <w:pStyle w:val="NoSpacing"/>
        <w:jc w:val="right"/>
        <w:rPr>
          <w:rFonts w:cs="Arial"/>
          <w:b/>
          <w:szCs w:val="24"/>
        </w:rPr>
      </w:pPr>
      <w:r w:rsidRPr="00013734">
        <w:rPr>
          <w:rFonts w:cs="Arial"/>
          <w:b/>
          <w:noProof/>
          <w:szCs w:val="24"/>
        </w:rPr>
        <w:drawing>
          <wp:inline distT="0" distB="0" distL="0" distR="0" wp14:anchorId="41CD5EF5" wp14:editId="30DE5791">
            <wp:extent cx="1070642" cy="579120"/>
            <wp:effectExtent l="0" t="0" r="0" b="0"/>
            <wp:docPr id="3" name="Picture 3" descr="A picture containing sitt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EHU Logo.jpg"/>
                    <pic:cNvPicPr/>
                  </pic:nvPicPr>
                  <pic:blipFill rotWithShape="1">
                    <a:blip r:embed="rId8" cstate="print">
                      <a:extLst>
                        <a:ext uri="{28A0092B-C50C-407E-A947-70E740481C1C}">
                          <a14:useLocalDpi xmlns:a14="http://schemas.microsoft.com/office/drawing/2010/main" val="0"/>
                        </a:ext>
                      </a:extLst>
                    </a:blip>
                    <a:srcRect l="12810" t="25784" r="14925" b="19416"/>
                    <a:stretch/>
                  </pic:blipFill>
                  <pic:spPr bwMode="auto">
                    <a:xfrm>
                      <a:off x="0" y="0"/>
                      <a:ext cx="1070642" cy="579120"/>
                    </a:xfrm>
                    <a:prstGeom prst="rect">
                      <a:avLst/>
                    </a:prstGeom>
                    <a:ln>
                      <a:noFill/>
                    </a:ln>
                    <a:extLst>
                      <a:ext uri="{53640926-AAD7-44D8-BBD7-CCE9431645EC}">
                        <a14:shadowObscured xmlns:a14="http://schemas.microsoft.com/office/drawing/2010/main"/>
                      </a:ext>
                    </a:extLst>
                  </pic:spPr>
                </pic:pic>
              </a:graphicData>
            </a:graphic>
          </wp:inline>
        </w:drawing>
      </w:r>
    </w:p>
    <w:p w14:paraId="57209493" w14:textId="77777777" w:rsidR="00013734" w:rsidRPr="00013734" w:rsidRDefault="00013734" w:rsidP="005A7A04">
      <w:pPr>
        <w:pStyle w:val="NoSpacing"/>
        <w:jc w:val="right"/>
        <w:rPr>
          <w:rFonts w:cs="Arial"/>
          <w:b/>
          <w:szCs w:val="24"/>
        </w:rPr>
      </w:pPr>
    </w:p>
    <w:p w14:paraId="6A106031" w14:textId="53C98E6F" w:rsidR="007D1CE8" w:rsidRPr="00013734" w:rsidRDefault="007D1CE8" w:rsidP="00013734">
      <w:pPr>
        <w:pStyle w:val="Title"/>
        <w:jc w:val="center"/>
        <w:rPr>
          <w:rFonts w:ascii="Arial" w:hAnsi="Arial" w:cs="Arial"/>
          <w:b/>
          <w:sz w:val="32"/>
          <w:szCs w:val="24"/>
        </w:rPr>
      </w:pPr>
      <w:r w:rsidRPr="00013734">
        <w:rPr>
          <w:rFonts w:ascii="Arial" w:hAnsi="Arial" w:cs="Arial"/>
          <w:b/>
          <w:sz w:val="32"/>
          <w:szCs w:val="24"/>
        </w:rPr>
        <w:t>Degree Outcomes Statement – Edge Hill University</w:t>
      </w:r>
    </w:p>
    <w:p w14:paraId="69941AC1" w14:textId="77777777" w:rsidR="000E44DD" w:rsidRDefault="000E44DD" w:rsidP="007D1CE8">
      <w:pPr>
        <w:pStyle w:val="NoSpacing"/>
        <w:spacing w:before="120"/>
        <w:rPr>
          <w:rFonts w:cs="Arial"/>
          <w:szCs w:val="24"/>
        </w:rPr>
      </w:pPr>
    </w:p>
    <w:p w14:paraId="68219BE3" w14:textId="5C8EB3C9" w:rsidR="00866AA7" w:rsidRDefault="007D1CE8" w:rsidP="007D1CE8">
      <w:pPr>
        <w:pStyle w:val="NoSpacing"/>
        <w:spacing w:before="120"/>
        <w:rPr>
          <w:rFonts w:cs="Arial"/>
          <w:szCs w:val="24"/>
        </w:rPr>
      </w:pPr>
      <w:r w:rsidRPr="00013734">
        <w:rPr>
          <w:rFonts w:cs="Arial"/>
          <w:szCs w:val="24"/>
        </w:rPr>
        <w:t>At Edge Hill University we strive to ensure that the standards of our degrees are appropriately set and maintained</w:t>
      </w:r>
      <w:r w:rsidR="0047623E">
        <w:rPr>
          <w:rFonts w:cs="Arial"/>
          <w:szCs w:val="24"/>
        </w:rPr>
        <w:t xml:space="preserve">, and that our qualifications hold their value </w:t>
      </w:r>
      <w:r w:rsidR="00F24BF0">
        <w:rPr>
          <w:rFonts w:cs="Arial"/>
          <w:szCs w:val="24"/>
        </w:rPr>
        <w:t xml:space="preserve">at the point of award and </w:t>
      </w:r>
      <w:r w:rsidR="0047623E">
        <w:rPr>
          <w:rFonts w:cs="Arial"/>
          <w:szCs w:val="24"/>
        </w:rPr>
        <w:t>over time</w:t>
      </w:r>
      <w:r w:rsidRPr="00013734">
        <w:rPr>
          <w:rFonts w:cs="Arial"/>
          <w:szCs w:val="24"/>
        </w:rPr>
        <w:t xml:space="preserve">. This Statement provides evidence to our </w:t>
      </w:r>
      <w:hyperlink r:id="rId9" w:history="1">
        <w:r w:rsidRPr="00013734">
          <w:rPr>
            <w:rStyle w:val="Hyperlink"/>
            <w:rFonts w:cs="Arial"/>
            <w:szCs w:val="24"/>
          </w:rPr>
          <w:t>Academic Board</w:t>
        </w:r>
      </w:hyperlink>
      <w:r w:rsidRPr="00013734">
        <w:rPr>
          <w:rFonts w:cs="Arial"/>
          <w:szCs w:val="24"/>
        </w:rPr>
        <w:t xml:space="preserve"> and </w:t>
      </w:r>
      <w:hyperlink r:id="rId10" w:history="1">
        <w:r w:rsidRPr="00013734">
          <w:rPr>
            <w:rStyle w:val="Hyperlink"/>
            <w:rFonts w:cs="Arial"/>
            <w:szCs w:val="24"/>
          </w:rPr>
          <w:t>Board of Governors</w:t>
        </w:r>
      </w:hyperlink>
      <w:r w:rsidRPr="00013734">
        <w:rPr>
          <w:rFonts w:cs="Arial"/>
          <w:szCs w:val="24"/>
        </w:rPr>
        <w:t>, students, employers and professional and regulatory bodies that the University</w:t>
      </w:r>
      <w:r w:rsidR="00E70452">
        <w:rPr>
          <w:rFonts w:cs="Arial"/>
          <w:szCs w:val="24"/>
        </w:rPr>
        <w:t>’s academic governance arrangements are robust</w:t>
      </w:r>
      <w:r w:rsidR="00181B46">
        <w:rPr>
          <w:rFonts w:cs="Arial"/>
          <w:szCs w:val="24"/>
        </w:rPr>
        <w:t xml:space="preserve"> </w:t>
      </w:r>
      <w:r w:rsidR="003F2165">
        <w:rPr>
          <w:rFonts w:cs="Arial"/>
          <w:szCs w:val="24"/>
        </w:rPr>
        <w:t>and ensure</w:t>
      </w:r>
      <w:r w:rsidR="002915F7">
        <w:rPr>
          <w:rFonts w:cs="Arial"/>
          <w:szCs w:val="24"/>
        </w:rPr>
        <w:t xml:space="preserve"> </w:t>
      </w:r>
      <w:r w:rsidR="006D77FE">
        <w:rPr>
          <w:rFonts w:cs="Arial"/>
          <w:szCs w:val="24"/>
        </w:rPr>
        <w:t xml:space="preserve">that </w:t>
      </w:r>
      <w:r w:rsidR="002915F7">
        <w:rPr>
          <w:rFonts w:cs="Arial"/>
          <w:szCs w:val="24"/>
        </w:rPr>
        <w:t>our qualifications meet</w:t>
      </w:r>
      <w:r w:rsidR="00E70452">
        <w:rPr>
          <w:rFonts w:cs="Arial"/>
          <w:szCs w:val="24"/>
        </w:rPr>
        <w:t xml:space="preserve"> sector recognised standards</w:t>
      </w:r>
      <w:r w:rsidRPr="00013734">
        <w:rPr>
          <w:rFonts w:cs="Arial"/>
          <w:szCs w:val="24"/>
        </w:rPr>
        <w:t>.</w:t>
      </w:r>
      <w:r w:rsidR="00A95267">
        <w:rPr>
          <w:rFonts w:cs="Arial"/>
          <w:szCs w:val="24"/>
        </w:rPr>
        <w:t xml:space="preserve"> </w:t>
      </w:r>
    </w:p>
    <w:p w14:paraId="13C23854" w14:textId="638410EB" w:rsidR="00A95267" w:rsidRPr="00013734" w:rsidRDefault="00BF4CBA" w:rsidP="007D1CE8">
      <w:pPr>
        <w:pStyle w:val="NoSpacing"/>
        <w:spacing w:before="120"/>
        <w:rPr>
          <w:rFonts w:cs="Arial"/>
          <w:szCs w:val="24"/>
        </w:rPr>
      </w:pPr>
      <w:r>
        <w:rPr>
          <w:rFonts w:cs="Arial"/>
          <w:szCs w:val="24"/>
        </w:rPr>
        <w:t xml:space="preserve">Data </w:t>
      </w:r>
      <w:r w:rsidR="00A95267">
        <w:rPr>
          <w:rFonts w:cs="Arial"/>
          <w:szCs w:val="24"/>
        </w:rPr>
        <w:t>on the University’s degree classification profile over the past five academic sessions is</w:t>
      </w:r>
      <w:r w:rsidR="001C2129">
        <w:rPr>
          <w:rFonts w:cs="Arial"/>
          <w:szCs w:val="24"/>
        </w:rPr>
        <w:t xml:space="preserve"> </w:t>
      </w:r>
      <w:r w:rsidR="005F0E12">
        <w:rPr>
          <w:rFonts w:cs="Arial"/>
          <w:szCs w:val="24"/>
        </w:rPr>
        <w:t>provided</w:t>
      </w:r>
      <w:r w:rsidR="00F378B7">
        <w:rPr>
          <w:rFonts w:cs="Arial"/>
          <w:szCs w:val="24"/>
        </w:rPr>
        <w:t>.</w:t>
      </w:r>
      <w:r w:rsidR="00EE3C0B">
        <w:rPr>
          <w:rFonts w:cs="Arial"/>
          <w:szCs w:val="24"/>
        </w:rPr>
        <w:t xml:space="preserve"> </w:t>
      </w:r>
      <w:r w:rsidR="00F378B7">
        <w:rPr>
          <w:rFonts w:cs="Arial"/>
          <w:szCs w:val="24"/>
        </w:rPr>
        <w:t>Th</w:t>
      </w:r>
      <w:r w:rsidR="001E7323">
        <w:rPr>
          <w:rFonts w:cs="Arial"/>
          <w:szCs w:val="24"/>
        </w:rPr>
        <w:t>e</w:t>
      </w:r>
      <w:r w:rsidR="001C2129">
        <w:rPr>
          <w:rFonts w:cs="Arial"/>
          <w:szCs w:val="24"/>
        </w:rPr>
        <w:t xml:space="preserve"> </w:t>
      </w:r>
      <w:r w:rsidR="00EF7C5D">
        <w:rPr>
          <w:rFonts w:cs="Arial"/>
          <w:szCs w:val="24"/>
        </w:rPr>
        <w:t>narrative</w:t>
      </w:r>
      <w:r w:rsidR="001C2129">
        <w:rPr>
          <w:rFonts w:cs="Arial"/>
          <w:szCs w:val="24"/>
        </w:rPr>
        <w:t xml:space="preserve"> in this Statement is generally applicable to </w:t>
      </w:r>
      <w:r w:rsidR="00AE68FB">
        <w:rPr>
          <w:rFonts w:cs="Arial"/>
          <w:szCs w:val="24"/>
        </w:rPr>
        <w:t>th</w:t>
      </w:r>
      <w:r w:rsidR="008A4116">
        <w:rPr>
          <w:rFonts w:cs="Arial"/>
          <w:szCs w:val="24"/>
        </w:rPr>
        <w:t>e whole</w:t>
      </w:r>
      <w:r w:rsidR="001C2129">
        <w:rPr>
          <w:rFonts w:cs="Arial"/>
          <w:szCs w:val="24"/>
        </w:rPr>
        <w:t xml:space="preserve"> </w:t>
      </w:r>
      <w:r w:rsidR="00EE3C0B">
        <w:rPr>
          <w:rFonts w:cs="Arial"/>
          <w:szCs w:val="24"/>
        </w:rPr>
        <w:t xml:space="preserve">of that </w:t>
      </w:r>
      <w:r w:rsidR="001C2129">
        <w:rPr>
          <w:rFonts w:cs="Arial"/>
          <w:szCs w:val="24"/>
        </w:rPr>
        <w:t>period</w:t>
      </w:r>
      <w:r w:rsidR="00B21DF3">
        <w:rPr>
          <w:rFonts w:cs="Arial"/>
          <w:szCs w:val="24"/>
        </w:rPr>
        <w:t>, however</w:t>
      </w:r>
      <w:r w:rsidR="004E56B6">
        <w:rPr>
          <w:rFonts w:cs="Arial"/>
          <w:szCs w:val="24"/>
        </w:rPr>
        <w:t>,</w:t>
      </w:r>
      <w:r w:rsidR="004E56B6" w:rsidRPr="004E56B6">
        <w:rPr>
          <w:rFonts w:cs="Arial"/>
          <w:szCs w:val="24"/>
        </w:rPr>
        <w:t xml:space="preserve"> </w:t>
      </w:r>
      <w:r w:rsidR="00F85D08">
        <w:rPr>
          <w:rFonts w:cs="Arial"/>
          <w:szCs w:val="24"/>
        </w:rPr>
        <w:t xml:space="preserve">in May 2020 </w:t>
      </w:r>
      <w:r w:rsidR="004E56B6">
        <w:rPr>
          <w:rFonts w:cs="Arial"/>
          <w:szCs w:val="24"/>
        </w:rPr>
        <w:t>the University was</w:t>
      </w:r>
      <w:r w:rsidR="00B21DF3">
        <w:rPr>
          <w:rFonts w:cs="Arial"/>
          <w:szCs w:val="24"/>
        </w:rPr>
        <w:t xml:space="preserve"> required to develop temporary regulations to mitigate the impact</w:t>
      </w:r>
      <w:r w:rsidR="004061E9">
        <w:rPr>
          <w:rFonts w:cs="Arial"/>
          <w:szCs w:val="24"/>
        </w:rPr>
        <w:t>s</w:t>
      </w:r>
      <w:r w:rsidR="00B21DF3">
        <w:rPr>
          <w:rFonts w:cs="Arial"/>
          <w:szCs w:val="24"/>
        </w:rPr>
        <w:t xml:space="preserve"> of the Covid-19 Pandemic</w:t>
      </w:r>
      <w:r w:rsidR="00E76132">
        <w:rPr>
          <w:rFonts w:cs="Arial"/>
          <w:szCs w:val="24"/>
        </w:rPr>
        <w:t>. Th</w:t>
      </w:r>
      <w:r w:rsidR="00D71C95">
        <w:rPr>
          <w:rFonts w:cs="Arial"/>
          <w:szCs w:val="24"/>
        </w:rPr>
        <w:t>e arrangements for the graduating cohort of 2019/20</w:t>
      </w:r>
      <w:r w:rsidR="00A82A22">
        <w:rPr>
          <w:rFonts w:cs="Arial"/>
          <w:szCs w:val="24"/>
        </w:rPr>
        <w:t xml:space="preserve"> </w:t>
      </w:r>
      <w:r w:rsidR="00E76132">
        <w:rPr>
          <w:rFonts w:cs="Arial"/>
          <w:szCs w:val="24"/>
        </w:rPr>
        <w:t xml:space="preserve">therefore </w:t>
      </w:r>
      <w:r w:rsidR="00A82A22">
        <w:rPr>
          <w:rFonts w:cs="Arial"/>
          <w:szCs w:val="24"/>
        </w:rPr>
        <w:t>vary from the standard approach and</w:t>
      </w:r>
      <w:r w:rsidR="00D71C95">
        <w:rPr>
          <w:rFonts w:cs="Arial"/>
          <w:szCs w:val="24"/>
        </w:rPr>
        <w:t xml:space="preserve"> </w:t>
      </w:r>
      <w:r w:rsidR="00E76132">
        <w:rPr>
          <w:rFonts w:cs="Arial"/>
          <w:szCs w:val="24"/>
        </w:rPr>
        <w:t>full details are given</w:t>
      </w:r>
      <w:r w:rsidR="00D71C95">
        <w:rPr>
          <w:rFonts w:cs="Arial"/>
          <w:szCs w:val="24"/>
        </w:rPr>
        <w:t xml:space="preserve"> in the body of this Statement. </w:t>
      </w:r>
      <w:r w:rsidR="00B21DF3">
        <w:rPr>
          <w:rFonts w:cs="Arial"/>
          <w:szCs w:val="24"/>
        </w:rPr>
        <w:t xml:space="preserve"> </w:t>
      </w:r>
    </w:p>
    <w:p w14:paraId="59691AB9" w14:textId="77777777" w:rsidR="007C7403" w:rsidRDefault="007C7403" w:rsidP="00787EAF">
      <w:pPr>
        <w:pStyle w:val="NoSpacing"/>
        <w:rPr>
          <w:rFonts w:cs="Arial"/>
          <w:i/>
          <w:iCs/>
          <w:szCs w:val="24"/>
        </w:rPr>
      </w:pPr>
    </w:p>
    <w:p w14:paraId="005DA22A" w14:textId="77777777" w:rsidR="000B739D" w:rsidRPr="00AA1280" w:rsidRDefault="000B739D" w:rsidP="00AA1280">
      <w:pPr>
        <w:pStyle w:val="Heading1"/>
        <w:jc w:val="center"/>
        <w:rPr>
          <w:rFonts w:ascii="Arial" w:hAnsi="Arial" w:cs="Arial"/>
          <w:color w:val="0070C0"/>
          <w:sz w:val="24"/>
          <w:szCs w:val="24"/>
        </w:rPr>
      </w:pPr>
      <w:r w:rsidRPr="00AA1280">
        <w:rPr>
          <w:rFonts w:ascii="Arial" w:hAnsi="Arial" w:cs="Arial"/>
          <w:color w:val="0070C0"/>
          <w:sz w:val="24"/>
          <w:szCs w:val="24"/>
        </w:rPr>
        <w:t>Institutional degree classification profile</w:t>
      </w:r>
    </w:p>
    <w:p w14:paraId="2322DEBB" w14:textId="77777777" w:rsidR="000B739D" w:rsidRPr="00013734" w:rsidRDefault="000B739D" w:rsidP="000B739D">
      <w:pPr>
        <w:pStyle w:val="NoSpacing"/>
        <w:ind w:left="284"/>
        <w:rPr>
          <w:rFonts w:cs="Arial"/>
          <w:szCs w:val="24"/>
        </w:rPr>
      </w:pPr>
    </w:p>
    <w:p w14:paraId="0BC76BA1" w14:textId="77777777" w:rsidR="000B739D" w:rsidRPr="00013734" w:rsidRDefault="000B739D" w:rsidP="000B739D">
      <w:pPr>
        <w:pStyle w:val="NoSpacing"/>
        <w:ind w:firstLine="142"/>
        <w:rPr>
          <w:rFonts w:cs="Arial"/>
          <w:szCs w:val="24"/>
        </w:rPr>
      </w:pPr>
      <w:r>
        <w:rPr>
          <w:noProof/>
        </w:rPr>
        <w:drawing>
          <wp:inline distT="0" distB="0" distL="0" distR="0" wp14:anchorId="384630B7" wp14:editId="5262B2C3">
            <wp:extent cx="5746750" cy="2606040"/>
            <wp:effectExtent l="0" t="0" r="6350" b="3810"/>
            <wp:docPr id="4" name="Chart 4" descr="Chart shows the percentage of good degrees awarded to first degree students at Edge Hill University from 2015 to 2020. The data shows that the percentage increased for EHU (69.3% - 75.4%), Faculty of Arts and Sciences (66.4% - 77.7 %), and Faculty of Education (76.1% - 81.5%). However, the percentage decreased for the Faculty of Health, Social Care and Medicine (68/9% - 63.1%).">
              <a:extLst xmlns:a="http://schemas.openxmlformats.org/drawingml/2006/main">
                <a:ext uri="{FF2B5EF4-FFF2-40B4-BE49-F238E27FC236}">
                  <a16:creationId xmlns:a16="http://schemas.microsoft.com/office/drawing/2014/main" id="{C42350DB-FE1A-483A-A741-6D752450ED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C78AA1E" w14:textId="77777777" w:rsidR="000B739D" w:rsidRPr="00013734" w:rsidRDefault="000B739D" w:rsidP="000B739D">
      <w:pPr>
        <w:pStyle w:val="NoSpacing"/>
        <w:ind w:firstLine="142"/>
        <w:rPr>
          <w:rFonts w:cs="Arial"/>
          <w:szCs w:val="24"/>
        </w:rPr>
      </w:pPr>
      <w:bookmarkStart w:id="0" w:name="_GoBack"/>
      <w:r>
        <w:rPr>
          <w:noProof/>
        </w:rPr>
        <w:lastRenderedPageBreak/>
        <w:drawing>
          <wp:inline distT="0" distB="0" distL="0" distR="0" wp14:anchorId="40575FBE" wp14:editId="24CFEE1A">
            <wp:extent cx="5731510" cy="2598420"/>
            <wp:effectExtent l="0" t="0" r="2540" b="11430"/>
            <wp:docPr id="2" name="Chart 2" descr="Chart shows the percentage of good degrees awarded to first degree students by student characteristics from 2015 to 2020. The data shows that the percentage increased for all students. This includes female students (72.3.% - 76.7%), male students (62.6% - 72.3 %), students under 21 (72.7% - 80.0%), students 21 and over (66.8% - 71.7%), BAME students (53.4% - 60.0%), and non-BAME students (70.9%-76.7%).">
              <a:extLst xmlns:a="http://schemas.openxmlformats.org/drawingml/2006/main">
                <a:ext uri="{FF2B5EF4-FFF2-40B4-BE49-F238E27FC236}">
                  <a16:creationId xmlns:a16="http://schemas.microsoft.com/office/drawing/2014/main" id="{C35144ED-9A21-4413-BB9C-13863D43B2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End w:id="0"/>
    </w:p>
    <w:p w14:paraId="3C234EAA" w14:textId="77777777" w:rsidR="000B739D" w:rsidRDefault="000B739D" w:rsidP="000B739D">
      <w:pPr>
        <w:pStyle w:val="NoSpacing"/>
        <w:jc w:val="center"/>
        <w:rPr>
          <w:rFonts w:cs="Arial"/>
          <w:szCs w:val="24"/>
        </w:rPr>
      </w:pPr>
    </w:p>
    <w:p w14:paraId="6AC12A18" w14:textId="77777777" w:rsidR="000E44DD" w:rsidRDefault="000E44DD" w:rsidP="00C5150C">
      <w:pPr>
        <w:pStyle w:val="NoSpacing"/>
        <w:rPr>
          <w:b/>
          <w:bCs/>
          <w:sz w:val="28"/>
          <w:szCs w:val="28"/>
        </w:rPr>
      </w:pPr>
    </w:p>
    <w:p w14:paraId="0BDC6784" w14:textId="775DF65C" w:rsidR="00C5150C" w:rsidRPr="00C76905" w:rsidRDefault="00C5150C" w:rsidP="00C5150C">
      <w:pPr>
        <w:pStyle w:val="NoSpacing"/>
        <w:rPr>
          <w:rFonts w:cs="Arial"/>
          <w:b/>
          <w:bCs/>
          <w:i/>
          <w:iCs/>
          <w:sz w:val="28"/>
          <w:szCs w:val="28"/>
        </w:rPr>
      </w:pPr>
      <w:r w:rsidRPr="00C76905">
        <w:rPr>
          <w:b/>
          <w:bCs/>
          <w:sz w:val="28"/>
          <w:szCs w:val="28"/>
        </w:rPr>
        <w:t xml:space="preserve">Coronavirus (COVID-19) Pandemic 2019/20 </w:t>
      </w:r>
    </w:p>
    <w:p w14:paraId="217BD725" w14:textId="77777777" w:rsidR="00C5150C" w:rsidRDefault="00C5150C" w:rsidP="00C5150C">
      <w:pPr>
        <w:pStyle w:val="NoSpacing"/>
        <w:rPr>
          <w:rFonts w:cs="Arial"/>
          <w:i/>
          <w:iCs/>
          <w:szCs w:val="24"/>
        </w:rPr>
      </w:pPr>
    </w:p>
    <w:p w14:paraId="26F97604" w14:textId="1E5BD9C7" w:rsidR="00C5150C" w:rsidRDefault="00C5150C" w:rsidP="00C5150C">
      <w:pPr>
        <w:pStyle w:val="NoSpacing"/>
      </w:pPr>
      <w:r>
        <w:t xml:space="preserve">In May 2020 the University approved a </w:t>
      </w:r>
      <w:hyperlink r:id="rId13" w:history="1">
        <w:r w:rsidRPr="00C76905">
          <w:rPr>
            <w:rStyle w:val="Hyperlink"/>
          </w:rPr>
          <w:t>Framework for the Assessment, Progression and Award of Qualifications to Students undertaking taught programmes (incorporating Temporary Regulations)</w:t>
        </w:r>
      </w:hyperlink>
      <w:r>
        <w:t xml:space="preserve">. This Framework was developed to mitigate the impacts of the Covid-19 Pandemic, and </w:t>
      </w:r>
      <w:r w:rsidR="004061E9">
        <w:t xml:space="preserve">to </w:t>
      </w:r>
      <w:r>
        <w:t>allow for the assessment, progression and confirmation of credit and qualifications for students within an agreed set of academic standards in these extraordinary circumstances. At all stages in the development of this Framework, the University followed regulatory guidance from the Office for Students and advice from the Quality Assurance Agency. The provisions within the Framework were wide ranging, recognising the University’s pivot to online teaching and learning in March 2020, and the corresponding adjustments to teaching, learning and assessment strategies</w:t>
      </w:r>
      <w:r w:rsidR="004061E9">
        <w:t xml:space="preserve"> for the period</w:t>
      </w:r>
      <w:r>
        <w:t xml:space="preserve">. </w:t>
      </w:r>
      <w:r w:rsidR="008A1746">
        <w:t>The</w:t>
      </w:r>
      <w:r w:rsidR="00251CD2">
        <w:t xml:space="preserve"> main feature of the Temporary Regulations </w:t>
      </w:r>
      <w:r w:rsidR="00AE51EC">
        <w:t>that had the potential to impact</w:t>
      </w:r>
      <w:r w:rsidR="00251CD2">
        <w:t xml:space="preserve"> on classifications was the introduction of a ‘no-detriment’ approach. </w:t>
      </w:r>
      <w:r w:rsidR="004039DC">
        <w:t xml:space="preserve">That is, </w:t>
      </w:r>
      <w:r w:rsidR="00231194">
        <w:t xml:space="preserve">providing the threshold </w:t>
      </w:r>
      <w:r w:rsidR="009D3BA6" w:rsidRPr="00013734">
        <w:rPr>
          <w:rFonts w:cs="Arial"/>
          <w:szCs w:val="24"/>
        </w:rPr>
        <w:t>(Pass) standard</w:t>
      </w:r>
      <w:r w:rsidR="00231194">
        <w:t xml:space="preserve"> was m</w:t>
      </w:r>
      <w:r w:rsidR="00FA5731">
        <w:t>et</w:t>
      </w:r>
      <w:r w:rsidR="00231194">
        <w:t>,</w:t>
      </w:r>
      <w:r w:rsidR="00FC2B1B">
        <w:t xml:space="preserve"> marks achieved during the Pandemic were not counted if they fell below the student’s </w:t>
      </w:r>
      <w:r w:rsidR="009A2E46">
        <w:t xml:space="preserve">regular standard prior to the pandemic (‘the benchmark’). </w:t>
      </w:r>
      <w:r w:rsidR="00C656F7">
        <w:t xml:space="preserve">Full details of the whole scheme are provided in the Framework. </w:t>
      </w:r>
    </w:p>
    <w:p w14:paraId="23BB7F54" w14:textId="4494CC2D" w:rsidR="00C656F7" w:rsidRDefault="00C656F7" w:rsidP="00C5150C">
      <w:pPr>
        <w:pStyle w:val="NoSpacing"/>
      </w:pPr>
    </w:p>
    <w:p w14:paraId="0A6EFD48" w14:textId="595C96CF" w:rsidR="007D1CE8" w:rsidRPr="00013734" w:rsidRDefault="007D1CE8" w:rsidP="00D04399">
      <w:pPr>
        <w:pStyle w:val="Heading1"/>
        <w:rPr>
          <w:rFonts w:ascii="Arial" w:hAnsi="Arial" w:cs="Arial"/>
          <w:b/>
          <w:color w:val="auto"/>
          <w:sz w:val="28"/>
          <w:szCs w:val="28"/>
        </w:rPr>
      </w:pPr>
      <w:r w:rsidRPr="00013734">
        <w:rPr>
          <w:rFonts w:ascii="Arial" w:hAnsi="Arial" w:cs="Arial"/>
          <w:b/>
          <w:color w:val="auto"/>
          <w:sz w:val="28"/>
          <w:szCs w:val="28"/>
        </w:rPr>
        <w:t xml:space="preserve">Assessment and marking practices </w:t>
      </w:r>
    </w:p>
    <w:p w14:paraId="5EF7613C" w14:textId="77777777" w:rsidR="007D1CE8" w:rsidRPr="00013734" w:rsidRDefault="007D1CE8" w:rsidP="007D1CE8">
      <w:pPr>
        <w:pStyle w:val="NoSpacing"/>
        <w:rPr>
          <w:rFonts w:cs="Arial"/>
          <w:szCs w:val="24"/>
        </w:rPr>
      </w:pPr>
    </w:p>
    <w:p w14:paraId="535A2FD6" w14:textId="00AC12F7" w:rsidR="007D1CE8" w:rsidRPr="00013734" w:rsidRDefault="00F65CAD" w:rsidP="004F4973">
      <w:pPr>
        <w:autoSpaceDE w:val="0"/>
        <w:autoSpaceDN w:val="0"/>
        <w:adjustRightInd w:val="0"/>
        <w:spacing w:line="240" w:lineRule="auto"/>
        <w:rPr>
          <w:rFonts w:ascii="Arial" w:hAnsi="Arial" w:cs="Arial"/>
          <w:sz w:val="24"/>
          <w:szCs w:val="24"/>
        </w:rPr>
      </w:pPr>
      <w:r w:rsidRPr="00013734">
        <w:rPr>
          <w:rFonts w:ascii="Arial" w:hAnsi="Arial" w:cs="Arial"/>
          <w:sz w:val="24"/>
          <w:szCs w:val="24"/>
        </w:rPr>
        <w:t xml:space="preserve">The University’s </w:t>
      </w:r>
      <w:hyperlink r:id="rId14" w:history="1">
        <w:r w:rsidRPr="00013734">
          <w:rPr>
            <w:rStyle w:val="Hyperlink"/>
            <w:rFonts w:ascii="Arial" w:hAnsi="Arial" w:cs="Arial"/>
            <w:sz w:val="24"/>
            <w:szCs w:val="24"/>
          </w:rPr>
          <w:t>quality management</w:t>
        </w:r>
      </w:hyperlink>
      <w:r w:rsidRPr="00013734">
        <w:rPr>
          <w:rFonts w:ascii="Arial" w:hAnsi="Arial" w:cs="Arial"/>
          <w:sz w:val="24"/>
          <w:szCs w:val="24"/>
        </w:rPr>
        <w:t xml:space="preserve"> strategy, and individual strategies for </w:t>
      </w:r>
      <w:hyperlink r:id="rId15" w:history="1">
        <w:r w:rsidRPr="00013734">
          <w:rPr>
            <w:rStyle w:val="Hyperlink"/>
            <w:rFonts w:ascii="Arial" w:hAnsi="Arial" w:cs="Arial"/>
            <w:sz w:val="24"/>
            <w:szCs w:val="24"/>
          </w:rPr>
          <w:t>teaching, learning and assessment</w:t>
        </w:r>
      </w:hyperlink>
      <w:r w:rsidRPr="00013734">
        <w:rPr>
          <w:rFonts w:ascii="Arial" w:hAnsi="Arial" w:cs="Arial"/>
          <w:sz w:val="24"/>
          <w:szCs w:val="24"/>
        </w:rPr>
        <w:t xml:space="preserve"> underpin programme design, monitoring and evaluation. </w:t>
      </w:r>
      <w:r w:rsidR="007D1CE8" w:rsidRPr="00013734">
        <w:rPr>
          <w:rFonts w:ascii="Arial" w:hAnsi="Arial" w:cs="Arial"/>
          <w:sz w:val="24"/>
          <w:szCs w:val="24"/>
        </w:rPr>
        <w:t>All of our degrees undergo detailed academic scrutiny at the point of approval (</w:t>
      </w:r>
      <w:hyperlink r:id="rId16" w:history="1">
        <w:r w:rsidR="007D1CE8" w:rsidRPr="00013734">
          <w:rPr>
            <w:rStyle w:val="Hyperlink"/>
            <w:rFonts w:ascii="Arial" w:hAnsi="Arial" w:cs="Arial"/>
            <w:sz w:val="24"/>
            <w:szCs w:val="24"/>
          </w:rPr>
          <w:t>‘validation’</w:t>
        </w:r>
      </w:hyperlink>
      <w:r w:rsidR="007D1CE8" w:rsidRPr="00013734">
        <w:rPr>
          <w:rFonts w:ascii="Arial" w:hAnsi="Arial" w:cs="Arial"/>
          <w:sz w:val="24"/>
          <w:szCs w:val="24"/>
        </w:rPr>
        <w:t>) which ensures that programme content,</w:t>
      </w:r>
      <w:r w:rsidR="000F44D2" w:rsidRPr="00013734">
        <w:rPr>
          <w:rFonts w:ascii="Arial" w:hAnsi="Arial" w:cs="Arial"/>
          <w:sz w:val="24"/>
          <w:szCs w:val="24"/>
        </w:rPr>
        <w:t xml:space="preserve"> Intended L</w:t>
      </w:r>
      <w:r w:rsidR="00DE4B5B" w:rsidRPr="00013734">
        <w:rPr>
          <w:rFonts w:ascii="Arial" w:hAnsi="Arial" w:cs="Arial"/>
          <w:sz w:val="24"/>
          <w:szCs w:val="24"/>
        </w:rPr>
        <w:t xml:space="preserve">earning </w:t>
      </w:r>
      <w:r w:rsidR="000F44D2" w:rsidRPr="00013734">
        <w:rPr>
          <w:rFonts w:ascii="Arial" w:hAnsi="Arial" w:cs="Arial"/>
          <w:sz w:val="24"/>
          <w:szCs w:val="24"/>
        </w:rPr>
        <w:t>O</w:t>
      </w:r>
      <w:r w:rsidR="00DE4B5B" w:rsidRPr="00013734">
        <w:rPr>
          <w:rFonts w:ascii="Arial" w:hAnsi="Arial" w:cs="Arial"/>
          <w:sz w:val="24"/>
          <w:szCs w:val="24"/>
        </w:rPr>
        <w:t xml:space="preserve">utcomes, </w:t>
      </w:r>
      <w:r w:rsidR="007D1CE8" w:rsidRPr="00013734">
        <w:rPr>
          <w:rFonts w:ascii="Arial" w:hAnsi="Arial" w:cs="Arial"/>
          <w:sz w:val="24"/>
          <w:szCs w:val="24"/>
        </w:rPr>
        <w:t>teaching and assessment are aligned with national reference points, specifically</w:t>
      </w:r>
      <w:r w:rsidR="004779D4" w:rsidRPr="00013734">
        <w:rPr>
          <w:rFonts w:ascii="Arial" w:hAnsi="Arial" w:cs="Arial"/>
          <w:sz w:val="24"/>
          <w:szCs w:val="24"/>
        </w:rPr>
        <w:t xml:space="preserve"> the </w:t>
      </w:r>
      <w:hyperlink r:id="rId17" w:history="1">
        <w:r w:rsidR="004779D4" w:rsidRPr="00013734">
          <w:rPr>
            <w:rStyle w:val="Hyperlink"/>
            <w:rFonts w:ascii="Arial" w:hAnsi="Arial" w:cs="Arial"/>
            <w:sz w:val="24"/>
            <w:szCs w:val="24"/>
          </w:rPr>
          <w:t>UK Quality Code for Higher Education</w:t>
        </w:r>
      </w:hyperlink>
      <w:r w:rsidR="004779D4" w:rsidRPr="00013734">
        <w:rPr>
          <w:rFonts w:ascii="Arial" w:hAnsi="Arial" w:cs="Arial"/>
          <w:sz w:val="24"/>
          <w:szCs w:val="24"/>
        </w:rPr>
        <w:t>,</w:t>
      </w:r>
      <w:r w:rsidR="007D1CE8" w:rsidRPr="00013734">
        <w:rPr>
          <w:rFonts w:ascii="Arial" w:hAnsi="Arial" w:cs="Arial"/>
          <w:sz w:val="24"/>
          <w:szCs w:val="24"/>
        </w:rPr>
        <w:t xml:space="preserve"> </w:t>
      </w:r>
      <w:hyperlink r:id="rId18" w:history="1">
        <w:r w:rsidR="007D1CE8" w:rsidRPr="00013734">
          <w:rPr>
            <w:rStyle w:val="Hyperlink"/>
            <w:rFonts w:ascii="Arial" w:hAnsi="Arial" w:cs="Arial"/>
            <w:sz w:val="24"/>
            <w:szCs w:val="24"/>
          </w:rPr>
          <w:t>The Framework for Higher Education Qualifications of Degree-Awarding Bodies in England, Wales and Northern Ireland</w:t>
        </w:r>
      </w:hyperlink>
      <w:r w:rsidR="004779D4" w:rsidRPr="00013734">
        <w:rPr>
          <w:rFonts w:ascii="Arial" w:hAnsi="Arial" w:cs="Arial"/>
          <w:sz w:val="24"/>
          <w:szCs w:val="24"/>
        </w:rPr>
        <w:t xml:space="preserve">, </w:t>
      </w:r>
      <w:r w:rsidR="007D1CE8" w:rsidRPr="00013734">
        <w:rPr>
          <w:rFonts w:ascii="Arial" w:hAnsi="Arial" w:cs="Arial"/>
          <w:sz w:val="24"/>
          <w:szCs w:val="24"/>
        </w:rPr>
        <w:t xml:space="preserve">and discipline-specific </w:t>
      </w:r>
      <w:hyperlink r:id="rId19" w:history="1">
        <w:r w:rsidR="007D1CE8" w:rsidRPr="00013734">
          <w:rPr>
            <w:rStyle w:val="Hyperlink"/>
            <w:rFonts w:ascii="Arial" w:hAnsi="Arial" w:cs="Arial"/>
            <w:sz w:val="24"/>
            <w:szCs w:val="24"/>
          </w:rPr>
          <w:t>Subject Benchmark Statements</w:t>
        </w:r>
      </w:hyperlink>
      <w:r w:rsidR="007D1CE8" w:rsidRPr="00013734">
        <w:rPr>
          <w:rFonts w:ascii="Arial" w:hAnsi="Arial" w:cs="Arial"/>
          <w:sz w:val="24"/>
          <w:szCs w:val="24"/>
        </w:rPr>
        <w:t xml:space="preserve">. Degrees conferring professional recognition or </w:t>
      </w:r>
      <w:r w:rsidR="00547782" w:rsidRPr="00013734">
        <w:rPr>
          <w:rFonts w:ascii="Arial" w:hAnsi="Arial" w:cs="Arial"/>
          <w:sz w:val="24"/>
          <w:szCs w:val="24"/>
        </w:rPr>
        <w:t>L</w:t>
      </w:r>
      <w:r w:rsidR="007D1CE8" w:rsidRPr="00013734">
        <w:rPr>
          <w:rFonts w:ascii="Arial" w:hAnsi="Arial" w:cs="Arial"/>
          <w:sz w:val="24"/>
          <w:szCs w:val="24"/>
        </w:rPr>
        <w:t xml:space="preserve">icence to </w:t>
      </w:r>
      <w:r w:rsidR="00547782" w:rsidRPr="00013734">
        <w:rPr>
          <w:rFonts w:ascii="Arial" w:hAnsi="Arial" w:cs="Arial"/>
          <w:sz w:val="24"/>
          <w:szCs w:val="24"/>
        </w:rPr>
        <w:t>P</w:t>
      </w:r>
      <w:r w:rsidR="007D1CE8" w:rsidRPr="00013734">
        <w:rPr>
          <w:rFonts w:ascii="Arial" w:hAnsi="Arial" w:cs="Arial"/>
          <w:sz w:val="24"/>
          <w:szCs w:val="24"/>
        </w:rPr>
        <w:t xml:space="preserve">ractise, for example in law, medicine and teacher education, are also aligned with the standards of relevant </w:t>
      </w:r>
      <w:hyperlink r:id="rId20" w:history="1">
        <w:r w:rsidR="007D1CE8" w:rsidRPr="00013734">
          <w:rPr>
            <w:rStyle w:val="Hyperlink"/>
            <w:rFonts w:ascii="Arial" w:hAnsi="Arial" w:cs="Arial"/>
            <w:sz w:val="24"/>
            <w:szCs w:val="24"/>
          </w:rPr>
          <w:t>Professional Statutory and Regulatory Bodies</w:t>
        </w:r>
      </w:hyperlink>
      <w:r w:rsidR="007D1CE8" w:rsidRPr="00013734">
        <w:rPr>
          <w:rFonts w:ascii="Arial" w:hAnsi="Arial" w:cs="Arial"/>
          <w:sz w:val="24"/>
          <w:szCs w:val="24"/>
        </w:rPr>
        <w:t xml:space="preserve">. </w:t>
      </w:r>
      <w:r w:rsidR="00547782" w:rsidRPr="00013734">
        <w:rPr>
          <w:rFonts w:ascii="Arial" w:hAnsi="Arial" w:cs="Arial"/>
          <w:sz w:val="24"/>
          <w:szCs w:val="24"/>
        </w:rPr>
        <w:t>Internal v</w:t>
      </w:r>
      <w:r w:rsidR="007D1CE8" w:rsidRPr="00013734">
        <w:rPr>
          <w:rFonts w:ascii="Arial" w:hAnsi="Arial" w:cs="Arial"/>
          <w:sz w:val="24"/>
          <w:szCs w:val="24"/>
        </w:rPr>
        <w:t xml:space="preserve">alidation panels include external </w:t>
      </w:r>
      <w:r w:rsidR="007D1CE8" w:rsidRPr="00013734">
        <w:rPr>
          <w:rFonts w:ascii="Arial" w:hAnsi="Arial" w:cs="Arial"/>
          <w:sz w:val="24"/>
          <w:szCs w:val="24"/>
        </w:rPr>
        <w:lastRenderedPageBreak/>
        <w:t xml:space="preserve">academic subject experts of other degree providers who support them in making judgements on programme standards and quality. </w:t>
      </w:r>
    </w:p>
    <w:p w14:paraId="45E9F3F1" w14:textId="77777777" w:rsidR="007D1CE8" w:rsidRPr="00013734" w:rsidRDefault="007D1CE8" w:rsidP="007D1CE8">
      <w:pPr>
        <w:autoSpaceDE w:val="0"/>
        <w:autoSpaceDN w:val="0"/>
        <w:adjustRightInd w:val="0"/>
        <w:spacing w:line="240" w:lineRule="auto"/>
        <w:rPr>
          <w:rFonts w:ascii="Arial" w:hAnsi="Arial" w:cs="Arial"/>
          <w:sz w:val="24"/>
          <w:szCs w:val="24"/>
        </w:rPr>
      </w:pPr>
    </w:p>
    <w:p w14:paraId="4F01A96D" w14:textId="7B574AEB" w:rsidR="006115FA" w:rsidRPr="00013734" w:rsidRDefault="007D1CE8" w:rsidP="007D1CE8">
      <w:pPr>
        <w:autoSpaceDE w:val="0"/>
        <w:autoSpaceDN w:val="0"/>
        <w:adjustRightInd w:val="0"/>
        <w:spacing w:line="240" w:lineRule="auto"/>
        <w:rPr>
          <w:rFonts w:ascii="Arial" w:hAnsi="Arial" w:cs="Arial"/>
          <w:sz w:val="24"/>
          <w:szCs w:val="24"/>
        </w:rPr>
      </w:pPr>
      <w:r w:rsidRPr="00013734">
        <w:rPr>
          <w:rFonts w:ascii="Arial" w:hAnsi="Arial" w:cs="Arial"/>
          <w:sz w:val="24"/>
          <w:szCs w:val="24"/>
        </w:rPr>
        <w:t xml:space="preserve">Academic staff undergo detailed preparation and training for assessment which includes a </w:t>
      </w:r>
      <w:hyperlink r:id="rId21" w:history="1">
        <w:r w:rsidRPr="00013734">
          <w:rPr>
            <w:rStyle w:val="Hyperlink"/>
            <w:rFonts w:ascii="Arial" w:hAnsi="Arial" w:cs="Arial"/>
            <w:sz w:val="24"/>
            <w:szCs w:val="24"/>
          </w:rPr>
          <w:t>postgraduate teaching certificate</w:t>
        </w:r>
      </w:hyperlink>
      <w:r w:rsidRPr="00013734">
        <w:rPr>
          <w:rFonts w:ascii="Arial" w:hAnsi="Arial" w:cs="Arial"/>
          <w:sz w:val="24"/>
          <w:szCs w:val="24"/>
        </w:rPr>
        <w:t xml:space="preserve"> and </w:t>
      </w:r>
      <w:hyperlink r:id="rId22" w:history="1">
        <w:r w:rsidRPr="00013734">
          <w:rPr>
            <w:rStyle w:val="Hyperlink"/>
            <w:rFonts w:ascii="Arial" w:hAnsi="Arial" w:cs="Arial"/>
            <w:sz w:val="24"/>
            <w:szCs w:val="24"/>
          </w:rPr>
          <w:t>professional development programme</w:t>
        </w:r>
      </w:hyperlink>
      <w:r w:rsidRPr="00013734">
        <w:rPr>
          <w:rFonts w:ascii="Arial" w:hAnsi="Arial" w:cs="Arial"/>
          <w:sz w:val="24"/>
          <w:szCs w:val="24"/>
        </w:rPr>
        <w:t xml:space="preserve"> led by staff of the Centre for Learning and Teaching</w:t>
      </w:r>
      <w:r w:rsidR="004F4973" w:rsidRPr="00013734">
        <w:rPr>
          <w:rFonts w:ascii="Arial" w:hAnsi="Arial" w:cs="Arial"/>
          <w:sz w:val="24"/>
          <w:szCs w:val="24"/>
        </w:rPr>
        <w:t>,</w:t>
      </w:r>
      <w:r w:rsidRPr="00013734">
        <w:rPr>
          <w:rFonts w:ascii="Arial" w:hAnsi="Arial" w:cs="Arial"/>
          <w:sz w:val="24"/>
          <w:szCs w:val="24"/>
        </w:rPr>
        <w:t xml:space="preserve"> </w:t>
      </w:r>
      <w:r w:rsidR="00A0115E" w:rsidRPr="00013734">
        <w:rPr>
          <w:rFonts w:ascii="Arial" w:hAnsi="Arial" w:cs="Arial"/>
          <w:sz w:val="24"/>
          <w:szCs w:val="24"/>
        </w:rPr>
        <w:t>support</w:t>
      </w:r>
      <w:r w:rsidRPr="00013734">
        <w:rPr>
          <w:rFonts w:ascii="Arial" w:hAnsi="Arial" w:cs="Arial"/>
          <w:sz w:val="24"/>
          <w:szCs w:val="24"/>
        </w:rPr>
        <w:t xml:space="preserve">ed by </w:t>
      </w:r>
      <w:hyperlink r:id="rId23" w:history="1">
        <w:r w:rsidRPr="00013734">
          <w:rPr>
            <w:rStyle w:val="Hyperlink"/>
            <w:rFonts w:ascii="Arial" w:hAnsi="Arial" w:cs="Arial"/>
            <w:sz w:val="24"/>
            <w:szCs w:val="24"/>
          </w:rPr>
          <w:t>Learning and Teaching Fellows</w:t>
        </w:r>
      </w:hyperlink>
      <w:r w:rsidRPr="00013734">
        <w:rPr>
          <w:rFonts w:ascii="Arial" w:hAnsi="Arial" w:cs="Arial"/>
          <w:sz w:val="24"/>
          <w:szCs w:val="24"/>
        </w:rPr>
        <w:t xml:space="preserve">. Specific support is provided for academic partner organisations and employers who </w:t>
      </w:r>
      <w:r w:rsidR="00A0115E" w:rsidRPr="00013734">
        <w:rPr>
          <w:rFonts w:ascii="Arial" w:hAnsi="Arial" w:cs="Arial"/>
          <w:sz w:val="24"/>
          <w:szCs w:val="24"/>
        </w:rPr>
        <w:t>contribute to</w:t>
      </w:r>
      <w:r w:rsidRPr="00013734">
        <w:rPr>
          <w:rFonts w:ascii="Arial" w:hAnsi="Arial" w:cs="Arial"/>
          <w:sz w:val="24"/>
          <w:szCs w:val="24"/>
        </w:rPr>
        <w:t xml:space="preserve"> students’ assessment. Coursework briefs and examinations are set in accordance with validated Intended Learning Outcomes, and assessment criteria measure and grade student attainment beyond threshold (Pass) standard. A process of internal verification (</w:t>
      </w:r>
      <w:hyperlink r:id="rId24" w:history="1">
        <w:r w:rsidRPr="00013734">
          <w:rPr>
            <w:rStyle w:val="Hyperlink"/>
            <w:rFonts w:ascii="Arial" w:hAnsi="Arial" w:cs="Arial"/>
            <w:sz w:val="24"/>
            <w:szCs w:val="24"/>
          </w:rPr>
          <w:t>‘moderation’</w:t>
        </w:r>
      </w:hyperlink>
      <w:r w:rsidRPr="00013734">
        <w:rPr>
          <w:rFonts w:ascii="Arial" w:hAnsi="Arial" w:cs="Arial"/>
          <w:sz w:val="24"/>
          <w:szCs w:val="24"/>
        </w:rPr>
        <w:t>) supports the quality and consistency of marking and feedback within programmes and subjects.</w:t>
      </w:r>
      <w:r w:rsidR="00B0712A" w:rsidRPr="00013734">
        <w:rPr>
          <w:rFonts w:ascii="Arial" w:hAnsi="Arial" w:cs="Arial"/>
          <w:sz w:val="24"/>
          <w:szCs w:val="24"/>
        </w:rPr>
        <w:t xml:space="preserve"> Students are able to notify the University of any special circumstances impacting on their ability to perform to the best of their potential, through the </w:t>
      </w:r>
      <w:hyperlink r:id="rId25" w:history="1">
        <w:r w:rsidR="00B0712A" w:rsidRPr="00013734">
          <w:rPr>
            <w:rStyle w:val="Hyperlink"/>
            <w:rFonts w:ascii="Arial" w:hAnsi="Arial" w:cs="Arial"/>
            <w:sz w:val="24"/>
            <w:szCs w:val="24"/>
          </w:rPr>
          <w:t>Exceptional Mitigating Circumstances</w:t>
        </w:r>
      </w:hyperlink>
      <w:r w:rsidR="00B0712A" w:rsidRPr="00013734">
        <w:rPr>
          <w:rFonts w:ascii="Arial" w:hAnsi="Arial" w:cs="Arial"/>
          <w:sz w:val="24"/>
          <w:szCs w:val="24"/>
        </w:rPr>
        <w:t xml:space="preserve"> scheme, and </w:t>
      </w:r>
      <w:hyperlink r:id="rId26" w:history="1">
        <w:r w:rsidR="00B0712A" w:rsidRPr="00013734">
          <w:rPr>
            <w:rStyle w:val="Hyperlink"/>
            <w:rFonts w:ascii="Arial" w:hAnsi="Arial" w:cs="Arial"/>
            <w:sz w:val="24"/>
            <w:szCs w:val="24"/>
          </w:rPr>
          <w:t>Appeals Procedures</w:t>
        </w:r>
      </w:hyperlink>
      <w:r w:rsidR="00B0712A" w:rsidRPr="00013734">
        <w:rPr>
          <w:rFonts w:ascii="Arial" w:hAnsi="Arial" w:cs="Arial"/>
          <w:sz w:val="24"/>
          <w:szCs w:val="24"/>
        </w:rPr>
        <w:t xml:space="preserve"> where necessary. </w:t>
      </w:r>
    </w:p>
    <w:p w14:paraId="2537022B" w14:textId="77777777" w:rsidR="006115FA" w:rsidRPr="00013734" w:rsidRDefault="006115FA" w:rsidP="007D1CE8">
      <w:pPr>
        <w:autoSpaceDE w:val="0"/>
        <w:autoSpaceDN w:val="0"/>
        <w:adjustRightInd w:val="0"/>
        <w:spacing w:line="240" w:lineRule="auto"/>
        <w:rPr>
          <w:rFonts w:ascii="Arial" w:hAnsi="Arial" w:cs="Arial"/>
          <w:sz w:val="24"/>
          <w:szCs w:val="24"/>
        </w:rPr>
      </w:pPr>
    </w:p>
    <w:p w14:paraId="6AAB12C3" w14:textId="6E7CABF5" w:rsidR="00013734" w:rsidRDefault="007D1CE8" w:rsidP="00F7313B">
      <w:pPr>
        <w:autoSpaceDE w:val="0"/>
        <w:autoSpaceDN w:val="0"/>
        <w:adjustRightInd w:val="0"/>
        <w:spacing w:line="240" w:lineRule="auto"/>
        <w:rPr>
          <w:rFonts w:ascii="Arial" w:hAnsi="Arial" w:cs="Arial"/>
          <w:sz w:val="24"/>
          <w:szCs w:val="24"/>
        </w:rPr>
      </w:pPr>
      <w:r w:rsidRPr="00013734">
        <w:rPr>
          <w:rFonts w:ascii="Arial" w:hAnsi="Arial" w:cs="Arial"/>
          <w:sz w:val="24"/>
          <w:szCs w:val="24"/>
        </w:rPr>
        <w:t xml:space="preserve">All degrees are subject to </w:t>
      </w:r>
      <w:hyperlink r:id="rId27" w:history="1">
        <w:r w:rsidRPr="00013734">
          <w:rPr>
            <w:rStyle w:val="Hyperlink"/>
            <w:rFonts w:ascii="Arial" w:hAnsi="Arial" w:cs="Arial"/>
            <w:sz w:val="24"/>
            <w:szCs w:val="24"/>
          </w:rPr>
          <w:t>annual monitoring</w:t>
        </w:r>
      </w:hyperlink>
      <w:r w:rsidRPr="00013734">
        <w:rPr>
          <w:rFonts w:ascii="Arial" w:hAnsi="Arial" w:cs="Arial"/>
          <w:sz w:val="24"/>
          <w:szCs w:val="24"/>
        </w:rPr>
        <w:t xml:space="preserve"> which includes the sampling of assessed student work by</w:t>
      </w:r>
      <w:r w:rsidR="005A710A" w:rsidRPr="00013734">
        <w:rPr>
          <w:rFonts w:ascii="Arial" w:hAnsi="Arial" w:cs="Arial"/>
          <w:sz w:val="24"/>
          <w:szCs w:val="24"/>
        </w:rPr>
        <w:t xml:space="preserve"> suitably-qualified</w:t>
      </w:r>
      <w:r w:rsidRPr="00013734">
        <w:rPr>
          <w:rFonts w:ascii="Arial" w:hAnsi="Arial" w:cs="Arial"/>
          <w:sz w:val="24"/>
          <w:szCs w:val="24"/>
        </w:rPr>
        <w:t xml:space="preserve"> </w:t>
      </w:r>
      <w:hyperlink r:id="rId28" w:history="1">
        <w:r w:rsidRPr="00013734">
          <w:rPr>
            <w:rStyle w:val="Hyperlink"/>
            <w:rFonts w:ascii="Arial" w:hAnsi="Arial" w:cs="Arial"/>
            <w:sz w:val="24"/>
            <w:szCs w:val="24"/>
          </w:rPr>
          <w:t>external examiners</w:t>
        </w:r>
      </w:hyperlink>
      <w:r w:rsidRPr="00013734">
        <w:rPr>
          <w:rFonts w:ascii="Arial" w:hAnsi="Arial" w:cs="Arial"/>
          <w:sz w:val="24"/>
          <w:szCs w:val="24"/>
        </w:rPr>
        <w:t xml:space="preserve"> who confirm that the standards set at validation are being adhered to, that students are </w:t>
      </w:r>
      <w:r w:rsidR="000222D7" w:rsidRPr="00013734">
        <w:rPr>
          <w:rFonts w:ascii="Arial" w:hAnsi="Arial" w:cs="Arial"/>
          <w:sz w:val="24"/>
          <w:szCs w:val="24"/>
        </w:rPr>
        <w:t>meeting</w:t>
      </w:r>
      <w:r w:rsidRPr="00013734">
        <w:rPr>
          <w:rFonts w:ascii="Arial" w:hAnsi="Arial" w:cs="Arial"/>
          <w:sz w:val="24"/>
          <w:szCs w:val="24"/>
        </w:rPr>
        <w:t xml:space="preserve"> th</w:t>
      </w:r>
      <w:r w:rsidR="004F4973" w:rsidRPr="00013734">
        <w:rPr>
          <w:rFonts w:ascii="Arial" w:hAnsi="Arial" w:cs="Arial"/>
          <w:sz w:val="24"/>
          <w:szCs w:val="24"/>
        </w:rPr>
        <w:t>ose</w:t>
      </w:r>
      <w:r w:rsidRPr="00013734">
        <w:rPr>
          <w:rFonts w:ascii="Arial" w:hAnsi="Arial" w:cs="Arial"/>
          <w:sz w:val="24"/>
          <w:szCs w:val="24"/>
        </w:rPr>
        <w:t xml:space="preserve"> standards</w:t>
      </w:r>
      <w:r w:rsidR="000222D7" w:rsidRPr="00013734">
        <w:rPr>
          <w:rFonts w:ascii="Arial" w:hAnsi="Arial" w:cs="Arial"/>
          <w:sz w:val="24"/>
          <w:szCs w:val="24"/>
        </w:rPr>
        <w:t>,</w:t>
      </w:r>
      <w:r w:rsidRPr="00013734">
        <w:rPr>
          <w:rFonts w:ascii="Arial" w:hAnsi="Arial" w:cs="Arial"/>
          <w:sz w:val="24"/>
          <w:szCs w:val="24"/>
        </w:rPr>
        <w:t xml:space="preserve"> and that assessment is of high quality. We are scrupulous in our appointment and use of external examiners, protecting their independence to make academic judgements on our degrees. External examiners’ reports for the most recent </w:t>
      </w:r>
      <w:r w:rsidR="000222D7" w:rsidRPr="00013734">
        <w:rPr>
          <w:rFonts w:ascii="Arial" w:hAnsi="Arial" w:cs="Arial"/>
          <w:sz w:val="24"/>
          <w:szCs w:val="24"/>
        </w:rPr>
        <w:t xml:space="preserve">completed </w:t>
      </w:r>
      <w:r w:rsidRPr="00013734">
        <w:rPr>
          <w:rFonts w:ascii="Arial" w:hAnsi="Arial" w:cs="Arial"/>
          <w:sz w:val="24"/>
          <w:szCs w:val="24"/>
        </w:rPr>
        <w:t xml:space="preserve">academic year confirmed that standards remained current and aligned with national reference points across all programmes, that grading and classification were comparable with other degree providers, and that students were achieving the standards set for them through valid and fair assessment. External examiners receive a detailed briefing and induction and attend </w:t>
      </w:r>
      <w:r w:rsidR="00E062DE" w:rsidRPr="00013734">
        <w:rPr>
          <w:rFonts w:ascii="Arial" w:hAnsi="Arial" w:cs="Arial"/>
          <w:sz w:val="24"/>
          <w:szCs w:val="24"/>
        </w:rPr>
        <w:t xml:space="preserve">Module and Progression </w:t>
      </w:r>
      <w:r w:rsidR="001B6C39" w:rsidRPr="00013734">
        <w:rPr>
          <w:rFonts w:ascii="Arial" w:hAnsi="Arial" w:cs="Arial"/>
          <w:sz w:val="24"/>
          <w:szCs w:val="24"/>
        </w:rPr>
        <w:t>&amp;</w:t>
      </w:r>
      <w:r w:rsidRPr="00013734">
        <w:rPr>
          <w:rFonts w:ascii="Arial" w:hAnsi="Arial" w:cs="Arial"/>
          <w:sz w:val="24"/>
          <w:szCs w:val="24"/>
        </w:rPr>
        <w:t xml:space="preserve"> </w:t>
      </w:r>
      <w:r w:rsidR="00E062DE" w:rsidRPr="00013734">
        <w:rPr>
          <w:rFonts w:ascii="Arial" w:hAnsi="Arial" w:cs="Arial"/>
          <w:sz w:val="24"/>
          <w:szCs w:val="24"/>
        </w:rPr>
        <w:t>A</w:t>
      </w:r>
      <w:r w:rsidRPr="00013734">
        <w:rPr>
          <w:rFonts w:ascii="Arial" w:hAnsi="Arial" w:cs="Arial"/>
          <w:sz w:val="24"/>
          <w:szCs w:val="24"/>
        </w:rPr>
        <w:t xml:space="preserve">ward </w:t>
      </w:r>
      <w:r w:rsidR="00E062DE" w:rsidRPr="00013734">
        <w:rPr>
          <w:rFonts w:ascii="Arial" w:hAnsi="Arial" w:cs="Arial"/>
          <w:sz w:val="24"/>
          <w:szCs w:val="24"/>
        </w:rPr>
        <w:t>B</w:t>
      </w:r>
      <w:r w:rsidRPr="00013734">
        <w:rPr>
          <w:rFonts w:ascii="Arial" w:hAnsi="Arial" w:cs="Arial"/>
          <w:sz w:val="24"/>
          <w:szCs w:val="24"/>
        </w:rPr>
        <w:t xml:space="preserve">oards to verify they are conducted fairly and consistently in accordance with our </w:t>
      </w:r>
      <w:r w:rsidR="001B6C39" w:rsidRPr="00013734">
        <w:rPr>
          <w:rFonts w:ascii="Arial" w:hAnsi="Arial" w:cs="Arial"/>
          <w:sz w:val="24"/>
          <w:szCs w:val="24"/>
        </w:rPr>
        <w:t xml:space="preserve">own </w:t>
      </w:r>
      <w:hyperlink r:id="rId29" w:history="1">
        <w:r w:rsidR="001B6C39" w:rsidRPr="00013734">
          <w:rPr>
            <w:rStyle w:val="Hyperlink"/>
            <w:rFonts w:ascii="Arial" w:hAnsi="Arial" w:cs="Arial"/>
            <w:sz w:val="24"/>
            <w:szCs w:val="24"/>
          </w:rPr>
          <w:t>Academic R</w:t>
        </w:r>
        <w:r w:rsidRPr="00013734">
          <w:rPr>
            <w:rStyle w:val="Hyperlink"/>
            <w:rFonts w:ascii="Arial" w:hAnsi="Arial" w:cs="Arial"/>
            <w:sz w:val="24"/>
            <w:szCs w:val="24"/>
          </w:rPr>
          <w:t>egulations</w:t>
        </w:r>
      </w:hyperlink>
      <w:r w:rsidRPr="00013734">
        <w:rPr>
          <w:rFonts w:ascii="Arial" w:hAnsi="Arial" w:cs="Arial"/>
          <w:sz w:val="24"/>
          <w:szCs w:val="24"/>
        </w:rPr>
        <w:t xml:space="preserve">. </w:t>
      </w:r>
    </w:p>
    <w:p w14:paraId="31C9E222" w14:textId="77777777" w:rsidR="00F7313B" w:rsidRDefault="00F7313B" w:rsidP="00F7313B">
      <w:pPr>
        <w:autoSpaceDE w:val="0"/>
        <w:autoSpaceDN w:val="0"/>
        <w:adjustRightInd w:val="0"/>
        <w:spacing w:line="240" w:lineRule="auto"/>
        <w:rPr>
          <w:rFonts w:ascii="Arial" w:eastAsiaTheme="majorEastAsia" w:hAnsi="Arial" w:cs="Arial"/>
          <w:b/>
          <w:sz w:val="28"/>
          <w:szCs w:val="28"/>
        </w:rPr>
      </w:pPr>
    </w:p>
    <w:p w14:paraId="7F1E1FB7" w14:textId="7512BB5F" w:rsidR="007D1CE8" w:rsidRPr="00013734" w:rsidRDefault="007D1CE8" w:rsidP="00D04399">
      <w:pPr>
        <w:pStyle w:val="Heading1"/>
        <w:rPr>
          <w:rFonts w:ascii="Arial" w:hAnsi="Arial" w:cs="Arial"/>
          <w:b/>
          <w:color w:val="auto"/>
          <w:sz w:val="28"/>
          <w:szCs w:val="28"/>
        </w:rPr>
      </w:pPr>
      <w:r w:rsidRPr="00013734">
        <w:rPr>
          <w:rFonts w:ascii="Arial" w:hAnsi="Arial" w:cs="Arial"/>
          <w:b/>
          <w:color w:val="auto"/>
          <w:sz w:val="28"/>
          <w:szCs w:val="28"/>
        </w:rPr>
        <w:t xml:space="preserve">Academic governance </w:t>
      </w:r>
    </w:p>
    <w:p w14:paraId="41B3A2F2" w14:textId="77777777" w:rsidR="007D1CE8" w:rsidRPr="00013734" w:rsidRDefault="007D1CE8" w:rsidP="007D1CE8">
      <w:pPr>
        <w:pStyle w:val="NoSpacing"/>
        <w:rPr>
          <w:rFonts w:cs="Arial"/>
          <w:szCs w:val="24"/>
        </w:rPr>
      </w:pPr>
    </w:p>
    <w:p w14:paraId="237EF44F" w14:textId="4405FC40" w:rsidR="007D1CE8" w:rsidRPr="00013734" w:rsidRDefault="007D1CE8" w:rsidP="007D1CE8">
      <w:pPr>
        <w:autoSpaceDE w:val="0"/>
        <w:autoSpaceDN w:val="0"/>
        <w:adjustRightInd w:val="0"/>
        <w:spacing w:line="240" w:lineRule="auto"/>
        <w:rPr>
          <w:rFonts w:ascii="Arial" w:hAnsi="Arial" w:cs="Arial"/>
          <w:sz w:val="24"/>
          <w:szCs w:val="24"/>
        </w:rPr>
      </w:pPr>
      <w:r w:rsidRPr="00013734">
        <w:rPr>
          <w:rFonts w:ascii="Arial" w:hAnsi="Arial" w:cs="Arial"/>
          <w:sz w:val="24"/>
          <w:szCs w:val="24"/>
        </w:rPr>
        <w:t>Reporting to the University’s governing body</w:t>
      </w:r>
      <w:r w:rsidR="00261B0F" w:rsidRPr="00013734">
        <w:rPr>
          <w:rFonts w:ascii="Arial" w:hAnsi="Arial" w:cs="Arial"/>
          <w:sz w:val="24"/>
          <w:szCs w:val="24"/>
        </w:rPr>
        <w:t>,</w:t>
      </w:r>
      <w:r w:rsidRPr="00013734">
        <w:rPr>
          <w:rFonts w:ascii="Arial" w:hAnsi="Arial" w:cs="Arial"/>
          <w:sz w:val="24"/>
          <w:szCs w:val="24"/>
        </w:rPr>
        <w:t xml:space="preserve"> the Academic Board has ultimate responsibility for the setting and maintenance of degree standards. Processes for, and outcomes from, </w:t>
      </w:r>
      <w:r w:rsidR="00261B0F" w:rsidRPr="00013734">
        <w:rPr>
          <w:rFonts w:ascii="Arial" w:hAnsi="Arial" w:cs="Arial"/>
          <w:sz w:val="24"/>
          <w:szCs w:val="24"/>
        </w:rPr>
        <w:t xml:space="preserve">programme </w:t>
      </w:r>
      <w:r w:rsidRPr="00013734">
        <w:rPr>
          <w:rFonts w:ascii="Arial" w:hAnsi="Arial" w:cs="Arial"/>
          <w:sz w:val="24"/>
          <w:szCs w:val="24"/>
        </w:rPr>
        <w:t>validation, monitoring (including external examiners) and review are overseen by the Academic Quality Enhancement Committee</w:t>
      </w:r>
      <w:r w:rsidR="001B6C39" w:rsidRPr="00013734">
        <w:rPr>
          <w:rFonts w:ascii="Arial" w:hAnsi="Arial" w:cs="Arial"/>
          <w:sz w:val="24"/>
          <w:szCs w:val="24"/>
        </w:rPr>
        <w:t xml:space="preserve"> on behalf of the Academic Board</w:t>
      </w:r>
      <w:r w:rsidRPr="00013734">
        <w:rPr>
          <w:rFonts w:ascii="Arial" w:hAnsi="Arial" w:cs="Arial"/>
          <w:sz w:val="24"/>
          <w:szCs w:val="24"/>
        </w:rPr>
        <w:t>. No degree may be delivered without AQEC approval</w:t>
      </w:r>
      <w:r w:rsidR="00261B0F" w:rsidRPr="00013734">
        <w:rPr>
          <w:rFonts w:ascii="Arial" w:hAnsi="Arial" w:cs="Arial"/>
          <w:sz w:val="24"/>
          <w:szCs w:val="24"/>
        </w:rPr>
        <w:t>,</w:t>
      </w:r>
      <w:r w:rsidRPr="00013734">
        <w:rPr>
          <w:rFonts w:ascii="Arial" w:hAnsi="Arial" w:cs="Arial"/>
          <w:sz w:val="24"/>
          <w:szCs w:val="24"/>
        </w:rPr>
        <w:t xml:space="preserve"> and a full list of approved awards accompanies our </w:t>
      </w:r>
      <w:r w:rsidR="001B6C39" w:rsidRPr="00013734">
        <w:rPr>
          <w:rFonts w:ascii="Arial" w:hAnsi="Arial" w:cs="Arial"/>
          <w:sz w:val="24"/>
          <w:szCs w:val="24"/>
        </w:rPr>
        <w:t>r</w:t>
      </w:r>
      <w:r w:rsidRPr="00013734">
        <w:rPr>
          <w:rFonts w:ascii="Arial" w:hAnsi="Arial" w:cs="Arial"/>
          <w:sz w:val="24"/>
          <w:szCs w:val="24"/>
        </w:rPr>
        <w:t xml:space="preserve">egulations. </w:t>
      </w:r>
    </w:p>
    <w:p w14:paraId="586F3EBC" w14:textId="77777777" w:rsidR="007D1CE8" w:rsidRPr="00013734" w:rsidRDefault="007D1CE8" w:rsidP="007D1CE8">
      <w:pPr>
        <w:autoSpaceDE w:val="0"/>
        <w:autoSpaceDN w:val="0"/>
        <w:adjustRightInd w:val="0"/>
        <w:spacing w:line="240" w:lineRule="auto"/>
        <w:rPr>
          <w:rFonts w:ascii="Arial" w:hAnsi="Arial" w:cs="Arial"/>
          <w:sz w:val="24"/>
          <w:szCs w:val="24"/>
        </w:rPr>
      </w:pPr>
    </w:p>
    <w:p w14:paraId="3EC68970" w14:textId="0572F8E3" w:rsidR="007D1CE8" w:rsidRPr="00013734" w:rsidRDefault="007D1CE8" w:rsidP="007D1CE8">
      <w:pPr>
        <w:autoSpaceDE w:val="0"/>
        <w:autoSpaceDN w:val="0"/>
        <w:adjustRightInd w:val="0"/>
        <w:spacing w:line="240" w:lineRule="auto"/>
        <w:rPr>
          <w:rFonts w:ascii="Arial" w:hAnsi="Arial" w:cs="Arial"/>
          <w:sz w:val="24"/>
          <w:szCs w:val="24"/>
        </w:rPr>
      </w:pPr>
      <w:r w:rsidRPr="00013734">
        <w:rPr>
          <w:rFonts w:ascii="Arial" w:hAnsi="Arial" w:cs="Arial"/>
          <w:sz w:val="24"/>
          <w:szCs w:val="24"/>
        </w:rPr>
        <w:t xml:space="preserve">In addition to annual monitoring, </w:t>
      </w:r>
      <w:r w:rsidR="006115FA" w:rsidRPr="00013734">
        <w:rPr>
          <w:rFonts w:ascii="Arial" w:hAnsi="Arial" w:cs="Arial"/>
          <w:sz w:val="24"/>
          <w:szCs w:val="24"/>
        </w:rPr>
        <w:t xml:space="preserve">a </w:t>
      </w:r>
      <w:hyperlink r:id="rId30" w:history="1">
        <w:r w:rsidR="006115FA" w:rsidRPr="00013734">
          <w:rPr>
            <w:rStyle w:val="Hyperlink"/>
            <w:rFonts w:ascii="Arial" w:hAnsi="Arial" w:cs="Arial"/>
            <w:sz w:val="24"/>
            <w:szCs w:val="24"/>
          </w:rPr>
          <w:t xml:space="preserve">five-yearly </w:t>
        </w:r>
        <w:r w:rsidRPr="00013734">
          <w:rPr>
            <w:rStyle w:val="Hyperlink"/>
            <w:rFonts w:ascii="Arial" w:hAnsi="Arial" w:cs="Arial"/>
            <w:sz w:val="24"/>
            <w:szCs w:val="24"/>
          </w:rPr>
          <w:t>review</w:t>
        </w:r>
      </w:hyperlink>
      <w:r w:rsidRPr="00013734">
        <w:rPr>
          <w:rFonts w:ascii="Arial" w:hAnsi="Arial" w:cs="Arial"/>
          <w:sz w:val="24"/>
          <w:szCs w:val="24"/>
        </w:rPr>
        <w:t xml:space="preserve"> of </w:t>
      </w:r>
      <w:r w:rsidR="006115FA" w:rsidRPr="00013734">
        <w:rPr>
          <w:rFonts w:ascii="Arial" w:hAnsi="Arial" w:cs="Arial"/>
          <w:sz w:val="24"/>
          <w:szCs w:val="24"/>
        </w:rPr>
        <w:t xml:space="preserve">each </w:t>
      </w:r>
      <w:r w:rsidRPr="00013734">
        <w:rPr>
          <w:rFonts w:ascii="Arial" w:hAnsi="Arial" w:cs="Arial"/>
          <w:sz w:val="24"/>
          <w:szCs w:val="24"/>
        </w:rPr>
        <w:t>academic department/ subject</w:t>
      </w:r>
      <w:r w:rsidR="006115FA" w:rsidRPr="00013734">
        <w:rPr>
          <w:rFonts w:ascii="Arial" w:hAnsi="Arial" w:cs="Arial"/>
          <w:sz w:val="24"/>
          <w:szCs w:val="24"/>
        </w:rPr>
        <w:t xml:space="preserve"> area</w:t>
      </w:r>
      <w:r w:rsidRPr="00013734">
        <w:rPr>
          <w:rFonts w:ascii="Arial" w:hAnsi="Arial" w:cs="Arial"/>
          <w:sz w:val="24"/>
          <w:szCs w:val="24"/>
        </w:rPr>
        <w:t xml:space="preserve"> supports continued programme approval by AQEC. Reports of the most recent reviews </w:t>
      </w:r>
      <w:r w:rsidR="000C7679" w:rsidRPr="00013734">
        <w:rPr>
          <w:rFonts w:ascii="Arial" w:hAnsi="Arial" w:cs="Arial"/>
          <w:sz w:val="24"/>
          <w:szCs w:val="24"/>
        </w:rPr>
        <w:t xml:space="preserve">to be conducted </w:t>
      </w:r>
      <w:r w:rsidRPr="00013734">
        <w:rPr>
          <w:rFonts w:ascii="Arial" w:hAnsi="Arial" w:cs="Arial"/>
          <w:sz w:val="24"/>
          <w:szCs w:val="24"/>
        </w:rPr>
        <w:t xml:space="preserve">confirm that our degree standards meet national expectations. Monitoring and review also consider the standards of Edge Hill programmes delivered by our academic partner organisations for which we </w:t>
      </w:r>
      <w:r w:rsidR="000C7679" w:rsidRPr="00013734">
        <w:rPr>
          <w:rFonts w:ascii="Arial" w:hAnsi="Arial" w:cs="Arial"/>
          <w:sz w:val="24"/>
          <w:szCs w:val="24"/>
        </w:rPr>
        <w:t xml:space="preserve">are </w:t>
      </w:r>
      <w:r w:rsidRPr="00013734">
        <w:rPr>
          <w:rFonts w:ascii="Arial" w:hAnsi="Arial" w:cs="Arial"/>
          <w:sz w:val="24"/>
          <w:szCs w:val="24"/>
        </w:rPr>
        <w:t>ultimately responsible.</w:t>
      </w:r>
      <w:r w:rsidR="00A110C2" w:rsidRPr="00013734">
        <w:rPr>
          <w:rFonts w:ascii="Arial" w:hAnsi="Arial" w:cs="Arial"/>
          <w:sz w:val="24"/>
          <w:szCs w:val="24"/>
        </w:rPr>
        <w:t xml:space="preserve"> Programme modification procedures ensure that curricula remain appropriate and current between scheduled reviews.</w:t>
      </w:r>
    </w:p>
    <w:p w14:paraId="6193710A" w14:textId="77777777" w:rsidR="007D1CE8" w:rsidRPr="00013734" w:rsidRDefault="007D1CE8" w:rsidP="007D1CE8">
      <w:pPr>
        <w:autoSpaceDE w:val="0"/>
        <w:autoSpaceDN w:val="0"/>
        <w:adjustRightInd w:val="0"/>
        <w:spacing w:line="240" w:lineRule="auto"/>
        <w:rPr>
          <w:rFonts w:ascii="Arial" w:hAnsi="Arial" w:cs="Arial"/>
          <w:sz w:val="24"/>
          <w:szCs w:val="24"/>
        </w:rPr>
      </w:pPr>
    </w:p>
    <w:p w14:paraId="7064874A" w14:textId="0D424811" w:rsidR="007D1CE8" w:rsidRDefault="007D1CE8" w:rsidP="007D1CE8">
      <w:pPr>
        <w:autoSpaceDE w:val="0"/>
        <w:autoSpaceDN w:val="0"/>
        <w:adjustRightInd w:val="0"/>
        <w:spacing w:line="240" w:lineRule="auto"/>
        <w:rPr>
          <w:rFonts w:ascii="Arial" w:hAnsi="Arial" w:cs="Arial"/>
          <w:sz w:val="24"/>
          <w:szCs w:val="24"/>
        </w:rPr>
      </w:pPr>
      <w:r w:rsidRPr="00013734">
        <w:rPr>
          <w:rFonts w:ascii="Arial" w:hAnsi="Arial" w:cs="Arial"/>
          <w:sz w:val="24"/>
          <w:szCs w:val="24"/>
        </w:rPr>
        <w:lastRenderedPageBreak/>
        <w:t>Academic Board and its committees receive reports on final degree classifications, academic appeals and academic malpractice cases which support</w:t>
      </w:r>
      <w:r w:rsidR="009048AF">
        <w:rPr>
          <w:rFonts w:ascii="Arial" w:hAnsi="Arial" w:cs="Arial"/>
          <w:sz w:val="24"/>
          <w:szCs w:val="24"/>
        </w:rPr>
        <w:t>s</w:t>
      </w:r>
      <w:r w:rsidRPr="00013734">
        <w:rPr>
          <w:rFonts w:ascii="Arial" w:hAnsi="Arial" w:cs="Arial"/>
          <w:sz w:val="24"/>
          <w:szCs w:val="24"/>
        </w:rPr>
        <w:t xml:space="preserve"> the continuous monitoring of standards. </w:t>
      </w:r>
      <w:bookmarkStart w:id="1" w:name="_Hlk22764670"/>
      <w:r w:rsidRPr="00013734">
        <w:rPr>
          <w:rFonts w:ascii="Arial" w:hAnsi="Arial" w:cs="Arial"/>
          <w:sz w:val="24"/>
          <w:szCs w:val="24"/>
        </w:rPr>
        <w:t xml:space="preserve">Assessment strategies, policies and </w:t>
      </w:r>
      <w:r w:rsidR="009F7564" w:rsidRPr="00013734">
        <w:rPr>
          <w:rFonts w:ascii="Arial" w:hAnsi="Arial" w:cs="Arial"/>
          <w:sz w:val="24"/>
          <w:szCs w:val="24"/>
        </w:rPr>
        <w:t xml:space="preserve">regulations, including those governing malpractice and appeals, </w:t>
      </w:r>
      <w:r w:rsidRPr="00013734">
        <w:rPr>
          <w:rFonts w:ascii="Arial" w:hAnsi="Arial" w:cs="Arial"/>
          <w:sz w:val="24"/>
          <w:szCs w:val="24"/>
        </w:rPr>
        <w:t xml:space="preserve">are kept under </w:t>
      </w:r>
      <w:r w:rsidR="009F7564" w:rsidRPr="00013734">
        <w:rPr>
          <w:rFonts w:ascii="Arial" w:hAnsi="Arial" w:cs="Arial"/>
          <w:sz w:val="24"/>
          <w:szCs w:val="24"/>
        </w:rPr>
        <w:t xml:space="preserve">continuous </w:t>
      </w:r>
      <w:r w:rsidRPr="00013734">
        <w:rPr>
          <w:rFonts w:ascii="Arial" w:hAnsi="Arial" w:cs="Arial"/>
          <w:sz w:val="24"/>
          <w:szCs w:val="24"/>
        </w:rPr>
        <w:t xml:space="preserve">review, and proactive monitoring and </w:t>
      </w:r>
      <w:r w:rsidR="009F7564" w:rsidRPr="00013734">
        <w:rPr>
          <w:rFonts w:ascii="Arial" w:hAnsi="Arial" w:cs="Arial"/>
          <w:sz w:val="24"/>
          <w:szCs w:val="24"/>
        </w:rPr>
        <w:t>intervention</w:t>
      </w:r>
      <w:r w:rsidRPr="00013734">
        <w:rPr>
          <w:rFonts w:ascii="Arial" w:hAnsi="Arial" w:cs="Arial"/>
          <w:sz w:val="24"/>
          <w:szCs w:val="24"/>
        </w:rPr>
        <w:t xml:space="preserve"> help safeguard standards. </w:t>
      </w:r>
      <w:bookmarkEnd w:id="1"/>
      <w:r w:rsidRPr="00013734">
        <w:rPr>
          <w:rFonts w:ascii="Arial" w:hAnsi="Arial" w:cs="Arial"/>
          <w:sz w:val="24"/>
          <w:szCs w:val="24"/>
        </w:rPr>
        <w:t xml:space="preserve">Annual monitoring detects grade improvement at individual programme level and explores </w:t>
      </w:r>
      <w:r w:rsidR="0086681C" w:rsidRPr="00013734">
        <w:rPr>
          <w:rFonts w:ascii="Arial" w:hAnsi="Arial" w:cs="Arial"/>
          <w:sz w:val="24"/>
          <w:szCs w:val="24"/>
        </w:rPr>
        <w:t>how intake standards</w:t>
      </w:r>
      <w:r w:rsidR="007F6690" w:rsidRPr="00013734">
        <w:rPr>
          <w:rFonts w:ascii="Arial" w:hAnsi="Arial" w:cs="Arial"/>
          <w:sz w:val="24"/>
          <w:szCs w:val="24"/>
        </w:rPr>
        <w:t xml:space="preserve"> attained from different types of entry qualification</w:t>
      </w:r>
      <w:r w:rsidR="0086681C" w:rsidRPr="00013734">
        <w:rPr>
          <w:rFonts w:ascii="Arial" w:hAnsi="Arial" w:cs="Arial"/>
          <w:sz w:val="24"/>
          <w:szCs w:val="24"/>
        </w:rPr>
        <w:t>,</w:t>
      </w:r>
      <w:r w:rsidR="00261B0F" w:rsidRPr="00013734">
        <w:rPr>
          <w:rFonts w:ascii="Arial" w:hAnsi="Arial" w:cs="Arial"/>
          <w:sz w:val="24"/>
          <w:szCs w:val="24"/>
        </w:rPr>
        <w:t xml:space="preserve"> enhanced </w:t>
      </w:r>
      <w:r w:rsidRPr="00013734">
        <w:rPr>
          <w:rFonts w:ascii="Arial" w:hAnsi="Arial" w:cs="Arial"/>
          <w:sz w:val="24"/>
          <w:szCs w:val="24"/>
        </w:rPr>
        <w:t xml:space="preserve">teaching and assessment practices and academic support have </w:t>
      </w:r>
      <w:r w:rsidR="00261B0F" w:rsidRPr="00013734">
        <w:rPr>
          <w:rFonts w:ascii="Arial" w:hAnsi="Arial" w:cs="Arial"/>
          <w:sz w:val="24"/>
          <w:szCs w:val="24"/>
        </w:rPr>
        <w:t>contributed to</w:t>
      </w:r>
      <w:r w:rsidRPr="00013734">
        <w:rPr>
          <w:rFonts w:ascii="Arial" w:hAnsi="Arial" w:cs="Arial"/>
          <w:sz w:val="24"/>
          <w:szCs w:val="24"/>
        </w:rPr>
        <w:t xml:space="preserve"> student </w:t>
      </w:r>
      <w:r w:rsidR="007F6690" w:rsidRPr="00013734">
        <w:rPr>
          <w:rFonts w:ascii="Arial" w:hAnsi="Arial" w:cs="Arial"/>
          <w:sz w:val="24"/>
          <w:szCs w:val="24"/>
        </w:rPr>
        <w:t>achievement</w:t>
      </w:r>
      <w:r w:rsidRPr="00013734">
        <w:rPr>
          <w:rFonts w:ascii="Arial" w:hAnsi="Arial" w:cs="Arial"/>
          <w:sz w:val="24"/>
          <w:szCs w:val="24"/>
        </w:rPr>
        <w:t>.</w:t>
      </w:r>
    </w:p>
    <w:p w14:paraId="09758683" w14:textId="77777777" w:rsidR="00866AA7" w:rsidRPr="00013734" w:rsidRDefault="00866AA7" w:rsidP="007D1CE8">
      <w:pPr>
        <w:autoSpaceDE w:val="0"/>
        <w:autoSpaceDN w:val="0"/>
        <w:adjustRightInd w:val="0"/>
        <w:spacing w:line="240" w:lineRule="auto"/>
        <w:rPr>
          <w:rFonts w:ascii="Arial" w:hAnsi="Arial" w:cs="Arial"/>
          <w:sz w:val="24"/>
          <w:szCs w:val="24"/>
        </w:rPr>
      </w:pPr>
    </w:p>
    <w:p w14:paraId="321082FD" w14:textId="51DF38B1" w:rsidR="007D1CE8" w:rsidRPr="00013734" w:rsidRDefault="006C1FB3" w:rsidP="007D1CE8">
      <w:pPr>
        <w:shd w:val="clear" w:color="auto" w:fill="FFFFFF" w:themeFill="background1"/>
        <w:autoSpaceDE w:val="0"/>
        <w:autoSpaceDN w:val="0"/>
        <w:adjustRightInd w:val="0"/>
        <w:spacing w:line="240" w:lineRule="auto"/>
        <w:rPr>
          <w:rFonts w:ascii="Arial" w:hAnsi="Arial" w:cs="Arial"/>
          <w:sz w:val="24"/>
          <w:szCs w:val="24"/>
        </w:rPr>
      </w:pPr>
      <w:r w:rsidRPr="00013734">
        <w:rPr>
          <w:rFonts w:ascii="Arial" w:hAnsi="Arial" w:cs="Arial"/>
          <w:sz w:val="24"/>
          <w:szCs w:val="24"/>
        </w:rPr>
        <w:t>The</w:t>
      </w:r>
      <w:r w:rsidR="007D1CE8" w:rsidRPr="00013734">
        <w:rPr>
          <w:rFonts w:ascii="Arial" w:hAnsi="Arial" w:cs="Arial"/>
          <w:sz w:val="24"/>
          <w:szCs w:val="24"/>
        </w:rPr>
        <w:t xml:space="preserve"> Regulations Review Sub-Committee oversees the continued appropriateness and fairness of our academic regulations and advises the Learning and Teaching Committee on any changes for the approval of Academic Board. </w:t>
      </w:r>
      <w:r w:rsidRPr="00013734">
        <w:rPr>
          <w:rFonts w:ascii="Arial" w:hAnsi="Arial" w:cs="Arial"/>
          <w:sz w:val="24"/>
          <w:szCs w:val="24"/>
        </w:rPr>
        <w:t>The</w:t>
      </w:r>
      <w:r w:rsidR="007D1CE8" w:rsidRPr="00013734">
        <w:rPr>
          <w:rFonts w:ascii="Arial" w:hAnsi="Arial" w:cs="Arial"/>
          <w:sz w:val="24"/>
          <w:szCs w:val="24"/>
        </w:rPr>
        <w:t xml:space="preserve"> External Examiners Sub-Committee has oversight of external examiners</w:t>
      </w:r>
      <w:r w:rsidR="004D2914" w:rsidRPr="00013734">
        <w:rPr>
          <w:rFonts w:ascii="Arial" w:hAnsi="Arial" w:cs="Arial"/>
          <w:sz w:val="24"/>
          <w:szCs w:val="24"/>
        </w:rPr>
        <w:t>, their appointment</w:t>
      </w:r>
      <w:r w:rsidR="007D1CE8" w:rsidRPr="00013734">
        <w:rPr>
          <w:rFonts w:ascii="Arial" w:hAnsi="Arial" w:cs="Arial"/>
          <w:sz w:val="24"/>
          <w:szCs w:val="24"/>
        </w:rPr>
        <w:t xml:space="preserve"> and reports</w:t>
      </w:r>
      <w:r w:rsidR="004D2914" w:rsidRPr="00013734">
        <w:rPr>
          <w:rFonts w:ascii="Arial" w:hAnsi="Arial" w:cs="Arial"/>
          <w:sz w:val="24"/>
          <w:szCs w:val="24"/>
        </w:rPr>
        <w:t>,</w:t>
      </w:r>
      <w:r w:rsidR="007D1CE8" w:rsidRPr="00013734">
        <w:rPr>
          <w:rFonts w:ascii="Arial" w:hAnsi="Arial" w:cs="Arial"/>
          <w:sz w:val="24"/>
          <w:szCs w:val="24"/>
        </w:rPr>
        <w:t xml:space="preserve"> and assures AQEC and </w:t>
      </w:r>
      <w:r w:rsidR="004D2914" w:rsidRPr="00013734">
        <w:rPr>
          <w:rFonts w:ascii="Arial" w:hAnsi="Arial" w:cs="Arial"/>
          <w:sz w:val="24"/>
          <w:szCs w:val="24"/>
        </w:rPr>
        <w:t xml:space="preserve">the </w:t>
      </w:r>
      <w:r w:rsidR="007D1CE8" w:rsidRPr="00013734">
        <w:rPr>
          <w:rFonts w:ascii="Arial" w:hAnsi="Arial" w:cs="Arial"/>
          <w:sz w:val="24"/>
          <w:szCs w:val="24"/>
        </w:rPr>
        <w:t xml:space="preserve">Academic Board that they are discharging their responsibilities appropriately and that any matters raised by them have received proper consideration. An annual Academic Assurance Report </w:t>
      </w:r>
      <w:r w:rsidR="004D2914" w:rsidRPr="00013734">
        <w:rPr>
          <w:rFonts w:ascii="Arial" w:hAnsi="Arial" w:cs="Arial"/>
          <w:sz w:val="24"/>
          <w:szCs w:val="24"/>
        </w:rPr>
        <w:t>helps satisfy</w:t>
      </w:r>
      <w:r w:rsidR="007D1CE8" w:rsidRPr="00013734">
        <w:rPr>
          <w:rFonts w:ascii="Arial" w:hAnsi="Arial" w:cs="Arial"/>
          <w:sz w:val="24"/>
          <w:szCs w:val="24"/>
        </w:rPr>
        <w:t xml:space="preserve"> the Board of Governors that we continue to meet national expectations and regulatory requirements for degree standards. </w:t>
      </w:r>
    </w:p>
    <w:p w14:paraId="3E7DFCC7" w14:textId="77777777" w:rsidR="007D1CE8" w:rsidRPr="00013734" w:rsidRDefault="007D1CE8" w:rsidP="007D1CE8">
      <w:pPr>
        <w:pStyle w:val="NoSpacing"/>
        <w:rPr>
          <w:rFonts w:cs="Arial"/>
          <w:szCs w:val="24"/>
        </w:rPr>
      </w:pPr>
    </w:p>
    <w:p w14:paraId="0257221B" w14:textId="77777777" w:rsidR="007D1CE8" w:rsidRPr="00013734" w:rsidRDefault="007D1CE8" w:rsidP="00D04399">
      <w:pPr>
        <w:pStyle w:val="Heading1"/>
        <w:rPr>
          <w:rFonts w:ascii="Arial" w:hAnsi="Arial" w:cs="Arial"/>
          <w:b/>
          <w:color w:val="auto"/>
          <w:sz w:val="28"/>
          <w:szCs w:val="28"/>
        </w:rPr>
      </w:pPr>
      <w:r w:rsidRPr="00013734">
        <w:rPr>
          <w:rFonts w:ascii="Arial" w:hAnsi="Arial" w:cs="Arial"/>
          <w:b/>
          <w:color w:val="auto"/>
          <w:sz w:val="28"/>
          <w:szCs w:val="28"/>
        </w:rPr>
        <w:t xml:space="preserve">Classification algorithms </w:t>
      </w:r>
    </w:p>
    <w:p w14:paraId="77411DB7" w14:textId="7C1CB019" w:rsidR="007D1CE8" w:rsidRPr="00013734" w:rsidRDefault="007D1CE8" w:rsidP="007D1CE8">
      <w:pPr>
        <w:pStyle w:val="NoSpacing"/>
        <w:rPr>
          <w:rFonts w:cs="Arial"/>
          <w:szCs w:val="24"/>
        </w:rPr>
      </w:pPr>
    </w:p>
    <w:p w14:paraId="44A03AEB" w14:textId="4AA3E069" w:rsidR="00013734" w:rsidRPr="00013734" w:rsidRDefault="006C3B46" w:rsidP="006C3B46">
      <w:pPr>
        <w:pStyle w:val="NoSpacing"/>
        <w:rPr>
          <w:rFonts w:cs="Arial"/>
          <w:color w:val="000000"/>
          <w:szCs w:val="24"/>
        </w:rPr>
      </w:pPr>
      <w:r w:rsidRPr="00013734">
        <w:rPr>
          <w:rFonts w:cs="Arial"/>
          <w:color w:val="000000"/>
          <w:szCs w:val="24"/>
        </w:rPr>
        <w:t xml:space="preserve">The University last reviewed its </w:t>
      </w:r>
      <w:r w:rsidR="00D81E6E">
        <w:rPr>
          <w:rFonts w:cs="Arial"/>
          <w:color w:val="000000"/>
          <w:szCs w:val="24"/>
        </w:rPr>
        <w:t xml:space="preserve">permanent </w:t>
      </w:r>
      <w:r w:rsidRPr="00013734">
        <w:rPr>
          <w:rFonts w:cs="Arial"/>
          <w:color w:val="000000"/>
          <w:szCs w:val="24"/>
        </w:rPr>
        <w:t>approach to classifying honours degrees in 2016. This was in response to then</w:t>
      </w:r>
      <w:r w:rsidR="006C1FB3" w:rsidRPr="00013734">
        <w:rPr>
          <w:rFonts w:cs="Arial"/>
          <w:color w:val="000000"/>
          <w:szCs w:val="24"/>
        </w:rPr>
        <w:t>-</w:t>
      </w:r>
      <w:r w:rsidRPr="00013734">
        <w:rPr>
          <w:rFonts w:cs="Arial"/>
          <w:color w:val="000000"/>
          <w:szCs w:val="24"/>
        </w:rPr>
        <w:t>emerging concerns expressed by government about the classification systems applied by higher education providers across the United Kingdom. The impact of the review was that the University moved to a single system for classification, which came into effect in July 2019 and is described below.</w:t>
      </w:r>
    </w:p>
    <w:p w14:paraId="5C1F1F78" w14:textId="1F5CC28C" w:rsidR="006C3B46" w:rsidRPr="00013734" w:rsidRDefault="00013734" w:rsidP="006C3B46">
      <w:pPr>
        <w:pStyle w:val="NoSpacing"/>
        <w:rPr>
          <w:rFonts w:cs="Arial"/>
          <w:color w:val="000000"/>
          <w:szCs w:val="24"/>
        </w:rPr>
      </w:pPr>
      <w:r w:rsidRPr="00013734">
        <w:rPr>
          <w:rFonts w:cs="Arial"/>
          <w:color w:val="000000"/>
          <w:szCs w:val="24"/>
        </w:rPr>
        <w:t xml:space="preserve"> </w:t>
      </w:r>
    </w:p>
    <w:p w14:paraId="48E07A6B" w14:textId="77777777" w:rsidR="00013734" w:rsidRPr="00013734" w:rsidRDefault="006C3B46" w:rsidP="006C3B46">
      <w:pPr>
        <w:pStyle w:val="NoSpacing"/>
        <w:rPr>
          <w:rFonts w:cs="Arial"/>
          <w:szCs w:val="24"/>
        </w:rPr>
      </w:pPr>
      <w:r w:rsidRPr="00013734">
        <w:rPr>
          <w:rFonts w:cs="Arial"/>
          <w:color w:val="000000"/>
          <w:szCs w:val="24"/>
        </w:rPr>
        <w:t xml:space="preserve">The University applies the standard classification bands used across the sector. Classifications are determined by a weighted average percentage mark (APM) which </w:t>
      </w:r>
      <w:r w:rsidRPr="00013734">
        <w:rPr>
          <w:rFonts w:cs="Arial"/>
          <w:szCs w:val="24"/>
        </w:rPr>
        <w:t>is calculated using the average mark from Level 5 and Level 6 study, weighted at 40% and 60% respectively. The lowest mark, to the value of 20 credits, is discarded. The only deviation from this approach is where an honours degree has an atypical credit total, for example Conversion Degrees or programmes that incorporate a credit</w:t>
      </w:r>
      <w:r w:rsidR="006C1FB3" w:rsidRPr="00013734">
        <w:rPr>
          <w:rFonts w:cs="Arial"/>
          <w:szCs w:val="24"/>
        </w:rPr>
        <w:t>-</w:t>
      </w:r>
      <w:r w:rsidRPr="00013734">
        <w:rPr>
          <w:rFonts w:cs="Arial"/>
          <w:szCs w:val="24"/>
        </w:rPr>
        <w:t>bearing placement year. In these cases, the standard algorithm is adapted as appropriate for the different credit totals and values.</w:t>
      </w:r>
    </w:p>
    <w:p w14:paraId="788628E4" w14:textId="45A0E791" w:rsidR="006C3B46" w:rsidRPr="00013734" w:rsidRDefault="00013734" w:rsidP="006C3B46">
      <w:pPr>
        <w:pStyle w:val="NoSpacing"/>
        <w:rPr>
          <w:rFonts w:cs="Arial"/>
          <w:szCs w:val="24"/>
        </w:rPr>
      </w:pPr>
      <w:r w:rsidRPr="00013734">
        <w:rPr>
          <w:rFonts w:cs="Arial"/>
          <w:szCs w:val="24"/>
        </w:rPr>
        <w:t xml:space="preserve"> </w:t>
      </w:r>
    </w:p>
    <w:p w14:paraId="4DDB9C67" w14:textId="56D15770" w:rsidR="006C3B46" w:rsidRPr="00013734" w:rsidRDefault="006C3B46" w:rsidP="006C3B46">
      <w:pPr>
        <w:pStyle w:val="NoSpacing"/>
        <w:rPr>
          <w:rFonts w:cs="Arial"/>
          <w:szCs w:val="24"/>
        </w:rPr>
      </w:pPr>
      <w:r w:rsidRPr="00013734">
        <w:rPr>
          <w:rFonts w:cs="Arial"/>
          <w:szCs w:val="24"/>
        </w:rPr>
        <w:t>Placing greater weight on marks from the final year ensures that classifications appropriately reflect the standard of performance a student has achieved on obtaining their qualification</w:t>
      </w:r>
      <w:r w:rsidR="00040247" w:rsidRPr="00013734">
        <w:rPr>
          <w:rFonts w:cs="Arial"/>
          <w:szCs w:val="24"/>
        </w:rPr>
        <w:t>,</w:t>
      </w:r>
      <w:r w:rsidRPr="00013734">
        <w:rPr>
          <w:rFonts w:cs="Arial"/>
          <w:szCs w:val="24"/>
        </w:rPr>
        <w:t xml:space="preserve"> acknowledging the accumulation of knowledge, expertise and skills in the preceding years. Discarding the lowest mark recognises consistent performance by omitting outliers from the final degree classification. It also supports students to undertake some study outside of their specialism</w:t>
      </w:r>
      <w:r w:rsidR="00694F65" w:rsidRPr="00013734">
        <w:rPr>
          <w:rFonts w:cs="Arial"/>
          <w:szCs w:val="24"/>
        </w:rPr>
        <w:t>, f</w:t>
      </w:r>
      <w:r w:rsidRPr="00013734">
        <w:rPr>
          <w:rFonts w:cs="Arial"/>
          <w:szCs w:val="24"/>
        </w:rPr>
        <w:t>or example, diversifying their learning (in up to 20 credits) to take a language module without fear that this may impact on their final classification.</w:t>
      </w:r>
    </w:p>
    <w:p w14:paraId="7D0BF2B5" w14:textId="77777777" w:rsidR="006C3B46" w:rsidRPr="00013734" w:rsidRDefault="006C3B46" w:rsidP="006C3B46">
      <w:pPr>
        <w:pStyle w:val="NoSpacing"/>
        <w:rPr>
          <w:rFonts w:cs="Arial"/>
          <w:szCs w:val="24"/>
        </w:rPr>
      </w:pPr>
    </w:p>
    <w:p w14:paraId="42B1505F" w14:textId="77777777" w:rsidR="00013734" w:rsidRPr="00013734" w:rsidRDefault="006C3B46" w:rsidP="006C3B46">
      <w:pPr>
        <w:pStyle w:val="NoSpacing"/>
        <w:rPr>
          <w:rFonts w:cs="Arial"/>
          <w:szCs w:val="24"/>
        </w:rPr>
      </w:pPr>
      <w:bookmarkStart w:id="2" w:name="_Hlk41401067"/>
      <w:r w:rsidRPr="00013734">
        <w:rPr>
          <w:rFonts w:cs="Arial"/>
          <w:szCs w:val="24"/>
        </w:rPr>
        <w:t xml:space="preserve">Where a student is within 2% of a higher classification band, the University will consider whether a higher classification is appropriate and justified. </w:t>
      </w:r>
      <w:bookmarkEnd w:id="2"/>
      <w:r w:rsidRPr="00013734">
        <w:rPr>
          <w:rFonts w:cs="Arial"/>
          <w:szCs w:val="24"/>
        </w:rPr>
        <w:t xml:space="preserve">In these </w:t>
      </w:r>
      <w:proofErr w:type="gramStart"/>
      <w:r w:rsidRPr="00013734">
        <w:rPr>
          <w:rFonts w:cs="Arial"/>
          <w:szCs w:val="24"/>
        </w:rPr>
        <w:t>cases</w:t>
      </w:r>
      <w:proofErr w:type="gramEnd"/>
      <w:r w:rsidRPr="00013734">
        <w:rPr>
          <w:rFonts w:cs="Arial"/>
          <w:szCs w:val="24"/>
        </w:rPr>
        <w:t xml:space="preserve"> either the APM for the final year must be at the higher classification standard</w:t>
      </w:r>
      <w:r w:rsidR="006C1FB3" w:rsidRPr="00013734">
        <w:rPr>
          <w:rFonts w:cs="Arial"/>
          <w:szCs w:val="24"/>
        </w:rPr>
        <w:t>,</w:t>
      </w:r>
      <w:r w:rsidRPr="00013734">
        <w:rPr>
          <w:rFonts w:cs="Arial"/>
          <w:szCs w:val="24"/>
        </w:rPr>
        <w:t xml:space="preserve"> or at </w:t>
      </w:r>
      <w:r w:rsidRPr="00013734">
        <w:rPr>
          <w:rFonts w:cs="Arial"/>
          <w:szCs w:val="24"/>
        </w:rPr>
        <w:lastRenderedPageBreak/>
        <w:t>least half the module marks across Levels 5 and 6 must be in the higher classification band for that classification to be awarded. The application of this discretion is governed by guidance specified in Appendix 12 to the Academic Regulations.</w:t>
      </w:r>
    </w:p>
    <w:p w14:paraId="792DC769" w14:textId="0FB58B65" w:rsidR="006C3B46" w:rsidRPr="00013734" w:rsidRDefault="00013734" w:rsidP="006C3B46">
      <w:pPr>
        <w:pStyle w:val="NoSpacing"/>
        <w:rPr>
          <w:rFonts w:cs="Arial"/>
          <w:szCs w:val="24"/>
        </w:rPr>
      </w:pPr>
      <w:r w:rsidRPr="00013734">
        <w:rPr>
          <w:rFonts w:cs="Arial"/>
          <w:szCs w:val="24"/>
        </w:rPr>
        <w:t xml:space="preserve"> </w:t>
      </w:r>
    </w:p>
    <w:p w14:paraId="6C47EEFE" w14:textId="19FF5CD3" w:rsidR="006C3B46" w:rsidRPr="00013734" w:rsidRDefault="006C3B46" w:rsidP="006C3B46">
      <w:pPr>
        <w:pStyle w:val="NoSpacing"/>
        <w:rPr>
          <w:rFonts w:cs="Arial"/>
          <w:szCs w:val="24"/>
        </w:rPr>
      </w:pPr>
      <w:r w:rsidRPr="00013734">
        <w:rPr>
          <w:rFonts w:cs="Arial"/>
          <w:szCs w:val="24"/>
        </w:rPr>
        <w:t>Students are required to successfully complete all modules registered against their programme in order to qualify for an award</w:t>
      </w:r>
      <w:r w:rsidR="00617792">
        <w:rPr>
          <w:rFonts w:cs="Arial"/>
          <w:szCs w:val="24"/>
        </w:rPr>
        <w:t>. This incorporates the University’s provision for condonement</w:t>
      </w:r>
      <w:r w:rsidRPr="00013734">
        <w:rPr>
          <w:rFonts w:cs="Arial"/>
          <w:szCs w:val="24"/>
        </w:rPr>
        <w:t xml:space="preserve">. Where a student is unsuccessful at the first </w:t>
      </w:r>
      <w:proofErr w:type="gramStart"/>
      <w:r w:rsidRPr="00013734">
        <w:rPr>
          <w:rFonts w:cs="Arial"/>
          <w:szCs w:val="24"/>
        </w:rPr>
        <w:t>attempt</w:t>
      </w:r>
      <w:proofErr w:type="gramEnd"/>
      <w:r w:rsidRPr="00013734">
        <w:rPr>
          <w:rFonts w:cs="Arial"/>
          <w:szCs w:val="24"/>
        </w:rPr>
        <w:t xml:space="preserve"> they may be offered a maximum of two reassessment opportunities, which will be capped at the pass mark. This is in line with the total </w:t>
      </w:r>
      <w:r w:rsidR="006C1FB3" w:rsidRPr="00013734">
        <w:rPr>
          <w:rFonts w:cs="Arial"/>
          <w:szCs w:val="24"/>
        </w:rPr>
        <w:t>number</w:t>
      </w:r>
      <w:r w:rsidRPr="00013734">
        <w:rPr>
          <w:rFonts w:cs="Arial"/>
          <w:szCs w:val="24"/>
        </w:rPr>
        <w:t xml:space="preserve"> of re</w:t>
      </w:r>
      <w:r w:rsidR="006C1FB3" w:rsidRPr="00013734">
        <w:rPr>
          <w:rFonts w:cs="Arial"/>
          <w:szCs w:val="24"/>
        </w:rPr>
        <w:t>-</w:t>
      </w:r>
      <w:r w:rsidRPr="00013734">
        <w:rPr>
          <w:rFonts w:cs="Arial"/>
          <w:szCs w:val="24"/>
        </w:rPr>
        <w:t>sits/</w:t>
      </w:r>
      <w:r w:rsidR="000B57B2" w:rsidRPr="00013734">
        <w:rPr>
          <w:rFonts w:cs="Arial"/>
          <w:szCs w:val="24"/>
        </w:rPr>
        <w:t xml:space="preserve"> </w:t>
      </w:r>
      <w:r w:rsidRPr="00013734">
        <w:rPr>
          <w:rFonts w:cs="Arial"/>
          <w:szCs w:val="24"/>
        </w:rPr>
        <w:t xml:space="preserve">re-takes permitted across the sector, as outlined in the </w:t>
      </w:r>
      <w:hyperlink r:id="rId31" w:history="1">
        <w:r w:rsidR="006C1FB3" w:rsidRPr="00013734">
          <w:rPr>
            <w:rStyle w:val="Hyperlink"/>
            <w:rFonts w:cs="Arial"/>
            <w:szCs w:val="24"/>
          </w:rPr>
          <w:t>Universities UK publication 'Understanding Degree Algorithms'</w:t>
        </w:r>
      </w:hyperlink>
      <w:r w:rsidRPr="00013734">
        <w:rPr>
          <w:rFonts w:cs="Arial"/>
          <w:szCs w:val="24"/>
        </w:rPr>
        <w:t xml:space="preserve">. </w:t>
      </w:r>
    </w:p>
    <w:p w14:paraId="1EA87D30" w14:textId="77777777" w:rsidR="006C3B46" w:rsidRPr="00013734" w:rsidRDefault="006C3B46" w:rsidP="006C3B46">
      <w:pPr>
        <w:pStyle w:val="NoSpacing"/>
        <w:ind w:left="156"/>
        <w:rPr>
          <w:rFonts w:cs="Arial"/>
          <w:szCs w:val="24"/>
        </w:rPr>
      </w:pPr>
    </w:p>
    <w:p w14:paraId="40D7581B" w14:textId="036379A3" w:rsidR="006C3B46" w:rsidRDefault="006C1FB3" w:rsidP="006C3B46">
      <w:pPr>
        <w:pStyle w:val="NoSpacing"/>
        <w:rPr>
          <w:rFonts w:cs="Arial"/>
          <w:szCs w:val="24"/>
        </w:rPr>
      </w:pPr>
      <w:r w:rsidRPr="00013734">
        <w:rPr>
          <w:rFonts w:cs="Arial"/>
          <w:szCs w:val="24"/>
        </w:rPr>
        <w:t>Edge Hill’s</w:t>
      </w:r>
      <w:r w:rsidR="006C3B46" w:rsidRPr="00013734">
        <w:rPr>
          <w:rFonts w:cs="Arial"/>
          <w:szCs w:val="24"/>
        </w:rPr>
        <w:t xml:space="preserve"> classification algorithm is published on the University’s </w:t>
      </w:r>
      <w:hyperlink r:id="rId32" w:history="1">
        <w:r w:rsidR="006C3B46" w:rsidRPr="00FD6704">
          <w:rPr>
            <w:rStyle w:val="Hyperlink"/>
            <w:rFonts w:cs="Arial"/>
            <w:szCs w:val="24"/>
          </w:rPr>
          <w:t>Academic Regulations web pages</w:t>
        </w:r>
      </w:hyperlink>
      <w:r w:rsidR="006C3B46" w:rsidRPr="00013734">
        <w:rPr>
          <w:rFonts w:cs="Arial"/>
          <w:szCs w:val="24"/>
        </w:rPr>
        <w:t>. We also publish</w:t>
      </w:r>
      <w:r w:rsidRPr="00013734">
        <w:rPr>
          <w:rFonts w:cs="Arial"/>
          <w:szCs w:val="24"/>
        </w:rPr>
        <w:t xml:space="preserve"> an</w:t>
      </w:r>
      <w:r w:rsidR="006C3B46" w:rsidRPr="00013734">
        <w:rPr>
          <w:rFonts w:cs="Arial"/>
          <w:szCs w:val="24"/>
        </w:rPr>
        <w:t xml:space="preserve"> </w:t>
      </w:r>
      <w:hyperlink r:id="rId33" w:history="1">
        <w:r w:rsidRPr="00013734">
          <w:rPr>
            <w:rStyle w:val="Hyperlink"/>
            <w:rFonts w:cs="Arial"/>
            <w:szCs w:val="24"/>
          </w:rPr>
          <w:t>explanation of classifications</w:t>
        </w:r>
      </w:hyperlink>
      <w:r w:rsidR="006C3B46" w:rsidRPr="00013734">
        <w:rPr>
          <w:rFonts w:cs="Arial"/>
          <w:szCs w:val="24"/>
        </w:rPr>
        <w:t xml:space="preserve"> for students and ensure </w:t>
      </w:r>
      <w:r w:rsidRPr="00013734">
        <w:rPr>
          <w:rFonts w:cs="Arial"/>
          <w:szCs w:val="24"/>
        </w:rPr>
        <w:t>they</w:t>
      </w:r>
      <w:r w:rsidR="006C3B46" w:rsidRPr="00013734">
        <w:rPr>
          <w:rFonts w:cs="Arial"/>
          <w:szCs w:val="24"/>
        </w:rPr>
        <w:t xml:space="preserve"> are aware of this information through central communications and local briefings. </w:t>
      </w:r>
    </w:p>
    <w:p w14:paraId="3476FCB5" w14:textId="0BE4ED25" w:rsidR="00013734" w:rsidRDefault="00013734" w:rsidP="006C3B46">
      <w:pPr>
        <w:pStyle w:val="NoSpacing"/>
        <w:rPr>
          <w:rFonts w:cs="Arial"/>
          <w:szCs w:val="24"/>
        </w:rPr>
      </w:pPr>
    </w:p>
    <w:p w14:paraId="181DDFA8" w14:textId="77777777" w:rsidR="007D1CE8" w:rsidRPr="00013734" w:rsidRDefault="007D1CE8" w:rsidP="00D04399">
      <w:pPr>
        <w:pStyle w:val="Heading1"/>
        <w:rPr>
          <w:rFonts w:ascii="Arial" w:hAnsi="Arial" w:cs="Arial"/>
          <w:b/>
          <w:color w:val="auto"/>
          <w:sz w:val="28"/>
          <w:szCs w:val="28"/>
        </w:rPr>
      </w:pPr>
      <w:r w:rsidRPr="00013734">
        <w:rPr>
          <w:rFonts w:ascii="Arial" w:hAnsi="Arial" w:cs="Arial"/>
          <w:b/>
          <w:color w:val="auto"/>
          <w:sz w:val="28"/>
          <w:szCs w:val="28"/>
        </w:rPr>
        <w:t xml:space="preserve">Teaching practices and learning resources </w:t>
      </w:r>
    </w:p>
    <w:p w14:paraId="4D19F258" w14:textId="77777777" w:rsidR="007D1CE8" w:rsidRPr="00013734" w:rsidRDefault="007D1CE8" w:rsidP="007D1CE8">
      <w:pPr>
        <w:pStyle w:val="NoSpacing"/>
        <w:rPr>
          <w:rFonts w:cs="Arial"/>
          <w:szCs w:val="24"/>
        </w:rPr>
      </w:pPr>
    </w:p>
    <w:p w14:paraId="7772EA4A" w14:textId="4E702721" w:rsidR="007D1CE8" w:rsidRPr="00013734" w:rsidRDefault="007D1CE8" w:rsidP="007D1CE8">
      <w:pPr>
        <w:pStyle w:val="NoSpacing"/>
        <w:rPr>
          <w:rFonts w:cs="Arial"/>
          <w:szCs w:val="24"/>
        </w:rPr>
      </w:pPr>
      <w:r w:rsidRPr="00013734">
        <w:rPr>
          <w:rFonts w:cs="Arial"/>
          <w:szCs w:val="24"/>
        </w:rPr>
        <w:t xml:space="preserve">University-led improvements to teaching, assessment and student support have had a cumulative positive impact on degree outcomes during the last five years. A </w:t>
      </w:r>
      <w:hyperlink r:id="rId34" w:history="1">
        <w:r w:rsidRPr="00013734">
          <w:rPr>
            <w:rStyle w:val="Hyperlink"/>
            <w:rFonts w:cs="Arial"/>
            <w:szCs w:val="24"/>
          </w:rPr>
          <w:t>Taught Degrees Framework</w:t>
        </w:r>
      </w:hyperlink>
      <w:r w:rsidR="00B5279C">
        <w:rPr>
          <w:rFonts w:cs="Arial"/>
          <w:szCs w:val="24"/>
        </w:rPr>
        <w:t xml:space="preserve"> </w:t>
      </w:r>
      <w:r w:rsidRPr="00013734">
        <w:rPr>
          <w:rFonts w:cs="Arial"/>
          <w:szCs w:val="24"/>
        </w:rPr>
        <w:t xml:space="preserve">supports curriculum design and delivery by requiring that </w:t>
      </w:r>
      <w:r w:rsidR="006C1FB3" w:rsidRPr="00013734">
        <w:rPr>
          <w:rFonts w:cs="Arial"/>
          <w:szCs w:val="24"/>
        </w:rPr>
        <w:t>course</w:t>
      </w:r>
      <w:r w:rsidRPr="00013734">
        <w:rPr>
          <w:rFonts w:cs="Arial"/>
          <w:szCs w:val="24"/>
        </w:rPr>
        <w:t xml:space="preserve"> teams systematically plan and describe the ‘student journey’ from induction, through in-programme transitions to graduation and employment or </w:t>
      </w:r>
      <w:r w:rsidR="006C1FB3" w:rsidRPr="00013734">
        <w:rPr>
          <w:rFonts w:cs="Arial"/>
          <w:szCs w:val="24"/>
        </w:rPr>
        <w:t>further</w:t>
      </w:r>
      <w:r w:rsidRPr="00013734">
        <w:rPr>
          <w:rFonts w:cs="Arial"/>
          <w:szCs w:val="24"/>
        </w:rPr>
        <w:t xml:space="preserve"> study. Specific sections</w:t>
      </w:r>
      <w:r w:rsidR="006C1FB3" w:rsidRPr="00013734">
        <w:rPr>
          <w:rFonts w:cs="Arial"/>
          <w:szCs w:val="24"/>
        </w:rPr>
        <w:t xml:space="preserve"> of the Framework</w:t>
      </w:r>
      <w:r w:rsidRPr="00013734">
        <w:rPr>
          <w:rFonts w:cs="Arial"/>
          <w:szCs w:val="24"/>
        </w:rPr>
        <w:t xml:space="preserve"> provide advice and guidance on developing students’ academic and employability skills and integrating work-related and placement learning with</w:t>
      </w:r>
      <w:r w:rsidR="009A6A7D" w:rsidRPr="00013734">
        <w:rPr>
          <w:rFonts w:cs="Arial"/>
          <w:szCs w:val="24"/>
        </w:rPr>
        <w:t>in the curriculum</w:t>
      </w:r>
      <w:r w:rsidRPr="00013734">
        <w:rPr>
          <w:rFonts w:cs="Arial"/>
          <w:szCs w:val="24"/>
        </w:rPr>
        <w:t xml:space="preserve">. Separate </w:t>
      </w:r>
      <w:r w:rsidR="006C1FB3" w:rsidRPr="00013734">
        <w:rPr>
          <w:rFonts w:cs="Arial"/>
          <w:szCs w:val="24"/>
        </w:rPr>
        <w:t xml:space="preserve">guidance </w:t>
      </w:r>
      <w:r w:rsidRPr="00013734">
        <w:rPr>
          <w:rFonts w:cs="Arial"/>
          <w:szCs w:val="24"/>
        </w:rPr>
        <w:t>govern</w:t>
      </w:r>
      <w:r w:rsidR="006C1FB3" w:rsidRPr="00013734">
        <w:rPr>
          <w:rFonts w:cs="Arial"/>
          <w:szCs w:val="24"/>
        </w:rPr>
        <w:t>s</w:t>
      </w:r>
      <w:r w:rsidRPr="00013734">
        <w:rPr>
          <w:rFonts w:cs="Arial"/>
          <w:szCs w:val="24"/>
        </w:rPr>
        <w:t xml:space="preserve"> the use of learning technologies, including our</w:t>
      </w:r>
      <w:r w:rsidR="009A6A7D" w:rsidRPr="00013734">
        <w:rPr>
          <w:rFonts w:cs="Arial"/>
          <w:szCs w:val="24"/>
        </w:rPr>
        <w:t xml:space="preserve"> ‘Learning Edge’ </w:t>
      </w:r>
      <w:r w:rsidRPr="00013734">
        <w:rPr>
          <w:rFonts w:cs="Arial"/>
          <w:szCs w:val="24"/>
        </w:rPr>
        <w:t xml:space="preserve">Blackboard virtual learning environment, and the operation of personal academic tutoring and student peer mentoring. Learning </w:t>
      </w:r>
      <w:r w:rsidR="009A6A7D" w:rsidRPr="00013734">
        <w:rPr>
          <w:rFonts w:cs="Arial"/>
          <w:szCs w:val="24"/>
        </w:rPr>
        <w:t xml:space="preserve">resources and </w:t>
      </w:r>
      <w:r w:rsidRPr="00013734">
        <w:rPr>
          <w:rFonts w:cs="Arial"/>
          <w:szCs w:val="24"/>
        </w:rPr>
        <w:t>support ha</w:t>
      </w:r>
      <w:r w:rsidR="009A6A7D" w:rsidRPr="00013734">
        <w:rPr>
          <w:rFonts w:cs="Arial"/>
          <w:szCs w:val="24"/>
        </w:rPr>
        <w:t>ve</w:t>
      </w:r>
      <w:r w:rsidRPr="00013734">
        <w:rPr>
          <w:rFonts w:cs="Arial"/>
          <w:szCs w:val="24"/>
        </w:rPr>
        <w:t xml:space="preserve"> been enhanced and expanded over time culminating in Catalyst, a £26 million development completed in 2018 and housing library and learning services, student support and careers advisors</w:t>
      </w:r>
      <w:r w:rsidR="006C1FB3" w:rsidRPr="00013734">
        <w:rPr>
          <w:rFonts w:cs="Arial"/>
          <w:szCs w:val="24"/>
        </w:rPr>
        <w:t>,</w:t>
      </w:r>
      <w:r w:rsidRPr="00013734">
        <w:rPr>
          <w:rFonts w:cs="Arial"/>
          <w:szCs w:val="24"/>
        </w:rPr>
        <w:t xml:space="preserve"> including support for students with specific learning difficulties or disabilities. Generous IT provision is available to all students, and specialist labs, studios and simulation facilities support the delivery of individual subjects. </w:t>
      </w:r>
      <w:r w:rsidRPr="00815CDF">
        <w:rPr>
          <w:rFonts w:cs="Arial"/>
          <w:szCs w:val="24"/>
        </w:rPr>
        <w:t>Student satisfaction with</w:t>
      </w:r>
      <w:r w:rsidR="00815CDF" w:rsidRPr="00815CDF">
        <w:rPr>
          <w:rFonts w:cs="Arial"/>
          <w:szCs w:val="24"/>
        </w:rPr>
        <w:t xml:space="preserve"> </w:t>
      </w:r>
      <w:r w:rsidRPr="00815CDF">
        <w:rPr>
          <w:rFonts w:cs="Arial"/>
          <w:szCs w:val="24"/>
        </w:rPr>
        <w:t>learning resources exceeded the national average in the 20</w:t>
      </w:r>
      <w:r w:rsidR="00B84032" w:rsidRPr="00815CDF">
        <w:rPr>
          <w:rFonts w:cs="Arial"/>
          <w:szCs w:val="24"/>
        </w:rPr>
        <w:t>2</w:t>
      </w:r>
      <w:r w:rsidR="00047B0E">
        <w:rPr>
          <w:rFonts w:cs="Arial"/>
          <w:szCs w:val="24"/>
        </w:rPr>
        <w:t>0</w:t>
      </w:r>
      <w:r w:rsidRPr="00815CDF">
        <w:rPr>
          <w:rFonts w:cs="Arial"/>
          <w:szCs w:val="24"/>
        </w:rPr>
        <w:t xml:space="preserve"> NSS</w:t>
      </w:r>
      <w:r w:rsidR="00815CDF">
        <w:rPr>
          <w:rFonts w:cs="Arial"/>
          <w:szCs w:val="24"/>
        </w:rPr>
        <w:t>, at 90.39% (compared to the average of 86.48%)</w:t>
      </w:r>
      <w:r w:rsidR="00815CDF" w:rsidRPr="00815CDF">
        <w:rPr>
          <w:rFonts w:cs="Arial"/>
          <w:szCs w:val="24"/>
        </w:rPr>
        <w:t>.</w:t>
      </w:r>
      <w:r w:rsidR="00815CDF">
        <w:rPr>
          <w:rFonts w:cs="Arial"/>
          <w:szCs w:val="24"/>
        </w:rPr>
        <w:t xml:space="preserve"> </w:t>
      </w:r>
    </w:p>
    <w:p w14:paraId="50949D6C" w14:textId="77777777" w:rsidR="00841548" w:rsidRPr="00013734" w:rsidRDefault="00841548" w:rsidP="007D1CE8">
      <w:pPr>
        <w:pStyle w:val="NoSpacing"/>
        <w:rPr>
          <w:rFonts w:cs="Arial"/>
          <w:szCs w:val="24"/>
        </w:rPr>
      </w:pPr>
    </w:p>
    <w:p w14:paraId="3A98455D" w14:textId="77777777" w:rsidR="007D1CE8" w:rsidRPr="00013734" w:rsidRDefault="007D1CE8" w:rsidP="00D04399">
      <w:pPr>
        <w:pStyle w:val="Heading1"/>
        <w:rPr>
          <w:rFonts w:ascii="Arial" w:hAnsi="Arial" w:cs="Arial"/>
          <w:b/>
          <w:color w:val="auto"/>
          <w:sz w:val="28"/>
          <w:szCs w:val="28"/>
        </w:rPr>
      </w:pPr>
      <w:r w:rsidRPr="00013734">
        <w:rPr>
          <w:rFonts w:ascii="Arial" w:hAnsi="Arial" w:cs="Arial"/>
          <w:b/>
          <w:color w:val="auto"/>
          <w:sz w:val="28"/>
          <w:szCs w:val="28"/>
        </w:rPr>
        <w:t xml:space="preserve">Identifying good practice and actions </w:t>
      </w:r>
    </w:p>
    <w:p w14:paraId="7EA9CCC2" w14:textId="77777777" w:rsidR="007D1CE8" w:rsidRPr="00013734" w:rsidRDefault="007D1CE8" w:rsidP="007D1CE8">
      <w:pPr>
        <w:pStyle w:val="NoSpacing"/>
        <w:rPr>
          <w:rFonts w:cs="Arial"/>
          <w:szCs w:val="24"/>
        </w:rPr>
      </w:pPr>
    </w:p>
    <w:p w14:paraId="532135B9" w14:textId="6FFCBF31" w:rsidR="007D1CE8" w:rsidRPr="00013734" w:rsidRDefault="007D1CE8" w:rsidP="007D1CE8">
      <w:pPr>
        <w:autoSpaceDE w:val="0"/>
        <w:autoSpaceDN w:val="0"/>
        <w:adjustRightInd w:val="0"/>
        <w:spacing w:line="240" w:lineRule="auto"/>
        <w:rPr>
          <w:rFonts w:ascii="Arial" w:hAnsi="Arial" w:cs="Arial"/>
          <w:sz w:val="24"/>
          <w:szCs w:val="24"/>
        </w:rPr>
      </w:pPr>
      <w:r w:rsidRPr="00295BF4">
        <w:rPr>
          <w:rFonts w:ascii="Arial" w:hAnsi="Arial" w:cs="Arial"/>
          <w:sz w:val="24"/>
          <w:szCs w:val="24"/>
        </w:rPr>
        <w:t xml:space="preserve">Many of our innovations have resulted from high-level, cross-faculty </w:t>
      </w:r>
      <w:r w:rsidR="00AF7B2F" w:rsidRPr="00295BF4">
        <w:rPr>
          <w:rFonts w:ascii="Arial" w:hAnsi="Arial" w:cs="Arial"/>
          <w:sz w:val="24"/>
          <w:szCs w:val="24"/>
        </w:rPr>
        <w:t xml:space="preserve">projects and </w:t>
      </w:r>
      <w:r w:rsidRPr="00295BF4">
        <w:rPr>
          <w:rFonts w:ascii="Arial" w:hAnsi="Arial" w:cs="Arial"/>
          <w:sz w:val="24"/>
          <w:szCs w:val="24"/>
        </w:rPr>
        <w:t>developmental enquiries</w:t>
      </w:r>
      <w:r w:rsidR="00F57BD7" w:rsidRPr="00295BF4">
        <w:rPr>
          <w:rFonts w:ascii="Arial" w:hAnsi="Arial" w:cs="Arial"/>
          <w:sz w:val="24"/>
          <w:szCs w:val="24"/>
        </w:rPr>
        <w:t xml:space="preserve">, </w:t>
      </w:r>
      <w:r w:rsidR="0003223A" w:rsidRPr="00295BF4">
        <w:rPr>
          <w:rFonts w:ascii="Arial" w:hAnsi="Arial" w:cs="Arial"/>
          <w:sz w:val="24"/>
          <w:szCs w:val="24"/>
        </w:rPr>
        <w:t xml:space="preserve">all </w:t>
      </w:r>
      <w:r w:rsidR="00F57BD7" w:rsidRPr="00295BF4">
        <w:rPr>
          <w:rFonts w:ascii="Arial" w:hAnsi="Arial" w:cs="Arial"/>
          <w:sz w:val="24"/>
          <w:szCs w:val="24"/>
        </w:rPr>
        <w:t xml:space="preserve">aligned with the University’s over-arching </w:t>
      </w:r>
      <w:hyperlink r:id="rId35" w:history="1">
        <w:r w:rsidR="00F57BD7" w:rsidRPr="00295BF4">
          <w:rPr>
            <w:rStyle w:val="Hyperlink"/>
            <w:rFonts w:ascii="Arial" w:hAnsi="Arial" w:cs="Arial"/>
            <w:sz w:val="24"/>
            <w:szCs w:val="24"/>
          </w:rPr>
          <w:t>strategy</w:t>
        </w:r>
      </w:hyperlink>
      <w:r w:rsidR="00F57BD7" w:rsidRPr="00295BF4">
        <w:rPr>
          <w:rFonts w:ascii="Arial" w:hAnsi="Arial" w:cs="Arial"/>
          <w:sz w:val="24"/>
          <w:szCs w:val="24"/>
        </w:rPr>
        <w:t xml:space="preserve"> and</w:t>
      </w:r>
      <w:r w:rsidRPr="00295BF4">
        <w:rPr>
          <w:rFonts w:ascii="Arial" w:hAnsi="Arial" w:cs="Arial"/>
          <w:sz w:val="24"/>
          <w:szCs w:val="24"/>
        </w:rPr>
        <w:t xml:space="preserve"> designed to address areas for improvement as well as exposing and sharing good practice</w:t>
      </w:r>
      <w:r w:rsidR="008C1282" w:rsidRPr="00295BF4">
        <w:rPr>
          <w:rFonts w:ascii="Arial" w:hAnsi="Arial" w:cs="Arial"/>
          <w:sz w:val="24"/>
          <w:szCs w:val="24"/>
        </w:rPr>
        <w:t>,</w:t>
      </w:r>
      <w:r w:rsidRPr="00295BF4">
        <w:rPr>
          <w:rFonts w:ascii="Arial" w:hAnsi="Arial" w:cs="Arial"/>
          <w:sz w:val="24"/>
          <w:szCs w:val="24"/>
        </w:rPr>
        <w:t xml:space="preserve"> thus benefiting students across our whole portfolio</w:t>
      </w:r>
      <w:r w:rsidR="00F57BD7" w:rsidRPr="00295BF4">
        <w:rPr>
          <w:rFonts w:ascii="Arial" w:hAnsi="Arial" w:cs="Arial"/>
          <w:sz w:val="24"/>
          <w:szCs w:val="24"/>
        </w:rPr>
        <w:t xml:space="preserve"> of degrees</w:t>
      </w:r>
      <w:r w:rsidRPr="00295BF4">
        <w:rPr>
          <w:rFonts w:ascii="Arial" w:hAnsi="Arial" w:cs="Arial"/>
          <w:sz w:val="24"/>
          <w:szCs w:val="24"/>
        </w:rPr>
        <w:t>.</w:t>
      </w:r>
      <w:r w:rsidR="00AF7B2F" w:rsidRPr="00295BF4">
        <w:rPr>
          <w:rFonts w:ascii="Arial" w:hAnsi="Arial" w:cs="Arial"/>
          <w:sz w:val="24"/>
          <w:szCs w:val="24"/>
        </w:rPr>
        <w:t xml:space="preserve"> Programme design prioritises equal opportunity and inclusive learning in line with University strategy for widening </w:t>
      </w:r>
      <w:hyperlink r:id="rId36" w:history="1">
        <w:r w:rsidR="00AF7B2F" w:rsidRPr="00295BF4">
          <w:rPr>
            <w:rStyle w:val="Hyperlink"/>
            <w:rFonts w:ascii="Arial" w:hAnsi="Arial" w:cs="Arial"/>
            <w:sz w:val="24"/>
            <w:szCs w:val="24"/>
          </w:rPr>
          <w:t>access and participation</w:t>
        </w:r>
      </w:hyperlink>
      <w:r w:rsidR="0003223A" w:rsidRPr="00295BF4">
        <w:rPr>
          <w:rFonts w:ascii="Arial" w:hAnsi="Arial" w:cs="Arial"/>
          <w:sz w:val="24"/>
          <w:szCs w:val="24"/>
        </w:rPr>
        <w:t>,</w:t>
      </w:r>
      <w:r w:rsidR="00F57BD7" w:rsidRPr="00295BF4">
        <w:rPr>
          <w:rFonts w:ascii="Arial" w:hAnsi="Arial" w:cs="Arial"/>
          <w:sz w:val="24"/>
          <w:szCs w:val="24"/>
        </w:rPr>
        <w:t xml:space="preserve"> and policies and procedures for reasonable adjustments and extenuating mitigating circumstances help ensure that </w:t>
      </w:r>
      <w:r w:rsidR="00F57BD7" w:rsidRPr="00295BF4">
        <w:rPr>
          <w:rFonts w:ascii="Arial" w:hAnsi="Arial" w:cs="Arial"/>
          <w:sz w:val="24"/>
          <w:szCs w:val="24"/>
        </w:rPr>
        <w:lastRenderedPageBreak/>
        <w:t xml:space="preserve">individuals including </w:t>
      </w:r>
      <w:r w:rsidR="0003223A" w:rsidRPr="00295BF4">
        <w:rPr>
          <w:rFonts w:ascii="Arial" w:hAnsi="Arial" w:cs="Arial"/>
          <w:sz w:val="24"/>
          <w:szCs w:val="24"/>
        </w:rPr>
        <w:t xml:space="preserve">those </w:t>
      </w:r>
      <w:r w:rsidR="00F57BD7" w:rsidRPr="00295BF4">
        <w:rPr>
          <w:rFonts w:ascii="Arial" w:hAnsi="Arial" w:cs="Arial"/>
          <w:sz w:val="24"/>
          <w:szCs w:val="24"/>
        </w:rPr>
        <w:t>with specific learning difficulties or disabilities are not disadvantaged</w:t>
      </w:r>
      <w:r w:rsidR="00AF7B2F" w:rsidRPr="00295BF4">
        <w:rPr>
          <w:rFonts w:ascii="Arial" w:hAnsi="Arial" w:cs="Arial"/>
          <w:sz w:val="24"/>
          <w:szCs w:val="24"/>
        </w:rPr>
        <w:t>.</w:t>
      </w:r>
      <w:r w:rsidRPr="00295BF4">
        <w:rPr>
          <w:rFonts w:ascii="Arial" w:hAnsi="Arial" w:cs="Arial"/>
          <w:sz w:val="24"/>
          <w:szCs w:val="24"/>
        </w:rPr>
        <w:t xml:space="preserve"> The </w:t>
      </w:r>
      <w:r w:rsidRPr="00295BF4">
        <w:rPr>
          <w:rFonts w:ascii="Arial" w:eastAsia="Times New Roman" w:hAnsi="Arial" w:cs="Arial"/>
          <w:sz w:val="24"/>
          <w:szCs w:val="24"/>
        </w:rPr>
        <w:t>Taught Degrees Framework sets specific expectations of high-quality assessment to which have been added a series of ‘baseline</w:t>
      </w:r>
      <w:r w:rsidR="008C1282" w:rsidRPr="00295BF4">
        <w:rPr>
          <w:rFonts w:ascii="Arial" w:eastAsia="Times New Roman" w:hAnsi="Arial" w:cs="Arial"/>
          <w:sz w:val="24"/>
          <w:szCs w:val="24"/>
        </w:rPr>
        <w:t>’</w:t>
      </w:r>
      <w:r w:rsidRPr="00295BF4">
        <w:rPr>
          <w:rFonts w:ascii="Arial" w:eastAsia="Times New Roman" w:hAnsi="Arial" w:cs="Arial"/>
          <w:sz w:val="24"/>
          <w:szCs w:val="24"/>
        </w:rPr>
        <w:t xml:space="preserve"> assessment practices which all programmes must follow. A ‘What You Need </w:t>
      </w:r>
      <w:proofErr w:type="gramStart"/>
      <w:r w:rsidRPr="00295BF4">
        <w:rPr>
          <w:rFonts w:ascii="Arial" w:eastAsia="Times New Roman" w:hAnsi="Arial" w:cs="Arial"/>
          <w:sz w:val="24"/>
          <w:szCs w:val="24"/>
        </w:rPr>
        <w:t>To</w:t>
      </w:r>
      <w:proofErr w:type="gramEnd"/>
      <w:r w:rsidRPr="00295BF4">
        <w:rPr>
          <w:rFonts w:ascii="Arial" w:eastAsia="Times New Roman" w:hAnsi="Arial" w:cs="Arial"/>
          <w:sz w:val="24"/>
          <w:szCs w:val="24"/>
        </w:rPr>
        <w:t xml:space="preserve"> Know About Assessment’ Guide, written in plain English and accessible by all students, focuses on developing their understanding of assessment, the nature of feedback and how to use it effectively. Training and mentoring are provided for internal assessors</w:t>
      </w:r>
      <w:r w:rsidR="008C1282" w:rsidRPr="00295BF4">
        <w:rPr>
          <w:rFonts w:ascii="Arial" w:eastAsia="Times New Roman" w:hAnsi="Arial" w:cs="Arial"/>
          <w:sz w:val="24"/>
          <w:szCs w:val="24"/>
        </w:rPr>
        <w:t>,</w:t>
      </w:r>
      <w:r w:rsidRPr="00295BF4">
        <w:rPr>
          <w:rFonts w:ascii="Arial" w:eastAsia="Times New Roman" w:hAnsi="Arial" w:cs="Arial"/>
          <w:sz w:val="24"/>
          <w:szCs w:val="24"/>
        </w:rPr>
        <w:t xml:space="preserve"> and </w:t>
      </w:r>
      <w:r w:rsidRPr="00295BF4">
        <w:rPr>
          <w:rFonts w:ascii="Arial" w:hAnsi="Arial" w:cs="Arial"/>
          <w:sz w:val="24"/>
          <w:szCs w:val="24"/>
        </w:rPr>
        <w:t xml:space="preserve">plans are being advanced for us to deliver </w:t>
      </w:r>
      <w:hyperlink r:id="rId37" w:history="1">
        <w:r w:rsidRPr="00295BF4">
          <w:rPr>
            <w:rStyle w:val="Hyperlink"/>
            <w:rFonts w:ascii="Arial" w:hAnsi="Arial" w:cs="Arial"/>
            <w:sz w:val="24"/>
            <w:szCs w:val="24"/>
          </w:rPr>
          <w:t>nationally-accredited external examiner training</w:t>
        </w:r>
      </w:hyperlink>
      <w:r w:rsidRPr="00295BF4">
        <w:rPr>
          <w:rFonts w:ascii="Arial" w:hAnsi="Arial" w:cs="Arial"/>
          <w:sz w:val="24"/>
          <w:szCs w:val="24"/>
        </w:rPr>
        <w:t xml:space="preserve"> to our own staff.</w:t>
      </w:r>
    </w:p>
    <w:p w14:paraId="3C16CECD" w14:textId="037EABC3" w:rsidR="007D1CE8" w:rsidRPr="00013734" w:rsidRDefault="007D1CE8" w:rsidP="007D1CE8">
      <w:pPr>
        <w:pStyle w:val="NoSpacing"/>
        <w:rPr>
          <w:rFonts w:cs="Arial"/>
          <w:szCs w:val="24"/>
        </w:rPr>
      </w:pPr>
    </w:p>
    <w:p w14:paraId="52086B15" w14:textId="730580D4" w:rsidR="007D1CE8" w:rsidRPr="00013734" w:rsidRDefault="007D1CE8" w:rsidP="00D04399">
      <w:pPr>
        <w:pStyle w:val="Heading1"/>
        <w:rPr>
          <w:rFonts w:ascii="Arial" w:hAnsi="Arial" w:cs="Arial"/>
          <w:b/>
          <w:color w:val="auto"/>
          <w:sz w:val="28"/>
          <w:szCs w:val="28"/>
        </w:rPr>
      </w:pPr>
      <w:r w:rsidRPr="00013734">
        <w:rPr>
          <w:rFonts w:ascii="Arial" w:hAnsi="Arial" w:cs="Arial"/>
          <w:b/>
          <w:color w:val="auto"/>
          <w:sz w:val="28"/>
          <w:szCs w:val="28"/>
        </w:rPr>
        <w:t xml:space="preserve">Risks and challenges </w:t>
      </w:r>
    </w:p>
    <w:p w14:paraId="2800F1F3" w14:textId="77777777" w:rsidR="007D1CE8" w:rsidRPr="00013734" w:rsidRDefault="007D1CE8" w:rsidP="007D1CE8">
      <w:pPr>
        <w:pStyle w:val="NoSpacing"/>
        <w:rPr>
          <w:rFonts w:cs="Arial"/>
          <w:szCs w:val="24"/>
        </w:rPr>
      </w:pPr>
    </w:p>
    <w:p w14:paraId="474ED1A4" w14:textId="04AA591B" w:rsidR="007D1CE8" w:rsidRPr="00013734" w:rsidRDefault="007D1CE8" w:rsidP="007D1CE8">
      <w:pPr>
        <w:pStyle w:val="NoSpacing"/>
        <w:rPr>
          <w:rFonts w:cs="Arial"/>
          <w:szCs w:val="24"/>
        </w:rPr>
      </w:pPr>
      <w:r w:rsidRPr="00BD05F3">
        <w:rPr>
          <w:rFonts w:cs="Arial"/>
          <w:szCs w:val="24"/>
        </w:rPr>
        <w:t xml:space="preserve">Despite having confidence in our assessment processes and practices we are never complacent. Degree outcomes are monitored continuously by senior managers and evaluated </w:t>
      </w:r>
      <w:r w:rsidR="008C1282" w:rsidRPr="00BD05F3">
        <w:rPr>
          <w:rFonts w:cs="Arial"/>
          <w:szCs w:val="24"/>
        </w:rPr>
        <w:t xml:space="preserve">and acted on </w:t>
      </w:r>
      <w:r w:rsidRPr="00BD05F3">
        <w:rPr>
          <w:rFonts w:cs="Arial"/>
          <w:szCs w:val="24"/>
        </w:rPr>
        <w:t>by Faculties, the Academic Board and its committees. External examiners’ reports are responded to promptly and fully. As our portfolio of degrees increases and our student intake grows more diverse we will continue to address the learning needs of students with a wide range of previous educational backgrounds, qualifications and protected characteristics, supporting the development of excellence in learning and teaching to underpin maximum student success against national degree standards.</w:t>
      </w:r>
      <w:r w:rsidR="009A6A7D" w:rsidRPr="00BD05F3">
        <w:rPr>
          <w:rFonts w:cs="Arial"/>
          <w:szCs w:val="24"/>
        </w:rPr>
        <w:t xml:space="preserve"> To this end, current University agendas include the review and redesign of undergraduate first year assessment, increasing levels of attainment among young male learners, and enhancing the support already provided for students’ mental health.</w:t>
      </w:r>
    </w:p>
    <w:p w14:paraId="3784DC3B" w14:textId="649CD95C" w:rsidR="004C06AA" w:rsidRPr="00013734" w:rsidRDefault="004C06AA" w:rsidP="008B538C">
      <w:pPr>
        <w:pStyle w:val="NoSpacing"/>
        <w:rPr>
          <w:rFonts w:cs="Arial"/>
          <w:szCs w:val="24"/>
        </w:rPr>
      </w:pPr>
    </w:p>
    <w:p w14:paraId="1E60E888" w14:textId="35F36850" w:rsidR="00574B2D" w:rsidRPr="00013734" w:rsidRDefault="00574B2D" w:rsidP="00D04399">
      <w:pPr>
        <w:pStyle w:val="Heading1"/>
        <w:rPr>
          <w:rFonts w:ascii="Arial" w:hAnsi="Arial" w:cs="Arial"/>
          <w:b/>
          <w:color w:val="auto"/>
          <w:sz w:val="28"/>
          <w:szCs w:val="28"/>
        </w:rPr>
      </w:pPr>
      <w:r w:rsidRPr="00013734">
        <w:rPr>
          <w:rFonts w:ascii="Arial" w:hAnsi="Arial" w:cs="Arial"/>
          <w:b/>
          <w:color w:val="auto"/>
          <w:sz w:val="28"/>
          <w:szCs w:val="28"/>
        </w:rPr>
        <w:t xml:space="preserve">Contributors and </w:t>
      </w:r>
      <w:r w:rsidR="00D91AB4" w:rsidRPr="00013734">
        <w:rPr>
          <w:rFonts w:ascii="Arial" w:hAnsi="Arial" w:cs="Arial"/>
          <w:b/>
          <w:color w:val="auto"/>
          <w:sz w:val="28"/>
          <w:szCs w:val="28"/>
        </w:rPr>
        <w:t>o</w:t>
      </w:r>
      <w:r w:rsidRPr="00013734">
        <w:rPr>
          <w:rFonts w:ascii="Arial" w:hAnsi="Arial" w:cs="Arial"/>
          <w:b/>
          <w:color w:val="auto"/>
          <w:sz w:val="28"/>
          <w:szCs w:val="28"/>
        </w:rPr>
        <w:t xml:space="preserve">versight </w:t>
      </w:r>
    </w:p>
    <w:p w14:paraId="6A762533" w14:textId="77777777" w:rsidR="00574B2D" w:rsidRPr="00013734" w:rsidRDefault="00574B2D" w:rsidP="00574B2D">
      <w:pPr>
        <w:autoSpaceDE w:val="0"/>
        <w:autoSpaceDN w:val="0"/>
        <w:adjustRightInd w:val="0"/>
        <w:spacing w:line="240" w:lineRule="auto"/>
        <w:rPr>
          <w:rFonts w:ascii="Arial" w:eastAsiaTheme="minorHAnsi" w:hAnsi="Arial" w:cs="Arial"/>
          <w:color w:val="000000"/>
          <w:sz w:val="24"/>
          <w:szCs w:val="24"/>
        </w:rPr>
      </w:pPr>
    </w:p>
    <w:p w14:paraId="4AE61FD6" w14:textId="748240CC" w:rsidR="00574B2D" w:rsidRDefault="00AB72D9" w:rsidP="009A6A7D">
      <w:pPr>
        <w:pStyle w:val="NoSpacing"/>
        <w:rPr>
          <w:rFonts w:cs="Arial"/>
          <w:szCs w:val="24"/>
        </w:rPr>
      </w:pPr>
      <w:r>
        <w:rPr>
          <w:rFonts w:cs="Arial"/>
          <w:szCs w:val="24"/>
        </w:rPr>
        <w:t xml:space="preserve">The University first </w:t>
      </w:r>
      <w:r w:rsidR="00B32688">
        <w:rPr>
          <w:rFonts w:cs="Arial"/>
          <w:szCs w:val="24"/>
        </w:rPr>
        <w:t>published</w:t>
      </w:r>
      <w:r>
        <w:rPr>
          <w:rFonts w:cs="Arial"/>
          <w:szCs w:val="24"/>
        </w:rPr>
        <w:t xml:space="preserve"> a Degree Outcomes Statement</w:t>
      </w:r>
      <w:r w:rsidR="00B32688">
        <w:rPr>
          <w:rFonts w:cs="Arial"/>
          <w:szCs w:val="24"/>
        </w:rPr>
        <w:t xml:space="preserve"> </w:t>
      </w:r>
      <w:r>
        <w:rPr>
          <w:rFonts w:cs="Arial"/>
          <w:szCs w:val="24"/>
        </w:rPr>
        <w:t>in July 2020</w:t>
      </w:r>
      <w:r w:rsidR="00B32688">
        <w:rPr>
          <w:rFonts w:cs="Arial"/>
          <w:szCs w:val="24"/>
        </w:rPr>
        <w:t xml:space="preserve">. This Statement </w:t>
      </w:r>
      <w:r w:rsidR="00574B2D" w:rsidRPr="00013734">
        <w:rPr>
          <w:rFonts w:cs="Arial"/>
          <w:szCs w:val="24"/>
        </w:rPr>
        <w:t xml:space="preserve">was prepared by a cross-university working group led by the Academic Registrar, Dean of Teaching and Learning Development and Director of Quality Assurance reporting to the Pro Vice-Chancellor (Student Experience) &amp; University Secretary and the Academic Board. Professor </w:t>
      </w:r>
      <w:proofErr w:type="spellStart"/>
      <w:r w:rsidR="00574B2D" w:rsidRPr="00013734">
        <w:rPr>
          <w:rFonts w:cs="Arial"/>
          <w:szCs w:val="24"/>
        </w:rPr>
        <w:t>Nazira</w:t>
      </w:r>
      <w:proofErr w:type="spellEnd"/>
      <w:r w:rsidR="00574B2D" w:rsidRPr="00013734">
        <w:rPr>
          <w:rFonts w:cs="Arial"/>
          <w:szCs w:val="24"/>
        </w:rPr>
        <w:t xml:space="preserve"> </w:t>
      </w:r>
      <w:proofErr w:type="spellStart"/>
      <w:r w:rsidR="00574B2D" w:rsidRPr="00013734">
        <w:rPr>
          <w:rFonts w:cs="Arial"/>
          <w:szCs w:val="24"/>
        </w:rPr>
        <w:t>Karodia</w:t>
      </w:r>
      <w:proofErr w:type="spellEnd"/>
      <w:r w:rsidR="00574B2D" w:rsidRPr="00013734">
        <w:rPr>
          <w:rFonts w:cs="Arial"/>
          <w:szCs w:val="24"/>
        </w:rPr>
        <w:t xml:space="preserve">, Dean of the Faculty of Science and Engineering and Professor of Science Education at the University of Wolverhampton served as </w:t>
      </w:r>
      <w:r w:rsidR="00E05C4C">
        <w:rPr>
          <w:rFonts w:cs="Arial"/>
          <w:szCs w:val="24"/>
        </w:rPr>
        <w:t xml:space="preserve">the </w:t>
      </w:r>
      <w:r w:rsidR="00574B2D" w:rsidRPr="00013734">
        <w:rPr>
          <w:rFonts w:cs="Arial"/>
          <w:szCs w:val="24"/>
        </w:rPr>
        <w:t>independent external verifier of the Statement and supporting evidence</w:t>
      </w:r>
      <w:r w:rsidR="00D91AB4" w:rsidRPr="00013734">
        <w:rPr>
          <w:rFonts w:cs="Arial"/>
          <w:szCs w:val="24"/>
        </w:rPr>
        <w:t>.</w:t>
      </w:r>
      <w:r w:rsidR="00574B2D" w:rsidRPr="00013734">
        <w:rPr>
          <w:rFonts w:cs="Arial"/>
          <w:szCs w:val="24"/>
        </w:rPr>
        <w:t xml:space="preserve"> </w:t>
      </w:r>
      <w:r w:rsidR="00D91AB4" w:rsidRPr="00013734">
        <w:rPr>
          <w:rFonts w:cs="Arial"/>
          <w:szCs w:val="24"/>
        </w:rPr>
        <w:t>The final Statement was approved by the University’s Board of Governors in July 2020.</w:t>
      </w:r>
    </w:p>
    <w:p w14:paraId="7610DF69" w14:textId="0057AD85" w:rsidR="00D81857" w:rsidRDefault="00D81857" w:rsidP="009A6A7D">
      <w:pPr>
        <w:pStyle w:val="NoSpacing"/>
        <w:rPr>
          <w:rFonts w:cs="Arial"/>
          <w:szCs w:val="24"/>
        </w:rPr>
      </w:pPr>
    </w:p>
    <w:p w14:paraId="3EA869DC" w14:textId="2553C986" w:rsidR="00D81857" w:rsidRDefault="002F0BFD" w:rsidP="009A6A7D">
      <w:pPr>
        <w:pStyle w:val="NoSpacing"/>
        <w:rPr>
          <w:rFonts w:cs="Arial"/>
          <w:szCs w:val="24"/>
        </w:rPr>
      </w:pPr>
      <w:r>
        <w:rPr>
          <w:rFonts w:cs="Arial"/>
          <w:szCs w:val="24"/>
        </w:rPr>
        <w:t>This latest iteration of the University’s Degree Outcomes Statement</w:t>
      </w:r>
      <w:r w:rsidR="00113002">
        <w:rPr>
          <w:rFonts w:cs="Arial"/>
          <w:szCs w:val="24"/>
        </w:rPr>
        <w:t xml:space="preserve"> is substantially the same as the 2020 report, though updated data </w:t>
      </w:r>
      <w:r w:rsidR="00241208">
        <w:rPr>
          <w:rFonts w:cs="Arial"/>
          <w:szCs w:val="24"/>
        </w:rPr>
        <w:t xml:space="preserve">on student outcomes </w:t>
      </w:r>
      <w:r w:rsidR="00113002">
        <w:rPr>
          <w:rFonts w:cs="Arial"/>
          <w:szCs w:val="24"/>
        </w:rPr>
        <w:t>is provided</w:t>
      </w:r>
      <w:r w:rsidR="002F0C51">
        <w:rPr>
          <w:rFonts w:cs="Arial"/>
          <w:szCs w:val="24"/>
        </w:rPr>
        <w:t>,</w:t>
      </w:r>
      <w:r w:rsidR="00113002">
        <w:rPr>
          <w:rFonts w:cs="Arial"/>
          <w:szCs w:val="24"/>
        </w:rPr>
        <w:t xml:space="preserve"> and details of the University’s </w:t>
      </w:r>
      <w:r w:rsidR="008A4719">
        <w:rPr>
          <w:rFonts w:cs="Arial"/>
          <w:szCs w:val="24"/>
        </w:rPr>
        <w:t xml:space="preserve">arrangements to mitigate the impacts of the Covid-19 pandemic are included. </w:t>
      </w:r>
    </w:p>
    <w:p w14:paraId="66AA4795" w14:textId="2D890B7A" w:rsidR="00AB72D9" w:rsidRDefault="00AB72D9" w:rsidP="009A6A7D">
      <w:pPr>
        <w:pStyle w:val="NoSpacing"/>
        <w:rPr>
          <w:rFonts w:cs="Arial"/>
          <w:szCs w:val="24"/>
        </w:rPr>
      </w:pPr>
    </w:p>
    <w:p w14:paraId="0464B4D5" w14:textId="78E6D1FE" w:rsidR="00574B2D" w:rsidRPr="00013734" w:rsidRDefault="00235173" w:rsidP="00F55B0B">
      <w:pPr>
        <w:pStyle w:val="NoSpacing"/>
        <w:rPr>
          <w:rFonts w:cs="Arial"/>
          <w:szCs w:val="24"/>
        </w:rPr>
      </w:pPr>
      <w:r>
        <w:rPr>
          <w:rFonts w:cs="Arial"/>
          <w:szCs w:val="24"/>
        </w:rPr>
        <w:t>The updated Statement was considered within the University</w:t>
      </w:r>
      <w:r w:rsidR="00E05C4C">
        <w:rPr>
          <w:rFonts w:cs="Arial"/>
          <w:szCs w:val="24"/>
        </w:rPr>
        <w:t>’s</w:t>
      </w:r>
      <w:r>
        <w:rPr>
          <w:rFonts w:cs="Arial"/>
          <w:szCs w:val="24"/>
        </w:rPr>
        <w:t xml:space="preserve"> academic governance structure</w:t>
      </w:r>
      <w:r w:rsidR="009A727C">
        <w:rPr>
          <w:rFonts w:cs="Arial"/>
          <w:szCs w:val="24"/>
        </w:rPr>
        <w:t xml:space="preserve"> during </w:t>
      </w:r>
      <w:proofErr w:type="gramStart"/>
      <w:r w:rsidR="0038100F">
        <w:rPr>
          <w:rFonts w:cs="Arial"/>
          <w:szCs w:val="24"/>
        </w:rPr>
        <w:t xml:space="preserve">2020/21, </w:t>
      </w:r>
      <w:r>
        <w:rPr>
          <w:rFonts w:cs="Arial"/>
          <w:szCs w:val="24"/>
        </w:rPr>
        <w:t>and</w:t>
      </w:r>
      <w:proofErr w:type="gramEnd"/>
      <w:r>
        <w:rPr>
          <w:rFonts w:cs="Arial"/>
          <w:szCs w:val="24"/>
        </w:rPr>
        <w:t xml:space="preserve"> </w:t>
      </w:r>
      <w:r w:rsidR="005854CE">
        <w:rPr>
          <w:rFonts w:cs="Arial"/>
          <w:szCs w:val="24"/>
        </w:rPr>
        <w:t>received</w:t>
      </w:r>
      <w:r w:rsidR="00AB72D9" w:rsidRPr="00013734">
        <w:rPr>
          <w:rFonts w:cs="Arial"/>
          <w:szCs w:val="24"/>
        </w:rPr>
        <w:t xml:space="preserve"> by </w:t>
      </w:r>
      <w:r w:rsidR="00513779">
        <w:rPr>
          <w:rFonts w:cs="Arial"/>
          <w:szCs w:val="24"/>
        </w:rPr>
        <w:t>the University’s</w:t>
      </w:r>
      <w:r w:rsidR="00AB72D9" w:rsidRPr="00013734">
        <w:rPr>
          <w:rFonts w:cs="Arial"/>
          <w:szCs w:val="24"/>
        </w:rPr>
        <w:t xml:space="preserve"> Board of Governors </w:t>
      </w:r>
      <w:r>
        <w:rPr>
          <w:rFonts w:cs="Arial"/>
          <w:szCs w:val="24"/>
        </w:rPr>
        <w:t xml:space="preserve">in July 2021. </w:t>
      </w:r>
    </w:p>
    <w:sectPr w:rsidR="00574B2D" w:rsidRPr="00013734">
      <w:headerReference w:type="even" r:id="rId38"/>
      <w:headerReference w:type="default" r:id="rId39"/>
      <w:footerReference w:type="even" r:id="rId40"/>
      <w:footerReference w:type="default" r:id="rId41"/>
      <w:headerReference w:type="first" r:id="rId42"/>
      <w:footerReference w:type="firs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E0767" w14:textId="77777777" w:rsidR="004544BE" w:rsidRDefault="004544BE" w:rsidP="00F33016">
      <w:pPr>
        <w:spacing w:line="240" w:lineRule="auto"/>
      </w:pPr>
      <w:r>
        <w:separator/>
      </w:r>
    </w:p>
  </w:endnote>
  <w:endnote w:type="continuationSeparator" w:id="0">
    <w:p w14:paraId="0F20E200" w14:textId="77777777" w:rsidR="004544BE" w:rsidRDefault="004544BE" w:rsidP="00F330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4E9DA" w14:textId="77777777" w:rsidR="004061E9" w:rsidRDefault="004061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543381"/>
      <w:docPartObj>
        <w:docPartGallery w:val="Page Numbers (Bottom of Page)"/>
        <w:docPartUnique/>
      </w:docPartObj>
    </w:sdtPr>
    <w:sdtEndPr>
      <w:rPr>
        <w:noProof/>
      </w:rPr>
    </w:sdtEndPr>
    <w:sdtContent>
      <w:p w14:paraId="4F9EC924" w14:textId="5E28FC9B" w:rsidR="00F33016" w:rsidRDefault="00F330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8CA5A0" w14:textId="77777777" w:rsidR="00F33016" w:rsidRDefault="00F330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13A4A" w14:textId="77777777" w:rsidR="004061E9" w:rsidRDefault="00406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87A27" w14:textId="77777777" w:rsidR="004544BE" w:rsidRDefault="004544BE" w:rsidP="00F33016">
      <w:pPr>
        <w:spacing w:line="240" w:lineRule="auto"/>
      </w:pPr>
      <w:r>
        <w:separator/>
      </w:r>
    </w:p>
  </w:footnote>
  <w:footnote w:type="continuationSeparator" w:id="0">
    <w:p w14:paraId="1FA40ED6" w14:textId="77777777" w:rsidR="004544BE" w:rsidRDefault="004544BE" w:rsidP="00F330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4B72B" w14:textId="77777777" w:rsidR="004061E9" w:rsidRDefault="004061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14D81" w14:textId="13191BDF" w:rsidR="004061E9" w:rsidRDefault="004061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DEB73" w14:textId="77777777" w:rsidR="004061E9" w:rsidRDefault="00406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69C2"/>
    <w:multiLevelType w:val="hybridMultilevel"/>
    <w:tmpl w:val="3FAAA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045552"/>
    <w:multiLevelType w:val="hybridMultilevel"/>
    <w:tmpl w:val="EE6E9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35647A"/>
    <w:multiLevelType w:val="hybridMultilevel"/>
    <w:tmpl w:val="B0AEB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427"/>
    <w:rsid w:val="000017BF"/>
    <w:rsid w:val="00003505"/>
    <w:rsid w:val="00013734"/>
    <w:rsid w:val="00016F08"/>
    <w:rsid w:val="00017B2E"/>
    <w:rsid w:val="0002060E"/>
    <w:rsid w:val="00020939"/>
    <w:rsid w:val="000222D7"/>
    <w:rsid w:val="000236CE"/>
    <w:rsid w:val="00024842"/>
    <w:rsid w:val="0003109F"/>
    <w:rsid w:val="0003223A"/>
    <w:rsid w:val="00033387"/>
    <w:rsid w:val="00035509"/>
    <w:rsid w:val="000355C5"/>
    <w:rsid w:val="00040247"/>
    <w:rsid w:val="00045B8C"/>
    <w:rsid w:val="00047B0E"/>
    <w:rsid w:val="0005028E"/>
    <w:rsid w:val="000639DF"/>
    <w:rsid w:val="00083B0E"/>
    <w:rsid w:val="00095AAE"/>
    <w:rsid w:val="00096711"/>
    <w:rsid w:val="000B57B2"/>
    <w:rsid w:val="000B739D"/>
    <w:rsid w:val="000C1F56"/>
    <w:rsid w:val="000C5DCD"/>
    <w:rsid w:val="000C5F1A"/>
    <w:rsid w:val="000C7679"/>
    <w:rsid w:val="000C7A20"/>
    <w:rsid w:val="000E44DD"/>
    <w:rsid w:val="000F3143"/>
    <w:rsid w:val="000F44D2"/>
    <w:rsid w:val="000F5BAB"/>
    <w:rsid w:val="00103205"/>
    <w:rsid w:val="00105A72"/>
    <w:rsid w:val="00113002"/>
    <w:rsid w:val="00144C88"/>
    <w:rsid w:val="00146DBD"/>
    <w:rsid w:val="00154F09"/>
    <w:rsid w:val="001571A1"/>
    <w:rsid w:val="00165ACE"/>
    <w:rsid w:val="00181B46"/>
    <w:rsid w:val="0019388C"/>
    <w:rsid w:val="00196E70"/>
    <w:rsid w:val="001B6C39"/>
    <w:rsid w:val="001C2129"/>
    <w:rsid w:val="001C4686"/>
    <w:rsid w:val="001C6A5B"/>
    <w:rsid w:val="001D705E"/>
    <w:rsid w:val="001E7323"/>
    <w:rsid w:val="001F1AA9"/>
    <w:rsid w:val="00206FF2"/>
    <w:rsid w:val="0021146C"/>
    <w:rsid w:val="00212490"/>
    <w:rsid w:val="00217707"/>
    <w:rsid w:val="00220A4D"/>
    <w:rsid w:val="00231194"/>
    <w:rsid w:val="00235173"/>
    <w:rsid w:val="00235180"/>
    <w:rsid w:val="00241208"/>
    <w:rsid w:val="00250D08"/>
    <w:rsid w:val="00251CD2"/>
    <w:rsid w:val="00261B0F"/>
    <w:rsid w:val="00267C15"/>
    <w:rsid w:val="0027025D"/>
    <w:rsid w:val="00277591"/>
    <w:rsid w:val="0028235A"/>
    <w:rsid w:val="002847A2"/>
    <w:rsid w:val="002915F7"/>
    <w:rsid w:val="00295B0A"/>
    <w:rsid w:val="00295BF4"/>
    <w:rsid w:val="002A3318"/>
    <w:rsid w:val="002E228E"/>
    <w:rsid w:val="002F0BFD"/>
    <w:rsid w:val="002F0C51"/>
    <w:rsid w:val="002F3787"/>
    <w:rsid w:val="003021F6"/>
    <w:rsid w:val="003022AB"/>
    <w:rsid w:val="0032123E"/>
    <w:rsid w:val="00344B8C"/>
    <w:rsid w:val="003456EE"/>
    <w:rsid w:val="00347F62"/>
    <w:rsid w:val="00350FCE"/>
    <w:rsid w:val="003530C2"/>
    <w:rsid w:val="00361CEE"/>
    <w:rsid w:val="003628DE"/>
    <w:rsid w:val="003766B5"/>
    <w:rsid w:val="0038100F"/>
    <w:rsid w:val="003A3687"/>
    <w:rsid w:val="003C7B83"/>
    <w:rsid w:val="003F2165"/>
    <w:rsid w:val="004039DC"/>
    <w:rsid w:val="004061E9"/>
    <w:rsid w:val="00407867"/>
    <w:rsid w:val="00415C0B"/>
    <w:rsid w:val="00416921"/>
    <w:rsid w:val="004177A5"/>
    <w:rsid w:val="0042253F"/>
    <w:rsid w:val="00425B12"/>
    <w:rsid w:val="00431590"/>
    <w:rsid w:val="00450C3B"/>
    <w:rsid w:val="004544BE"/>
    <w:rsid w:val="0047623E"/>
    <w:rsid w:val="004779D4"/>
    <w:rsid w:val="004802FF"/>
    <w:rsid w:val="00482433"/>
    <w:rsid w:val="004A3EE5"/>
    <w:rsid w:val="004A53C1"/>
    <w:rsid w:val="004A58AD"/>
    <w:rsid w:val="004C06AA"/>
    <w:rsid w:val="004C16B4"/>
    <w:rsid w:val="004D2914"/>
    <w:rsid w:val="004D44D4"/>
    <w:rsid w:val="004D4E96"/>
    <w:rsid w:val="004E56B6"/>
    <w:rsid w:val="004F103A"/>
    <w:rsid w:val="004F4973"/>
    <w:rsid w:val="00513779"/>
    <w:rsid w:val="00517FFA"/>
    <w:rsid w:val="00526ADF"/>
    <w:rsid w:val="0052745A"/>
    <w:rsid w:val="00544157"/>
    <w:rsid w:val="00547782"/>
    <w:rsid w:val="00561BB9"/>
    <w:rsid w:val="00567206"/>
    <w:rsid w:val="00574B2D"/>
    <w:rsid w:val="005854CE"/>
    <w:rsid w:val="00587E86"/>
    <w:rsid w:val="00593823"/>
    <w:rsid w:val="005957F8"/>
    <w:rsid w:val="00597985"/>
    <w:rsid w:val="005A710A"/>
    <w:rsid w:val="005A7A04"/>
    <w:rsid w:val="005C2223"/>
    <w:rsid w:val="005C22FD"/>
    <w:rsid w:val="005D09C9"/>
    <w:rsid w:val="005D788F"/>
    <w:rsid w:val="005E2C0C"/>
    <w:rsid w:val="005E6AF5"/>
    <w:rsid w:val="005E73D8"/>
    <w:rsid w:val="005F0626"/>
    <w:rsid w:val="005F0E12"/>
    <w:rsid w:val="005F584C"/>
    <w:rsid w:val="00603312"/>
    <w:rsid w:val="00603A08"/>
    <w:rsid w:val="006115FA"/>
    <w:rsid w:val="00617792"/>
    <w:rsid w:val="006226CE"/>
    <w:rsid w:val="006319FF"/>
    <w:rsid w:val="00632947"/>
    <w:rsid w:val="00646FFF"/>
    <w:rsid w:val="00672562"/>
    <w:rsid w:val="00676884"/>
    <w:rsid w:val="00677B61"/>
    <w:rsid w:val="00686EC3"/>
    <w:rsid w:val="00694F65"/>
    <w:rsid w:val="006B2FBD"/>
    <w:rsid w:val="006C1FB3"/>
    <w:rsid w:val="006C3B46"/>
    <w:rsid w:val="006C5AA9"/>
    <w:rsid w:val="006D59C3"/>
    <w:rsid w:val="006D77FE"/>
    <w:rsid w:val="006E56B4"/>
    <w:rsid w:val="006F547B"/>
    <w:rsid w:val="006F771A"/>
    <w:rsid w:val="00711847"/>
    <w:rsid w:val="00720F22"/>
    <w:rsid w:val="00722685"/>
    <w:rsid w:val="00724EBB"/>
    <w:rsid w:val="00761B13"/>
    <w:rsid w:val="00771B7C"/>
    <w:rsid w:val="00775E5E"/>
    <w:rsid w:val="00787EAF"/>
    <w:rsid w:val="00797AAA"/>
    <w:rsid w:val="007A2C33"/>
    <w:rsid w:val="007A7804"/>
    <w:rsid w:val="007B015B"/>
    <w:rsid w:val="007B293D"/>
    <w:rsid w:val="007C2ABA"/>
    <w:rsid w:val="007C7403"/>
    <w:rsid w:val="007D1CE8"/>
    <w:rsid w:val="007E47A8"/>
    <w:rsid w:val="007F4E26"/>
    <w:rsid w:val="007F6690"/>
    <w:rsid w:val="00815478"/>
    <w:rsid w:val="00815CDF"/>
    <w:rsid w:val="008233E9"/>
    <w:rsid w:val="0083448F"/>
    <w:rsid w:val="00837AC5"/>
    <w:rsid w:val="00841548"/>
    <w:rsid w:val="00843146"/>
    <w:rsid w:val="00855EE0"/>
    <w:rsid w:val="008620ED"/>
    <w:rsid w:val="008628A6"/>
    <w:rsid w:val="0086372A"/>
    <w:rsid w:val="0086681C"/>
    <w:rsid w:val="00866AA7"/>
    <w:rsid w:val="00880300"/>
    <w:rsid w:val="008931F4"/>
    <w:rsid w:val="008A1492"/>
    <w:rsid w:val="008A1746"/>
    <w:rsid w:val="008A4116"/>
    <w:rsid w:val="008A4719"/>
    <w:rsid w:val="008B01AE"/>
    <w:rsid w:val="008B538C"/>
    <w:rsid w:val="008C1282"/>
    <w:rsid w:val="008C4EF9"/>
    <w:rsid w:val="008D3B03"/>
    <w:rsid w:val="008D6D1B"/>
    <w:rsid w:val="008D7B2F"/>
    <w:rsid w:val="008E29ED"/>
    <w:rsid w:val="008E4B45"/>
    <w:rsid w:val="008E66BF"/>
    <w:rsid w:val="008F0903"/>
    <w:rsid w:val="009048AF"/>
    <w:rsid w:val="00906E40"/>
    <w:rsid w:val="009107C2"/>
    <w:rsid w:val="00930BBA"/>
    <w:rsid w:val="00942758"/>
    <w:rsid w:val="00944B8D"/>
    <w:rsid w:val="00971F84"/>
    <w:rsid w:val="009A2970"/>
    <w:rsid w:val="009A2E46"/>
    <w:rsid w:val="009A4BD6"/>
    <w:rsid w:val="009A6A7D"/>
    <w:rsid w:val="009A727C"/>
    <w:rsid w:val="009B6F90"/>
    <w:rsid w:val="009C034D"/>
    <w:rsid w:val="009C06C9"/>
    <w:rsid w:val="009D3BA6"/>
    <w:rsid w:val="009F7564"/>
    <w:rsid w:val="00A0115E"/>
    <w:rsid w:val="00A110C2"/>
    <w:rsid w:val="00A14DD4"/>
    <w:rsid w:val="00A210BF"/>
    <w:rsid w:val="00A35B56"/>
    <w:rsid w:val="00A410FB"/>
    <w:rsid w:val="00A44363"/>
    <w:rsid w:val="00A503EB"/>
    <w:rsid w:val="00A53722"/>
    <w:rsid w:val="00A72A27"/>
    <w:rsid w:val="00A73523"/>
    <w:rsid w:val="00A76D34"/>
    <w:rsid w:val="00A82A22"/>
    <w:rsid w:val="00A92F2D"/>
    <w:rsid w:val="00A95267"/>
    <w:rsid w:val="00AA1280"/>
    <w:rsid w:val="00AB72D9"/>
    <w:rsid w:val="00AC2391"/>
    <w:rsid w:val="00AD0B7D"/>
    <w:rsid w:val="00AD0FD2"/>
    <w:rsid w:val="00AE25F9"/>
    <w:rsid w:val="00AE51EC"/>
    <w:rsid w:val="00AE68FB"/>
    <w:rsid w:val="00AF79A9"/>
    <w:rsid w:val="00AF7B2F"/>
    <w:rsid w:val="00B00713"/>
    <w:rsid w:val="00B00F4C"/>
    <w:rsid w:val="00B02F83"/>
    <w:rsid w:val="00B03876"/>
    <w:rsid w:val="00B0712A"/>
    <w:rsid w:val="00B073CD"/>
    <w:rsid w:val="00B21DF3"/>
    <w:rsid w:val="00B32688"/>
    <w:rsid w:val="00B36C2D"/>
    <w:rsid w:val="00B43332"/>
    <w:rsid w:val="00B5279C"/>
    <w:rsid w:val="00B56BF3"/>
    <w:rsid w:val="00B72F66"/>
    <w:rsid w:val="00B7574F"/>
    <w:rsid w:val="00B81D54"/>
    <w:rsid w:val="00B84032"/>
    <w:rsid w:val="00B84F1A"/>
    <w:rsid w:val="00B92BC6"/>
    <w:rsid w:val="00BC762B"/>
    <w:rsid w:val="00BD05F3"/>
    <w:rsid w:val="00BD5F28"/>
    <w:rsid w:val="00BD6831"/>
    <w:rsid w:val="00BF2070"/>
    <w:rsid w:val="00BF4CBA"/>
    <w:rsid w:val="00C14E7D"/>
    <w:rsid w:val="00C16A20"/>
    <w:rsid w:val="00C22482"/>
    <w:rsid w:val="00C25F13"/>
    <w:rsid w:val="00C35826"/>
    <w:rsid w:val="00C41927"/>
    <w:rsid w:val="00C4573D"/>
    <w:rsid w:val="00C5150C"/>
    <w:rsid w:val="00C547C7"/>
    <w:rsid w:val="00C656F7"/>
    <w:rsid w:val="00C76905"/>
    <w:rsid w:val="00C81617"/>
    <w:rsid w:val="00C86962"/>
    <w:rsid w:val="00CA1319"/>
    <w:rsid w:val="00CC0576"/>
    <w:rsid w:val="00CC45F1"/>
    <w:rsid w:val="00CC466D"/>
    <w:rsid w:val="00CC6311"/>
    <w:rsid w:val="00CD415D"/>
    <w:rsid w:val="00CF2A84"/>
    <w:rsid w:val="00CF3824"/>
    <w:rsid w:val="00CF4427"/>
    <w:rsid w:val="00CF71DB"/>
    <w:rsid w:val="00CF75EE"/>
    <w:rsid w:val="00CF79A6"/>
    <w:rsid w:val="00D04399"/>
    <w:rsid w:val="00D126CF"/>
    <w:rsid w:val="00D25AEE"/>
    <w:rsid w:val="00D3525C"/>
    <w:rsid w:val="00D5089A"/>
    <w:rsid w:val="00D57E84"/>
    <w:rsid w:val="00D60DBC"/>
    <w:rsid w:val="00D6676E"/>
    <w:rsid w:val="00D71C95"/>
    <w:rsid w:val="00D81857"/>
    <w:rsid w:val="00D81E6E"/>
    <w:rsid w:val="00D831FA"/>
    <w:rsid w:val="00D91AB4"/>
    <w:rsid w:val="00D96AA9"/>
    <w:rsid w:val="00DA47DE"/>
    <w:rsid w:val="00DA5620"/>
    <w:rsid w:val="00DB4359"/>
    <w:rsid w:val="00DB78E9"/>
    <w:rsid w:val="00DB7E50"/>
    <w:rsid w:val="00DC2B72"/>
    <w:rsid w:val="00DC4AB5"/>
    <w:rsid w:val="00DC7947"/>
    <w:rsid w:val="00DD34C4"/>
    <w:rsid w:val="00DE4B5B"/>
    <w:rsid w:val="00DF07C9"/>
    <w:rsid w:val="00DF3F15"/>
    <w:rsid w:val="00E05C4C"/>
    <w:rsid w:val="00E062DE"/>
    <w:rsid w:val="00E31373"/>
    <w:rsid w:val="00E35DDC"/>
    <w:rsid w:val="00E444E5"/>
    <w:rsid w:val="00E56ED7"/>
    <w:rsid w:val="00E56F9E"/>
    <w:rsid w:val="00E6126D"/>
    <w:rsid w:val="00E70452"/>
    <w:rsid w:val="00E76132"/>
    <w:rsid w:val="00E775B1"/>
    <w:rsid w:val="00E82087"/>
    <w:rsid w:val="00E85FF2"/>
    <w:rsid w:val="00EB01DC"/>
    <w:rsid w:val="00EB0645"/>
    <w:rsid w:val="00EB11E7"/>
    <w:rsid w:val="00EC299F"/>
    <w:rsid w:val="00EC72DE"/>
    <w:rsid w:val="00ED28D7"/>
    <w:rsid w:val="00ED6230"/>
    <w:rsid w:val="00EE3C0B"/>
    <w:rsid w:val="00EE5B1E"/>
    <w:rsid w:val="00EF7C5D"/>
    <w:rsid w:val="00F0063B"/>
    <w:rsid w:val="00F06C81"/>
    <w:rsid w:val="00F10DF5"/>
    <w:rsid w:val="00F24BF0"/>
    <w:rsid w:val="00F24D60"/>
    <w:rsid w:val="00F31307"/>
    <w:rsid w:val="00F33016"/>
    <w:rsid w:val="00F36266"/>
    <w:rsid w:val="00F378B7"/>
    <w:rsid w:val="00F37B7B"/>
    <w:rsid w:val="00F430A0"/>
    <w:rsid w:val="00F55B0B"/>
    <w:rsid w:val="00F57BD7"/>
    <w:rsid w:val="00F600E0"/>
    <w:rsid w:val="00F629D5"/>
    <w:rsid w:val="00F65CAD"/>
    <w:rsid w:val="00F71C66"/>
    <w:rsid w:val="00F7313B"/>
    <w:rsid w:val="00F829BC"/>
    <w:rsid w:val="00F85D08"/>
    <w:rsid w:val="00FA5731"/>
    <w:rsid w:val="00FC2B1B"/>
    <w:rsid w:val="00FD6704"/>
    <w:rsid w:val="00FE2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FFD263"/>
  <w15:chartTrackingRefBased/>
  <w15:docId w15:val="{7CA81739-FE32-41A6-B23D-09BC3D07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F1A"/>
    <w:pPr>
      <w:spacing w:after="0"/>
    </w:pPr>
    <w:rPr>
      <w:rFonts w:ascii="Calibri" w:eastAsia="Calibri" w:hAnsi="Calibri" w:cs="Times New Roman"/>
    </w:rPr>
  </w:style>
  <w:style w:type="paragraph" w:styleId="Heading1">
    <w:name w:val="heading 1"/>
    <w:basedOn w:val="Normal"/>
    <w:next w:val="Normal"/>
    <w:link w:val="Heading1Char"/>
    <w:uiPriority w:val="9"/>
    <w:qFormat/>
    <w:rsid w:val="00D043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E73D8"/>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link w:val="Heading3Char"/>
    <w:uiPriority w:val="9"/>
    <w:qFormat/>
    <w:rsid w:val="005E73D8"/>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3143"/>
    <w:pPr>
      <w:spacing w:after="0" w:line="240" w:lineRule="auto"/>
    </w:pPr>
    <w:rPr>
      <w:rFonts w:ascii="Arial" w:hAnsi="Arial"/>
      <w:sz w:val="24"/>
    </w:rPr>
  </w:style>
  <w:style w:type="paragraph" w:styleId="Header">
    <w:name w:val="header"/>
    <w:basedOn w:val="Normal"/>
    <w:link w:val="HeaderChar"/>
    <w:uiPriority w:val="99"/>
    <w:unhideWhenUsed/>
    <w:rsid w:val="00F33016"/>
    <w:pPr>
      <w:tabs>
        <w:tab w:val="center" w:pos="4513"/>
        <w:tab w:val="right" w:pos="9026"/>
      </w:tabs>
      <w:spacing w:line="240" w:lineRule="auto"/>
    </w:pPr>
  </w:style>
  <w:style w:type="character" w:customStyle="1" w:styleId="HeaderChar">
    <w:name w:val="Header Char"/>
    <w:basedOn w:val="DefaultParagraphFont"/>
    <w:link w:val="Header"/>
    <w:uiPriority w:val="99"/>
    <w:rsid w:val="00F33016"/>
    <w:rPr>
      <w:rFonts w:ascii="Arial" w:hAnsi="Arial"/>
      <w:sz w:val="24"/>
    </w:rPr>
  </w:style>
  <w:style w:type="paragraph" w:styleId="Footer">
    <w:name w:val="footer"/>
    <w:basedOn w:val="Normal"/>
    <w:link w:val="FooterChar"/>
    <w:uiPriority w:val="99"/>
    <w:unhideWhenUsed/>
    <w:rsid w:val="00F33016"/>
    <w:pPr>
      <w:tabs>
        <w:tab w:val="center" w:pos="4513"/>
        <w:tab w:val="right" w:pos="9026"/>
      </w:tabs>
      <w:spacing w:line="240" w:lineRule="auto"/>
    </w:pPr>
  </w:style>
  <w:style w:type="character" w:customStyle="1" w:styleId="FooterChar">
    <w:name w:val="Footer Char"/>
    <w:basedOn w:val="DefaultParagraphFont"/>
    <w:link w:val="Footer"/>
    <w:uiPriority w:val="99"/>
    <w:rsid w:val="00F33016"/>
    <w:rPr>
      <w:rFonts w:ascii="Arial" w:hAnsi="Arial"/>
      <w:sz w:val="24"/>
    </w:rPr>
  </w:style>
  <w:style w:type="paragraph" w:styleId="FootnoteText">
    <w:name w:val="footnote text"/>
    <w:basedOn w:val="Normal"/>
    <w:link w:val="FootnoteTextChar"/>
    <w:uiPriority w:val="99"/>
    <w:unhideWhenUsed/>
    <w:rsid w:val="00BD5F28"/>
    <w:pPr>
      <w:spacing w:line="240" w:lineRule="auto"/>
    </w:pPr>
    <w:rPr>
      <w:sz w:val="20"/>
      <w:szCs w:val="20"/>
    </w:rPr>
  </w:style>
  <w:style w:type="character" w:customStyle="1" w:styleId="FootnoteTextChar">
    <w:name w:val="Footnote Text Char"/>
    <w:basedOn w:val="DefaultParagraphFont"/>
    <w:link w:val="FootnoteText"/>
    <w:uiPriority w:val="99"/>
    <w:rsid w:val="00BD5F28"/>
    <w:rPr>
      <w:rFonts w:ascii="Arial" w:hAnsi="Arial"/>
      <w:sz w:val="20"/>
      <w:szCs w:val="20"/>
    </w:rPr>
  </w:style>
  <w:style w:type="character" w:styleId="FootnoteReference">
    <w:name w:val="footnote reference"/>
    <w:basedOn w:val="DefaultParagraphFont"/>
    <w:uiPriority w:val="99"/>
    <w:unhideWhenUsed/>
    <w:rsid w:val="00BD5F28"/>
    <w:rPr>
      <w:vertAlign w:val="superscript"/>
    </w:rPr>
  </w:style>
  <w:style w:type="character" w:styleId="Hyperlink">
    <w:name w:val="Hyperlink"/>
    <w:basedOn w:val="DefaultParagraphFont"/>
    <w:uiPriority w:val="99"/>
    <w:unhideWhenUsed/>
    <w:rsid w:val="00BD5F28"/>
    <w:rPr>
      <w:color w:val="0000FF" w:themeColor="hyperlink"/>
      <w:u w:val="single"/>
    </w:rPr>
  </w:style>
  <w:style w:type="character" w:styleId="UnresolvedMention">
    <w:name w:val="Unresolved Mention"/>
    <w:basedOn w:val="DefaultParagraphFont"/>
    <w:uiPriority w:val="99"/>
    <w:semiHidden/>
    <w:unhideWhenUsed/>
    <w:rsid w:val="00BD5F28"/>
    <w:rPr>
      <w:color w:val="605E5C"/>
      <w:shd w:val="clear" w:color="auto" w:fill="E1DFDD"/>
    </w:rPr>
  </w:style>
  <w:style w:type="paragraph" w:customStyle="1" w:styleId="Default">
    <w:name w:val="Default"/>
    <w:rsid w:val="008B538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B538C"/>
    <w:rPr>
      <w:sz w:val="16"/>
      <w:szCs w:val="16"/>
    </w:rPr>
  </w:style>
  <w:style w:type="paragraph" w:styleId="CommentText">
    <w:name w:val="annotation text"/>
    <w:basedOn w:val="Normal"/>
    <w:link w:val="CommentTextChar"/>
    <w:uiPriority w:val="99"/>
    <w:semiHidden/>
    <w:unhideWhenUsed/>
    <w:rsid w:val="008B538C"/>
    <w:pPr>
      <w:spacing w:line="240" w:lineRule="auto"/>
    </w:pPr>
    <w:rPr>
      <w:sz w:val="20"/>
      <w:szCs w:val="20"/>
    </w:rPr>
  </w:style>
  <w:style w:type="character" w:customStyle="1" w:styleId="CommentTextChar">
    <w:name w:val="Comment Text Char"/>
    <w:basedOn w:val="DefaultParagraphFont"/>
    <w:link w:val="CommentText"/>
    <w:uiPriority w:val="99"/>
    <w:semiHidden/>
    <w:rsid w:val="008B538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B538C"/>
    <w:rPr>
      <w:b/>
      <w:bCs/>
    </w:rPr>
  </w:style>
  <w:style w:type="character" w:customStyle="1" w:styleId="CommentSubjectChar">
    <w:name w:val="Comment Subject Char"/>
    <w:basedOn w:val="CommentTextChar"/>
    <w:link w:val="CommentSubject"/>
    <w:uiPriority w:val="99"/>
    <w:semiHidden/>
    <w:rsid w:val="008B538C"/>
    <w:rPr>
      <w:rFonts w:ascii="Arial" w:hAnsi="Arial"/>
      <w:b/>
      <w:bCs/>
      <w:sz w:val="20"/>
      <w:szCs w:val="20"/>
    </w:rPr>
  </w:style>
  <w:style w:type="paragraph" w:styleId="BalloonText">
    <w:name w:val="Balloon Text"/>
    <w:basedOn w:val="Normal"/>
    <w:link w:val="BalloonTextChar"/>
    <w:uiPriority w:val="99"/>
    <w:semiHidden/>
    <w:unhideWhenUsed/>
    <w:rsid w:val="008B538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38C"/>
    <w:rPr>
      <w:rFonts w:ascii="Segoe UI" w:hAnsi="Segoe UI" w:cs="Segoe UI"/>
      <w:sz w:val="18"/>
      <w:szCs w:val="18"/>
    </w:rPr>
  </w:style>
  <w:style w:type="character" w:customStyle="1" w:styleId="NoSpacingChar">
    <w:name w:val="No Spacing Char"/>
    <w:link w:val="NoSpacing"/>
    <w:uiPriority w:val="1"/>
    <w:rsid w:val="00B84F1A"/>
    <w:rPr>
      <w:rFonts w:ascii="Arial" w:hAnsi="Arial"/>
      <w:sz w:val="24"/>
    </w:rPr>
  </w:style>
  <w:style w:type="character" w:styleId="FollowedHyperlink">
    <w:name w:val="FollowedHyperlink"/>
    <w:basedOn w:val="DefaultParagraphFont"/>
    <w:uiPriority w:val="99"/>
    <w:semiHidden/>
    <w:unhideWhenUsed/>
    <w:rsid w:val="0028235A"/>
    <w:rPr>
      <w:color w:val="800080" w:themeColor="followedHyperlink"/>
      <w:u w:val="single"/>
    </w:rPr>
  </w:style>
  <w:style w:type="character" w:customStyle="1" w:styleId="Heading2Char">
    <w:name w:val="Heading 2 Char"/>
    <w:basedOn w:val="DefaultParagraphFont"/>
    <w:link w:val="Heading2"/>
    <w:uiPriority w:val="9"/>
    <w:rsid w:val="005E73D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E73D8"/>
    <w:rPr>
      <w:rFonts w:ascii="Times New Roman" w:eastAsia="Times New Roman" w:hAnsi="Times New Roman" w:cs="Times New Roman"/>
      <w:b/>
      <w:bCs/>
      <w:sz w:val="27"/>
      <w:szCs w:val="27"/>
      <w:lang w:eastAsia="en-GB"/>
    </w:rPr>
  </w:style>
  <w:style w:type="paragraph" w:styleId="Title">
    <w:name w:val="Title"/>
    <w:basedOn w:val="Normal"/>
    <w:next w:val="Normal"/>
    <w:link w:val="TitleChar"/>
    <w:uiPriority w:val="10"/>
    <w:qFormat/>
    <w:rsid w:val="00D04399"/>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439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0439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0834">
      <w:bodyDiv w:val="1"/>
      <w:marLeft w:val="0"/>
      <w:marRight w:val="0"/>
      <w:marTop w:val="0"/>
      <w:marBottom w:val="0"/>
      <w:divBdr>
        <w:top w:val="none" w:sz="0" w:space="0" w:color="auto"/>
        <w:left w:val="none" w:sz="0" w:space="0" w:color="auto"/>
        <w:bottom w:val="none" w:sz="0" w:space="0" w:color="auto"/>
        <w:right w:val="none" w:sz="0" w:space="0" w:color="auto"/>
      </w:divBdr>
    </w:div>
    <w:div w:id="532309234">
      <w:bodyDiv w:val="1"/>
      <w:marLeft w:val="0"/>
      <w:marRight w:val="0"/>
      <w:marTop w:val="0"/>
      <w:marBottom w:val="0"/>
      <w:divBdr>
        <w:top w:val="none" w:sz="0" w:space="0" w:color="auto"/>
        <w:left w:val="none" w:sz="0" w:space="0" w:color="auto"/>
        <w:bottom w:val="none" w:sz="0" w:space="0" w:color="auto"/>
        <w:right w:val="none" w:sz="0" w:space="0" w:color="auto"/>
      </w:divBdr>
    </w:div>
    <w:div w:id="688455810">
      <w:bodyDiv w:val="1"/>
      <w:marLeft w:val="0"/>
      <w:marRight w:val="0"/>
      <w:marTop w:val="0"/>
      <w:marBottom w:val="0"/>
      <w:divBdr>
        <w:top w:val="none" w:sz="0" w:space="0" w:color="auto"/>
        <w:left w:val="none" w:sz="0" w:space="0" w:color="auto"/>
        <w:bottom w:val="none" w:sz="0" w:space="0" w:color="auto"/>
        <w:right w:val="none" w:sz="0" w:space="0" w:color="auto"/>
      </w:divBdr>
    </w:div>
    <w:div w:id="194846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gehill.ac.uk/documents/files/appendix-15-framework-for-the-assessment-progression-and-award-of-qualifications-in-extraordinary-circumstances-2019-20.pdf" TargetMode="External"/><Relationship Id="rId18" Type="http://schemas.openxmlformats.org/officeDocument/2006/relationships/hyperlink" Target="http://www.qaa.ac.uk/quality-code/qualifications-and-credit-frameworks" TargetMode="External"/><Relationship Id="rId26" Type="http://schemas.openxmlformats.org/officeDocument/2006/relationships/hyperlink" Target="https://www.edgehill.ac.uk/documents/academic-regulations-2020-21-appendix-22-academic-appeals-procedures-2020-21/" TargetMode="External"/><Relationship Id="rId39" Type="http://schemas.openxmlformats.org/officeDocument/2006/relationships/header" Target="header2.xml"/><Relationship Id="rId21" Type="http://schemas.openxmlformats.org/officeDocument/2006/relationships/hyperlink" Target="http://www.edgehill.ac.uk/clt/centre-learning-teaching-clt/postgraduate-certificate-in-teaching-in-higher-education/" TargetMode="External"/><Relationship Id="rId34" Type="http://schemas.openxmlformats.org/officeDocument/2006/relationships/hyperlink" Target="https://www.edgehill.ac.uk/clt/centre-learning-teaching-clt/taught-degrees-framework/"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dgehill.ac.uk/aqdu/validation/" TargetMode="External"/><Relationship Id="rId29" Type="http://schemas.openxmlformats.org/officeDocument/2006/relationships/hyperlink" Target="https://www.edgehill.ac.uk/documents/academic-regulations-20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www.edgehill.ac.uk/clt/files/2013/01/MarkingModeratingAssessedWork.pdf" TargetMode="External"/><Relationship Id="rId32" Type="http://schemas.openxmlformats.org/officeDocument/2006/relationships/hyperlink" Target="https://www.edgehill.ac.uk/documents/files/academic-regulations-2020-21.pdf" TargetMode="External"/><Relationship Id="rId37" Type="http://schemas.openxmlformats.org/officeDocument/2006/relationships/hyperlink" Target="https://www.heacademy.ac.uk/training-events/professional-development/external-examining-course"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dgehill.ac.uk/clt/centre-learning-teaching-clt/strategies-and-policies/" TargetMode="External"/><Relationship Id="rId23" Type="http://schemas.openxmlformats.org/officeDocument/2006/relationships/hyperlink" Target="http://www.edgehill.ac.uk/clt/centre-learning-teaching-clt/fellows/" TargetMode="External"/><Relationship Id="rId28" Type="http://schemas.openxmlformats.org/officeDocument/2006/relationships/hyperlink" Target="http://www.edgehill.ac.uk/aqdu/external-examiners/" TargetMode="External"/><Relationship Id="rId36" Type="http://schemas.openxmlformats.org/officeDocument/2006/relationships/hyperlink" Target="https://www.edgehill.ac.uk/documents/access-participation-plan/" TargetMode="External"/><Relationship Id="rId10" Type="http://schemas.openxmlformats.org/officeDocument/2006/relationships/hyperlink" Target="https://www.edgehill.ac.uk/corporate-information/board-of-governors" TargetMode="External"/><Relationship Id="rId19" Type="http://schemas.openxmlformats.org/officeDocument/2006/relationships/hyperlink" Target="http://www.qaa.ac.uk/en/quality-code/subject-benchmark-statements" TargetMode="External"/><Relationship Id="rId31" Type="http://schemas.openxmlformats.org/officeDocument/2006/relationships/hyperlink" Target="https://www.universitiesuk.ac.uk/policy-and-analysis/reports/Documents/2017/understanding-degree-algorithms.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dgehill.ac.uk/aqdu/academic-governance/" TargetMode="External"/><Relationship Id="rId14" Type="http://schemas.openxmlformats.org/officeDocument/2006/relationships/hyperlink" Target="https://www.edgehill.ac.uk/documents/quality-management-handbook/" TargetMode="External"/><Relationship Id="rId22" Type="http://schemas.openxmlformats.org/officeDocument/2006/relationships/hyperlink" Target="http://www.edgehill.ac.uk/clt/centre-learning-teaching-clt/professional-development-series/" TargetMode="External"/><Relationship Id="rId27" Type="http://schemas.openxmlformats.org/officeDocument/2006/relationships/hyperlink" Target="http://www.edgehill.ac.uk/aqdu/monitoring-and-review/" TargetMode="External"/><Relationship Id="rId30" Type="http://schemas.openxmlformats.org/officeDocument/2006/relationships/hyperlink" Target="http://www.edgehill.ac.uk/aqdu/monitoring-and-review/" TargetMode="External"/><Relationship Id="rId35" Type="http://schemas.openxmlformats.org/officeDocument/2006/relationships/hyperlink" Target="https://www.edgehill.ac.uk/documents/strategic-plan-2013-2020/" TargetMode="External"/><Relationship Id="rId43" Type="http://schemas.openxmlformats.org/officeDocument/2006/relationships/footer" Target="footer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hyperlink" Target="https://www.qaa.ac.uk/quality-code" TargetMode="External"/><Relationship Id="rId25" Type="http://schemas.openxmlformats.org/officeDocument/2006/relationships/hyperlink" Target="https://www.edgehill.ac.uk/documents/academic-regulations-2020-21-appendix-7-procedures-for-the-submission-of-exceptional-mitigating-circumstances-2020-21/" TargetMode="External"/><Relationship Id="rId33" Type="http://schemas.openxmlformats.org/officeDocument/2006/relationships/hyperlink" Target="https://www.edgehill.ac.uk/registry/temporary-regulations-2020-21/" TargetMode="External"/><Relationship Id="rId38" Type="http://schemas.openxmlformats.org/officeDocument/2006/relationships/header" Target="header1.xml"/><Relationship Id="rId20" Type="http://schemas.openxmlformats.org/officeDocument/2006/relationships/hyperlink" Target="http://www.edgehill.ac.uk/aqdu/professional-accreditations/" TargetMode="External"/><Relationship Id="rId41"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c1staffshare1\staffshare1\Strategic%20Planning\Working%20Documents\Peter%20Hall\Ad%20Hoc%20Queries\Craig%20HH\Good%20Degrees%20Char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1staffshare1\staffshare1\Strategic%20Planning\Working%20Documents\Peter%20Hall\Ad%20Hoc%20Queries\Craig%20HH\Good%20Degrees%20Chart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i="0" baseline="0">
                <a:effectLst/>
              </a:rPr>
              <a:t>Percentage of Good Degrees Awarded To First Degree Students</a:t>
            </a:r>
            <a:endParaRPr lang="en-GB"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'[Good Degrees Charts.xlsx]By Faculty'!$K$1</c:f>
              <c:strCache>
                <c:ptCount val="1"/>
                <c:pt idx="0">
                  <c:v>2015/16</c:v>
                </c:pt>
              </c:strCache>
            </c:strRef>
          </c:tx>
          <c:spPr>
            <a:solidFill>
              <a:schemeClr val="accent1"/>
            </a:solidFill>
            <a:ln>
              <a:noFill/>
            </a:ln>
            <a:effectLst/>
          </c:spPr>
          <c:invertIfNegative val="0"/>
          <c:cat>
            <c:strRef>
              <c:f>'[Good Degrees Charts.xlsx]By Faculty'!$J$2:$J$5</c:f>
              <c:strCache>
                <c:ptCount val="4"/>
                <c:pt idx="0">
                  <c:v>EHU</c:v>
                </c:pt>
                <c:pt idx="1">
                  <c:v>Faculty of Arts &amp; Sciences</c:v>
                </c:pt>
                <c:pt idx="2">
                  <c:v>Faculty of Education</c:v>
                </c:pt>
                <c:pt idx="3">
                  <c:v>Faculty of Health, Social Care &amp; Medicine</c:v>
                </c:pt>
              </c:strCache>
            </c:strRef>
          </c:cat>
          <c:val>
            <c:numRef>
              <c:f>'[Good Degrees Charts.xlsx]By Faculty'!$K$2:$K$5</c:f>
              <c:numCache>
                <c:formatCode>0.0%</c:formatCode>
                <c:ptCount val="4"/>
                <c:pt idx="0">
                  <c:v>0.69265576052906375</c:v>
                </c:pt>
                <c:pt idx="1">
                  <c:v>0.66442131047152475</c:v>
                </c:pt>
                <c:pt idx="2">
                  <c:v>0.76102418207681366</c:v>
                </c:pt>
                <c:pt idx="3">
                  <c:v>0.68901303538175052</c:v>
                </c:pt>
              </c:numCache>
            </c:numRef>
          </c:val>
          <c:extLst>
            <c:ext xmlns:c16="http://schemas.microsoft.com/office/drawing/2014/chart" uri="{C3380CC4-5D6E-409C-BE32-E72D297353CC}">
              <c16:uniqueId val="{00000000-E792-4FCF-9241-EC184F8B28A8}"/>
            </c:ext>
          </c:extLst>
        </c:ser>
        <c:ser>
          <c:idx val="1"/>
          <c:order val="1"/>
          <c:tx>
            <c:strRef>
              <c:f>'[Good Degrees Charts.xlsx]By Faculty'!$L$1</c:f>
              <c:strCache>
                <c:ptCount val="1"/>
                <c:pt idx="0">
                  <c:v>2016/17</c:v>
                </c:pt>
              </c:strCache>
            </c:strRef>
          </c:tx>
          <c:spPr>
            <a:solidFill>
              <a:schemeClr val="accent2"/>
            </a:solidFill>
            <a:ln>
              <a:noFill/>
            </a:ln>
            <a:effectLst/>
          </c:spPr>
          <c:invertIfNegative val="0"/>
          <c:cat>
            <c:strRef>
              <c:f>'[Good Degrees Charts.xlsx]By Faculty'!$J$2:$J$5</c:f>
              <c:strCache>
                <c:ptCount val="4"/>
                <c:pt idx="0">
                  <c:v>EHU</c:v>
                </c:pt>
                <c:pt idx="1">
                  <c:v>Faculty of Arts &amp; Sciences</c:v>
                </c:pt>
                <c:pt idx="2">
                  <c:v>Faculty of Education</c:v>
                </c:pt>
                <c:pt idx="3">
                  <c:v>Faculty of Health, Social Care &amp; Medicine</c:v>
                </c:pt>
              </c:strCache>
            </c:strRef>
          </c:cat>
          <c:val>
            <c:numRef>
              <c:f>'[Good Degrees Charts.xlsx]By Faculty'!$L$2:$L$5</c:f>
              <c:numCache>
                <c:formatCode>0.0%</c:formatCode>
                <c:ptCount val="4"/>
                <c:pt idx="0">
                  <c:v>0.71338582677165352</c:v>
                </c:pt>
                <c:pt idx="1">
                  <c:v>0.68365553602811946</c:v>
                </c:pt>
                <c:pt idx="2">
                  <c:v>0.78271604938271599</c:v>
                </c:pt>
                <c:pt idx="3">
                  <c:v>0.70516717325227962</c:v>
                </c:pt>
              </c:numCache>
            </c:numRef>
          </c:val>
          <c:extLst>
            <c:ext xmlns:c16="http://schemas.microsoft.com/office/drawing/2014/chart" uri="{C3380CC4-5D6E-409C-BE32-E72D297353CC}">
              <c16:uniqueId val="{00000001-E792-4FCF-9241-EC184F8B28A8}"/>
            </c:ext>
          </c:extLst>
        </c:ser>
        <c:ser>
          <c:idx val="2"/>
          <c:order val="2"/>
          <c:tx>
            <c:strRef>
              <c:f>'[Good Degrees Charts.xlsx]By Faculty'!$M$1</c:f>
              <c:strCache>
                <c:ptCount val="1"/>
                <c:pt idx="0">
                  <c:v>2017/18</c:v>
                </c:pt>
              </c:strCache>
            </c:strRef>
          </c:tx>
          <c:spPr>
            <a:solidFill>
              <a:schemeClr val="accent3"/>
            </a:solidFill>
            <a:ln>
              <a:noFill/>
            </a:ln>
            <a:effectLst/>
          </c:spPr>
          <c:invertIfNegative val="0"/>
          <c:cat>
            <c:strRef>
              <c:f>'[Good Degrees Charts.xlsx]By Faculty'!$J$2:$J$5</c:f>
              <c:strCache>
                <c:ptCount val="4"/>
                <c:pt idx="0">
                  <c:v>EHU</c:v>
                </c:pt>
                <c:pt idx="1">
                  <c:v>Faculty of Arts &amp; Sciences</c:v>
                </c:pt>
                <c:pt idx="2">
                  <c:v>Faculty of Education</c:v>
                </c:pt>
                <c:pt idx="3">
                  <c:v>Faculty of Health, Social Care &amp; Medicine</c:v>
                </c:pt>
              </c:strCache>
            </c:strRef>
          </c:cat>
          <c:val>
            <c:numRef>
              <c:f>'[Good Degrees Charts.xlsx]By Faculty'!$M$2:$M$5</c:f>
              <c:numCache>
                <c:formatCode>0.0%</c:formatCode>
                <c:ptCount val="4"/>
                <c:pt idx="0">
                  <c:v>0.73443853612761967</c:v>
                </c:pt>
                <c:pt idx="1">
                  <c:v>0.71799210377890577</c:v>
                </c:pt>
                <c:pt idx="2">
                  <c:v>0.81782437745740499</c:v>
                </c:pt>
                <c:pt idx="3">
                  <c:v>0.68229954614220878</c:v>
                </c:pt>
              </c:numCache>
            </c:numRef>
          </c:val>
          <c:extLst>
            <c:ext xmlns:c16="http://schemas.microsoft.com/office/drawing/2014/chart" uri="{C3380CC4-5D6E-409C-BE32-E72D297353CC}">
              <c16:uniqueId val="{00000002-E792-4FCF-9241-EC184F8B28A8}"/>
            </c:ext>
          </c:extLst>
        </c:ser>
        <c:ser>
          <c:idx val="3"/>
          <c:order val="3"/>
          <c:tx>
            <c:strRef>
              <c:f>'[Good Degrees Charts.xlsx]By Faculty'!$N$1</c:f>
              <c:strCache>
                <c:ptCount val="1"/>
                <c:pt idx="0">
                  <c:v>2018/19</c:v>
                </c:pt>
              </c:strCache>
            </c:strRef>
          </c:tx>
          <c:spPr>
            <a:solidFill>
              <a:schemeClr val="accent4"/>
            </a:solidFill>
            <a:ln>
              <a:noFill/>
            </a:ln>
            <a:effectLst/>
          </c:spPr>
          <c:invertIfNegative val="0"/>
          <c:cat>
            <c:strRef>
              <c:f>'[Good Degrees Charts.xlsx]By Faculty'!$J$2:$J$5</c:f>
              <c:strCache>
                <c:ptCount val="4"/>
                <c:pt idx="0">
                  <c:v>EHU</c:v>
                </c:pt>
                <c:pt idx="1">
                  <c:v>Faculty of Arts &amp; Sciences</c:v>
                </c:pt>
                <c:pt idx="2">
                  <c:v>Faculty of Education</c:v>
                </c:pt>
                <c:pt idx="3">
                  <c:v>Faculty of Health, Social Care &amp; Medicine</c:v>
                </c:pt>
              </c:strCache>
            </c:strRef>
          </c:cat>
          <c:val>
            <c:numRef>
              <c:f>'[Good Degrees Charts.xlsx]By Faculty'!$N$2:$N$5</c:f>
              <c:numCache>
                <c:formatCode>0.0%</c:formatCode>
                <c:ptCount val="4"/>
                <c:pt idx="0">
                  <c:v>0.71133354859541487</c:v>
                </c:pt>
                <c:pt idx="1">
                  <c:v>0.71294765840220387</c:v>
                </c:pt>
                <c:pt idx="2">
                  <c:v>0.74264705882352944</c:v>
                </c:pt>
                <c:pt idx="3">
                  <c:v>0.67109634551495012</c:v>
                </c:pt>
              </c:numCache>
            </c:numRef>
          </c:val>
          <c:extLst>
            <c:ext xmlns:c16="http://schemas.microsoft.com/office/drawing/2014/chart" uri="{C3380CC4-5D6E-409C-BE32-E72D297353CC}">
              <c16:uniqueId val="{00000003-E792-4FCF-9241-EC184F8B28A8}"/>
            </c:ext>
          </c:extLst>
        </c:ser>
        <c:ser>
          <c:idx val="4"/>
          <c:order val="4"/>
          <c:tx>
            <c:strRef>
              <c:f>'[Good Degrees Charts.xlsx]By Faculty'!$O$1</c:f>
              <c:strCache>
                <c:ptCount val="1"/>
                <c:pt idx="0">
                  <c:v>2019/20</c:v>
                </c:pt>
              </c:strCache>
            </c:strRef>
          </c:tx>
          <c:spPr>
            <a:solidFill>
              <a:schemeClr val="accent5"/>
            </a:solidFill>
            <a:ln>
              <a:noFill/>
            </a:ln>
            <a:effectLst/>
          </c:spPr>
          <c:invertIfNegative val="0"/>
          <c:cat>
            <c:strRef>
              <c:f>'[Good Degrees Charts.xlsx]By Faculty'!$J$2:$J$5</c:f>
              <c:strCache>
                <c:ptCount val="4"/>
                <c:pt idx="0">
                  <c:v>EHU</c:v>
                </c:pt>
                <c:pt idx="1">
                  <c:v>Faculty of Arts &amp; Sciences</c:v>
                </c:pt>
                <c:pt idx="2">
                  <c:v>Faculty of Education</c:v>
                </c:pt>
                <c:pt idx="3">
                  <c:v>Faculty of Health, Social Care &amp; Medicine</c:v>
                </c:pt>
              </c:strCache>
            </c:strRef>
          </c:cat>
          <c:val>
            <c:numRef>
              <c:f>'[Good Degrees Charts.xlsx]By Faculty'!$O$2:$O$5</c:f>
              <c:numCache>
                <c:formatCode>0.0%</c:formatCode>
                <c:ptCount val="4"/>
                <c:pt idx="0">
                  <c:v>0.75362318840579712</c:v>
                </c:pt>
                <c:pt idx="1">
                  <c:v>0.77705345501955669</c:v>
                </c:pt>
                <c:pt idx="2">
                  <c:v>0.81511254019292601</c:v>
                </c:pt>
                <c:pt idx="3">
                  <c:v>0.63079470198675491</c:v>
                </c:pt>
              </c:numCache>
            </c:numRef>
          </c:val>
          <c:extLst>
            <c:ext xmlns:c16="http://schemas.microsoft.com/office/drawing/2014/chart" uri="{C3380CC4-5D6E-409C-BE32-E72D297353CC}">
              <c16:uniqueId val="{00000004-E792-4FCF-9241-EC184F8B28A8}"/>
            </c:ext>
          </c:extLst>
        </c:ser>
        <c:dLbls>
          <c:showLegendKey val="0"/>
          <c:showVal val="0"/>
          <c:showCatName val="0"/>
          <c:showSerName val="0"/>
          <c:showPercent val="0"/>
          <c:showBubbleSize val="0"/>
        </c:dLbls>
        <c:gapWidth val="219"/>
        <c:overlap val="-27"/>
        <c:axId val="60169776"/>
        <c:axId val="48796720"/>
      </c:barChart>
      <c:catAx>
        <c:axId val="60169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796720"/>
        <c:crosses val="autoZero"/>
        <c:auto val="1"/>
        <c:lblAlgn val="ctr"/>
        <c:lblOffset val="100"/>
        <c:noMultiLvlLbl val="0"/>
      </c:catAx>
      <c:valAx>
        <c:axId val="4879672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169776"/>
        <c:crosses val="autoZero"/>
        <c:crossBetween val="between"/>
        <c:majorUnit val="0.2"/>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0" i="0" baseline="0">
                <a:effectLst/>
              </a:rPr>
              <a:t>Percentage of Good Degrees Awarded To First Degree Students by Academic Year and Student Characteristic</a:t>
            </a:r>
            <a:endParaRPr lang="en-GB"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'[Good Degrees Charts.xlsx]Demographics'!$A$2</c:f>
              <c:strCache>
                <c:ptCount val="1"/>
                <c:pt idx="0">
                  <c:v>2015/16</c:v>
                </c:pt>
              </c:strCache>
            </c:strRef>
          </c:tx>
          <c:spPr>
            <a:solidFill>
              <a:schemeClr val="accent1"/>
            </a:solidFill>
            <a:ln>
              <a:noFill/>
            </a:ln>
            <a:effectLst/>
          </c:spPr>
          <c:invertIfNegative val="0"/>
          <c:cat>
            <c:strRef>
              <c:f>'[Good Degrees Charts.xlsx]Demographics'!$B$1:$G$1</c:f>
              <c:strCache>
                <c:ptCount val="6"/>
                <c:pt idx="0">
                  <c:v>Female</c:v>
                </c:pt>
                <c:pt idx="1">
                  <c:v>Male</c:v>
                </c:pt>
                <c:pt idx="2">
                  <c:v>Under 21</c:v>
                </c:pt>
                <c:pt idx="3">
                  <c:v>21 and Over</c:v>
                </c:pt>
                <c:pt idx="4">
                  <c:v>BAME</c:v>
                </c:pt>
                <c:pt idx="5">
                  <c:v>Non-BAME</c:v>
                </c:pt>
              </c:strCache>
            </c:strRef>
          </c:cat>
          <c:val>
            <c:numRef>
              <c:f>'[Good Degrees Charts.xlsx]Demographics'!$B$2:$G$2</c:f>
              <c:numCache>
                <c:formatCode>0.0%</c:formatCode>
                <c:ptCount val="6"/>
                <c:pt idx="0">
                  <c:v>0.72299999999999998</c:v>
                </c:pt>
                <c:pt idx="1">
                  <c:v>0.626</c:v>
                </c:pt>
                <c:pt idx="2">
                  <c:v>0.72699999999999998</c:v>
                </c:pt>
                <c:pt idx="3">
                  <c:v>0.66800000000000004</c:v>
                </c:pt>
                <c:pt idx="4">
                  <c:v>0.53400000000000003</c:v>
                </c:pt>
                <c:pt idx="5">
                  <c:v>0.70899999999999996</c:v>
                </c:pt>
              </c:numCache>
            </c:numRef>
          </c:val>
          <c:extLst>
            <c:ext xmlns:c16="http://schemas.microsoft.com/office/drawing/2014/chart" uri="{C3380CC4-5D6E-409C-BE32-E72D297353CC}">
              <c16:uniqueId val="{00000000-98CB-416D-9398-EC900E48A35B}"/>
            </c:ext>
          </c:extLst>
        </c:ser>
        <c:ser>
          <c:idx val="1"/>
          <c:order val="1"/>
          <c:tx>
            <c:strRef>
              <c:f>'[Good Degrees Charts.xlsx]Demographics'!$A$3</c:f>
              <c:strCache>
                <c:ptCount val="1"/>
                <c:pt idx="0">
                  <c:v>2016/17</c:v>
                </c:pt>
              </c:strCache>
            </c:strRef>
          </c:tx>
          <c:spPr>
            <a:solidFill>
              <a:schemeClr val="accent2"/>
            </a:solidFill>
            <a:ln>
              <a:noFill/>
            </a:ln>
            <a:effectLst/>
          </c:spPr>
          <c:invertIfNegative val="0"/>
          <c:cat>
            <c:strRef>
              <c:f>'[Good Degrees Charts.xlsx]Demographics'!$B$1:$G$1</c:f>
              <c:strCache>
                <c:ptCount val="6"/>
                <c:pt idx="0">
                  <c:v>Female</c:v>
                </c:pt>
                <c:pt idx="1">
                  <c:v>Male</c:v>
                </c:pt>
                <c:pt idx="2">
                  <c:v>Under 21</c:v>
                </c:pt>
                <c:pt idx="3">
                  <c:v>21 and Over</c:v>
                </c:pt>
                <c:pt idx="4">
                  <c:v>BAME</c:v>
                </c:pt>
                <c:pt idx="5">
                  <c:v>Non-BAME</c:v>
                </c:pt>
              </c:strCache>
            </c:strRef>
          </c:cat>
          <c:val>
            <c:numRef>
              <c:f>'[Good Degrees Charts.xlsx]Demographics'!$B$3:$G$3</c:f>
              <c:numCache>
                <c:formatCode>0.0%</c:formatCode>
                <c:ptCount val="6"/>
                <c:pt idx="0">
                  <c:v>0.75800000000000001</c:v>
                </c:pt>
                <c:pt idx="1">
                  <c:v>0.61699999999999999</c:v>
                </c:pt>
                <c:pt idx="2">
                  <c:v>0.73599999999999999</c:v>
                </c:pt>
                <c:pt idx="3">
                  <c:v>0.69699999999999995</c:v>
                </c:pt>
                <c:pt idx="4">
                  <c:v>0.55600000000000005</c:v>
                </c:pt>
                <c:pt idx="5">
                  <c:v>0.73</c:v>
                </c:pt>
              </c:numCache>
            </c:numRef>
          </c:val>
          <c:extLst>
            <c:ext xmlns:c16="http://schemas.microsoft.com/office/drawing/2014/chart" uri="{C3380CC4-5D6E-409C-BE32-E72D297353CC}">
              <c16:uniqueId val="{00000001-98CB-416D-9398-EC900E48A35B}"/>
            </c:ext>
          </c:extLst>
        </c:ser>
        <c:ser>
          <c:idx val="2"/>
          <c:order val="2"/>
          <c:tx>
            <c:strRef>
              <c:f>'[Good Degrees Charts.xlsx]Demographics'!$A$4</c:f>
              <c:strCache>
                <c:ptCount val="1"/>
                <c:pt idx="0">
                  <c:v>2017/18</c:v>
                </c:pt>
              </c:strCache>
            </c:strRef>
          </c:tx>
          <c:spPr>
            <a:solidFill>
              <a:schemeClr val="accent3"/>
            </a:solidFill>
            <a:ln>
              <a:noFill/>
            </a:ln>
            <a:effectLst/>
          </c:spPr>
          <c:invertIfNegative val="0"/>
          <c:cat>
            <c:strRef>
              <c:f>'[Good Degrees Charts.xlsx]Demographics'!$B$1:$G$1</c:f>
              <c:strCache>
                <c:ptCount val="6"/>
                <c:pt idx="0">
                  <c:v>Female</c:v>
                </c:pt>
                <c:pt idx="1">
                  <c:v>Male</c:v>
                </c:pt>
                <c:pt idx="2">
                  <c:v>Under 21</c:v>
                </c:pt>
                <c:pt idx="3">
                  <c:v>21 and Over</c:v>
                </c:pt>
                <c:pt idx="4">
                  <c:v>BAME</c:v>
                </c:pt>
                <c:pt idx="5">
                  <c:v>Non-BAME</c:v>
                </c:pt>
              </c:strCache>
            </c:strRef>
          </c:cat>
          <c:val>
            <c:numRef>
              <c:f>'[Good Degrees Charts.xlsx]Demographics'!$B$4:$G$4</c:f>
              <c:numCache>
                <c:formatCode>0.0%</c:formatCode>
                <c:ptCount val="6"/>
                <c:pt idx="0">
                  <c:v>0.76400000000000001</c:v>
                </c:pt>
                <c:pt idx="1">
                  <c:v>0.66600000000000004</c:v>
                </c:pt>
                <c:pt idx="2">
                  <c:v>0.78200000000000003</c:v>
                </c:pt>
                <c:pt idx="3">
                  <c:v>0.69699999999999995</c:v>
                </c:pt>
                <c:pt idx="4">
                  <c:v>0.60199999999999998</c:v>
                </c:pt>
                <c:pt idx="5">
                  <c:v>0.751</c:v>
                </c:pt>
              </c:numCache>
            </c:numRef>
          </c:val>
          <c:extLst>
            <c:ext xmlns:c16="http://schemas.microsoft.com/office/drawing/2014/chart" uri="{C3380CC4-5D6E-409C-BE32-E72D297353CC}">
              <c16:uniqueId val="{00000002-98CB-416D-9398-EC900E48A35B}"/>
            </c:ext>
          </c:extLst>
        </c:ser>
        <c:ser>
          <c:idx val="3"/>
          <c:order val="3"/>
          <c:tx>
            <c:strRef>
              <c:f>'[Good Degrees Charts.xlsx]Demographics'!$A$5</c:f>
              <c:strCache>
                <c:ptCount val="1"/>
                <c:pt idx="0">
                  <c:v>2018/19</c:v>
                </c:pt>
              </c:strCache>
            </c:strRef>
          </c:tx>
          <c:spPr>
            <a:solidFill>
              <a:schemeClr val="accent4"/>
            </a:solidFill>
            <a:ln>
              <a:noFill/>
            </a:ln>
            <a:effectLst/>
          </c:spPr>
          <c:invertIfNegative val="0"/>
          <c:cat>
            <c:strRef>
              <c:f>'[Good Degrees Charts.xlsx]Demographics'!$B$1:$G$1</c:f>
              <c:strCache>
                <c:ptCount val="6"/>
                <c:pt idx="0">
                  <c:v>Female</c:v>
                </c:pt>
                <c:pt idx="1">
                  <c:v>Male</c:v>
                </c:pt>
                <c:pt idx="2">
                  <c:v>Under 21</c:v>
                </c:pt>
                <c:pt idx="3">
                  <c:v>21 and Over</c:v>
                </c:pt>
                <c:pt idx="4">
                  <c:v>BAME</c:v>
                </c:pt>
                <c:pt idx="5">
                  <c:v>Non-BAME</c:v>
                </c:pt>
              </c:strCache>
            </c:strRef>
          </c:cat>
          <c:val>
            <c:numRef>
              <c:f>'[Good Degrees Charts.xlsx]Demographics'!$B$5:$G$5</c:f>
              <c:numCache>
                <c:formatCode>0.0%</c:formatCode>
                <c:ptCount val="6"/>
                <c:pt idx="0">
                  <c:v>0.73399999999999999</c:v>
                </c:pt>
                <c:pt idx="1">
                  <c:v>0.66</c:v>
                </c:pt>
                <c:pt idx="2">
                  <c:v>0.73699999999999999</c:v>
                </c:pt>
                <c:pt idx="3">
                  <c:v>0.69</c:v>
                </c:pt>
                <c:pt idx="4">
                  <c:v>0.65100000000000002</c:v>
                </c:pt>
                <c:pt idx="5">
                  <c:v>0.71699999999999997</c:v>
                </c:pt>
              </c:numCache>
            </c:numRef>
          </c:val>
          <c:extLst>
            <c:ext xmlns:c16="http://schemas.microsoft.com/office/drawing/2014/chart" uri="{C3380CC4-5D6E-409C-BE32-E72D297353CC}">
              <c16:uniqueId val="{00000003-98CB-416D-9398-EC900E48A35B}"/>
            </c:ext>
          </c:extLst>
        </c:ser>
        <c:ser>
          <c:idx val="4"/>
          <c:order val="4"/>
          <c:tx>
            <c:strRef>
              <c:f>'[Good Degrees Charts.xlsx]Demographics'!$A$6</c:f>
              <c:strCache>
                <c:ptCount val="1"/>
                <c:pt idx="0">
                  <c:v>2019/20</c:v>
                </c:pt>
              </c:strCache>
            </c:strRef>
          </c:tx>
          <c:spPr>
            <a:solidFill>
              <a:schemeClr val="accent5"/>
            </a:solidFill>
            <a:ln>
              <a:noFill/>
            </a:ln>
            <a:effectLst/>
          </c:spPr>
          <c:invertIfNegative val="0"/>
          <c:cat>
            <c:strRef>
              <c:f>'[Good Degrees Charts.xlsx]Demographics'!$B$1:$G$1</c:f>
              <c:strCache>
                <c:ptCount val="6"/>
                <c:pt idx="0">
                  <c:v>Female</c:v>
                </c:pt>
                <c:pt idx="1">
                  <c:v>Male</c:v>
                </c:pt>
                <c:pt idx="2">
                  <c:v>Under 21</c:v>
                </c:pt>
                <c:pt idx="3">
                  <c:v>21 and Over</c:v>
                </c:pt>
                <c:pt idx="4">
                  <c:v>BAME</c:v>
                </c:pt>
                <c:pt idx="5">
                  <c:v>Non-BAME</c:v>
                </c:pt>
              </c:strCache>
            </c:strRef>
          </c:cat>
          <c:val>
            <c:numRef>
              <c:f>'[Good Degrees Charts.xlsx]Demographics'!$B$6:$G$6</c:f>
              <c:numCache>
                <c:formatCode>0.0%</c:formatCode>
                <c:ptCount val="6"/>
                <c:pt idx="0">
                  <c:v>0.76700000000000002</c:v>
                </c:pt>
                <c:pt idx="1">
                  <c:v>0.72299999999999998</c:v>
                </c:pt>
                <c:pt idx="2">
                  <c:v>0.8</c:v>
                </c:pt>
                <c:pt idx="3">
                  <c:v>0.71699999999999997</c:v>
                </c:pt>
                <c:pt idx="4">
                  <c:v>0.6</c:v>
                </c:pt>
                <c:pt idx="5">
                  <c:v>0.76600000000000001</c:v>
                </c:pt>
              </c:numCache>
            </c:numRef>
          </c:val>
          <c:extLst>
            <c:ext xmlns:c16="http://schemas.microsoft.com/office/drawing/2014/chart" uri="{C3380CC4-5D6E-409C-BE32-E72D297353CC}">
              <c16:uniqueId val="{00000004-98CB-416D-9398-EC900E48A35B}"/>
            </c:ext>
          </c:extLst>
        </c:ser>
        <c:dLbls>
          <c:showLegendKey val="0"/>
          <c:showVal val="0"/>
          <c:showCatName val="0"/>
          <c:showSerName val="0"/>
          <c:showPercent val="0"/>
          <c:showBubbleSize val="0"/>
        </c:dLbls>
        <c:gapWidth val="219"/>
        <c:overlap val="-27"/>
        <c:axId val="1914358368"/>
        <c:axId val="42139728"/>
      </c:barChart>
      <c:catAx>
        <c:axId val="1914358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39728"/>
        <c:crosses val="autoZero"/>
        <c:auto val="1"/>
        <c:lblAlgn val="ctr"/>
        <c:lblOffset val="100"/>
        <c:noMultiLvlLbl val="0"/>
      </c:catAx>
      <c:valAx>
        <c:axId val="4213972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4358368"/>
        <c:crosses val="autoZero"/>
        <c:crossBetween val="between"/>
        <c:majorUnit val="0.2"/>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26D12-F5EB-472A-96E5-D1171FD25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2701</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Turjansky</dc:creator>
  <cp:keywords/>
  <dc:description/>
  <cp:lastModifiedBy>LAURA GLANCY</cp:lastModifiedBy>
  <cp:revision>25</cp:revision>
  <dcterms:created xsi:type="dcterms:W3CDTF">2021-06-26T19:23:00Z</dcterms:created>
  <dcterms:modified xsi:type="dcterms:W3CDTF">2022-10-04T14:09:00Z</dcterms:modified>
</cp:coreProperties>
</file>