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color="C00000" w:sz="24" w:space="0"/>
          <w:left w:val="single" w:color="C00000" w:sz="24" w:space="0"/>
          <w:bottom w:val="single" w:color="C00000" w:sz="24" w:space="0"/>
          <w:right w:val="single" w:color="C00000" w:sz="24" w:space="0"/>
          <w:insideH w:val="single" w:color="C00000" w:sz="24" w:space="0"/>
          <w:insideV w:val="single" w:color="C00000" w:sz="24" w:space="0"/>
        </w:tblBorders>
        <w:tblLook w:val="04A0" w:firstRow="1" w:lastRow="0" w:firstColumn="1" w:lastColumn="0" w:noHBand="0" w:noVBand="1"/>
      </w:tblPr>
      <w:tblGrid>
        <w:gridCol w:w="8966"/>
      </w:tblGrid>
      <w:tr w:rsidR="000D23AF" w:rsidTr="3D5F79BF" w14:paraId="3BF67753" w14:textId="77777777">
        <w:tc>
          <w:tcPr>
            <w:tcW w:w="8966" w:type="dxa"/>
            <w:tcMar/>
          </w:tcPr>
          <w:p w:rsidRPr="00290206" w:rsidR="009F79BA" w:rsidP="00290206" w:rsidRDefault="009F79BA" w14:paraId="31A880FE" w14:textId="70CCF250">
            <w:pPr>
              <w:pStyle w:val="Heading1"/>
              <w:rPr>
                <w:rFonts w:ascii="Arial" w:hAnsi="Arial" w:cs="Arial"/>
                <w:b/>
                <w:bCs/>
                <w:sz w:val="72"/>
                <w:szCs w:val="72"/>
              </w:rPr>
            </w:pPr>
            <w:r w:rsidRPr="00290206">
              <w:rPr>
                <w:rFonts w:ascii="Arial" w:hAnsi="Arial" w:cs="Arial"/>
                <w:b/>
                <w:bCs/>
                <w:sz w:val="72"/>
                <w:szCs w:val="72"/>
              </w:rPr>
              <w:t>The Academic Regulations</w:t>
            </w:r>
          </w:p>
          <w:p w:rsidRPr="00290206" w:rsidR="00795FB4" w:rsidP="00290206" w:rsidRDefault="009F79BA" w14:paraId="78028028" w14:textId="77777777">
            <w:pPr>
              <w:pStyle w:val="Heading1"/>
              <w:rPr>
                <w:rFonts w:ascii="Arial" w:hAnsi="Arial" w:cs="Arial"/>
                <w:b/>
                <w:bCs/>
                <w:sz w:val="72"/>
                <w:szCs w:val="72"/>
              </w:rPr>
            </w:pPr>
            <w:r w:rsidRPr="00290206">
              <w:rPr>
                <w:rFonts w:ascii="Arial" w:hAnsi="Arial" w:cs="Arial"/>
                <w:b/>
                <w:bCs/>
                <w:sz w:val="72"/>
                <w:szCs w:val="72"/>
              </w:rPr>
              <w:t xml:space="preserve">Appendix </w:t>
            </w:r>
            <w:r w:rsidRPr="00290206" w:rsidR="00795FB4">
              <w:rPr>
                <w:rFonts w:ascii="Arial" w:hAnsi="Arial" w:cs="Arial"/>
                <w:b/>
                <w:bCs/>
                <w:sz w:val="72"/>
                <w:szCs w:val="72"/>
              </w:rPr>
              <w:t>4</w:t>
            </w:r>
            <w:r w:rsidRPr="00290206" w:rsidR="00B660DD">
              <w:rPr>
                <w:rFonts w:ascii="Arial" w:hAnsi="Arial" w:cs="Arial"/>
                <w:b/>
                <w:bCs/>
                <w:sz w:val="72"/>
                <w:szCs w:val="72"/>
              </w:rPr>
              <w:t>:</w:t>
            </w:r>
            <w:r w:rsidRPr="00290206" w:rsidR="001174E6">
              <w:rPr>
                <w:rFonts w:ascii="Arial" w:hAnsi="Arial" w:cs="Arial"/>
                <w:b/>
                <w:bCs/>
                <w:sz w:val="72"/>
                <w:szCs w:val="72"/>
              </w:rPr>
              <w:t xml:space="preserve"> </w:t>
            </w:r>
          </w:p>
          <w:p w:rsidRPr="00290206" w:rsidR="009F79BA" w:rsidP="00290206" w:rsidRDefault="00795FB4" w14:paraId="28695CED" w14:textId="10E68ED7">
            <w:pPr>
              <w:pStyle w:val="Heading1"/>
              <w:rPr>
                <w:rFonts w:ascii="Arial" w:hAnsi="Arial" w:cs="Arial"/>
                <w:b/>
                <w:bCs/>
                <w:sz w:val="72"/>
                <w:szCs w:val="72"/>
              </w:rPr>
            </w:pPr>
            <w:r w:rsidRPr="00290206">
              <w:rPr>
                <w:rFonts w:ascii="Arial" w:hAnsi="Arial" w:cs="Arial"/>
                <w:b/>
                <w:bCs/>
                <w:sz w:val="72"/>
                <w:szCs w:val="72"/>
              </w:rPr>
              <w:t>Credit Use and Transfer Including Recognition of Prior Learning Policy (RPL)</w:t>
            </w:r>
          </w:p>
          <w:p w:rsidRPr="00C625B0" w:rsidR="000D23AF" w:rsidP="0002664D" w:rsidRDefault="000D23AF" w14:paraId="18136AD7" w14:textId="77777777">
            <w:pPr>
              <w:pStyle w:val="NoSpacing"/>
              <w:rPr>
                <w:rFonts w:ascii="Georgia" w:hAnsi="Georgia"/>
              </w:rPr>
            </w:pPr>
          </w:p>
        </w:tc>
      </w:tr>
      <w:tr w:rsidR="000D23AF" w:rsidTr="3D5F79BF" w14:paraId="0D6AF630" w14:textId="77777777">
        <w:tc>
          <w:tcPr>
            <w:tcW w:w="8966" w:type="dxa"/>
            <w:shd w:val="clear" w:color="auto" w:fill="C00000"/>
            <w:tcMar/>
          </w:tcPr>
          <w:p w:rsidR="000D23AF" w:rsidP="0002664D" w:rsidRDefault="000D23AF" w14:paraId="794C6DFC" w14:textId="77777777">
            <w:pPr>
              <w:pStyle w:val="NoSpacing"/>
            </w:pPr>
          </w:p>
          <w:p w:rsidRPr="00C625B0" w:rsidR="000D23AF" w:rsidP="3D5F79BF" w:rsidRDefault="00ED4C32" w14:paraId="04245DA7" w14:textId="57193688">
            <w:pPr>
              <w:pStyle w:val="NoSpacing"/>
              <w:rPr>
                <w:b w:val="1"/>
                <w:bCs w:val="1"/>
                <w:color w:val="FFFFFF" w:themeColor="background1"/>
              </w:rPr>
            </w:pPr>
            <w:r w:rsidRPr="3D5F79BF" w:rsidR="00ED4C32">
              <w:rPr>
                <w:b w:val="1"/>
                <w:bCs w:val="1"/>
                <w:color w:val="FFFFFF" w:themeColor="background1" w:themeTint="FF" w:themeShade="FF"/>
              </w:rPr>
              <w:t>202</w:t>
            </w:r>
            <w:r w:rsidRPr="3D5F79BF" w:rsidR="18AC5CCA">
              <w:rPr>
                <w:b w:val="1"/>
                <w:bCs w:val="1"/>
                <w:color w:val="FFFFFF" w:themeColor="background1" w:themeTint="FF" w:themeShade="FF"/>
              </w:rPr>
              <w:t>4</w:t>
            </w:r>
            <w:r w:rsidRPr="3D5F79BF" w:rsidR="00ED4C32">
              <w:rPr>
                <w:b w:val="1"/>
                <w:bCs w:val="1"/>
                <w:color w:val="FFFFFF" w:themeColor="background1" w:themeTint="FF" w:themeShade="FF"/>
              </w:rPr>
              <w:t>-202</w:t>
            </w:r>
            <w:r w:rsidRPr="3D5F79BF" w:rsidR="7F0AE2A4">
              <w:rPr>
                <w:b w:val="1"/>
                <w:bCs w:val="1"/>
                <w:color w:val="FFFFFF" w:themeColor="background1" w:themeTint="FF" w:themeShade="FF"/>
              </w:rPr>
              <w:t>5</w:t>
            </w:r>
          </w:p>
          <w:p w:rsidR="000D23AF" w:rsidP="0002664D" w:rsidRDefault="000D23AF" w14:paraId="022981F3" w14:textId="77777777">
            <w:pPr>
              <w:pStyle w:val="NoSpacing"/>
            </w:pPr>
          </w:p>
        </w:tc>
      </w:tr>
    </w:tbl>
    <w:p w:rsidR="00C625B0" w:rsidP="00722685" w:rsidRDefault="00C625B0" w14:paraId="5B7337AD" w14:textId="77777777">
      <w:pPr>
        <w:pStyle w:val="NoSpacing"/>
      </w:pPr>
    </w:p>
    <w:p w:rsidR="00C625B0" w:rsidP="00722685" w:rsidRDefault="00C625B0" w14:paraId="6E2BC714" w14:textId="77777777">
      <w:pPr>
        <w:pStyle w:val="NoSpacing"/>
      </w:pPr>
    </w:p>
    <w:p w:rsidR="00C625B0" w:rsidP="00C625B0" w:rsidRDefault="00C625B0" w14:paraId="64F65CB7" w14:textId="77777777">
      <w:pPr>
        <w:pStyle w:val="NoSpacing"/>
        <w:jc w:val="right"/>
      </w:pPr>
    </w:p>
    <w:p w:rsidRPr="00290206" w:rsidR="009218D3" w:rsidP="00290206" w:rsidRDefault="006A5B50" w14:paraId="55331CA6" w14:textId="2E9E1788">
      <w:pPr>
        <w:pStyle w:val="Heading1"/>
        <w:rPr>
          <w:rFonts w:ascii="Arial" w:hAnsi="Arial" w:cs="Arial"/>
          <w:b/>
          <w:bCs/>
          <w:color w:val="000000" w:themeColor="text1"/>
          <w:sz w:val="28"/>
          <w:szCs w:val="28"/>
        </w:rPr>
      </w:pPr>
      <w:r>
        <w:br w:type="page"/>
      </w:r>
      <w:r w:rsidRPr="00290206" w:rsidR="009218D3">
        <w:rPr>
          <w:rFonts w:ascii="Arial" w:hAnsi="Arial" w:cs="Arial"/>
          <w:b/>
          <w:bCs/>
          <w:color w:val="000000" w:themeColor="text1"/>
          <w:sz w:val="28"/>
          <w:szCs w:val="28"/>
        </w:rPr>
        <w:t>The Academic Regulations</w:t>
      </w:r>
    </w:p>
    <w:p w:rsidRPr="00290206" w:rsidR="009218D3" w:rsidP="00290206" w:rsidRDefault="009218D3" w14:paraId="10ED44C3" w14:textId="6F4BE121">
      <w:pPr>
        <w:pStyle w:val="Heading1"/>
        <w:rPr>
          <w:rFonts w:ascii="Arial" w:hAnsi="Arial" w:cs="Arial"/>
          <w:b/>
          <w:bCs/>
          <w:color w:val="000000" w:themeColor="text1"/>
          <w:sz w:val="28"/>
          <w:szCs w:val="28"/>
        </w:rPr>
      </w:pPr>
      <w:r w:rsidRPr="00290206">
        <w:rPr>
          <w:rFonts w:ascii="Arial" w:hAnsi="Arial" w:cs="Arial"/>
          <w:b/>
          <w:bCs/>
          <w:color w:val="000000" w:themeColor="text1"/>
          <w:sz w:val="28"/>
          <w:szCs w:val="28"/>
        </w:rPr>
        <w:t xml:space="preserve">Appendix </w:t>
      </w:r>
      <w:r w:rsidRPr="00290206" w:rsidR="00795FB4">
        <w:rPr>
          <w:rFonts w:ascii="Arial" w:hAnsi="Arial" w:cs="Arial"/>
          <w:b/>
          <w:bCs/>
          <w:color w:val="000000" w:themeColor="text1"/>
          <w:sz w:val="28"/>
          <w:szCs w:val="28"/>
        </w:rPr>
        <w:t>4</w:t>
      </w:r>
      <w:r w:rsidRPr="00290206">
        <w:rPr>
          <w:rFonts w:ascii="Arial" w:hAnsi="Arial" w:cs="Arial"/>
          <w:b/>
          <w:bCs/>
          <w:color w:val="000000" w:themeColor="text1"/>
          <w:sz w:val="28"/>
          <w:szCs w:val="28"/>
        </w:rPr>
        <w:t xml:space="preserve">: </w:t>
      </w:r>
      <w:r w:rsidRPr="00290206" w:rsidR="00795FB4">
        <w:rPr>
          <w:rFonts w:ascii="Arial" w:hAnsi="Arial" w:cs="Arial"/>
          <w:b/>
          <w:bCs/>
          <w:color w:val="000000" w:themeColor="text1"/>
          <w:sz w:val="28"/>
          <w:szCs w:val="28"/>
        </w:rPr>
        <w:t>Credit Use and Transfer Including Recognition of Prior Learning Policy (RPL)</w:t>
      </w:r>
    </w:p>
    <w:sdt>
      <w:sdtPr>
        <w:id w:val="1745677943"/>
        <w:docPartObj>
          <w:docPartGallery w:val="Table of Contents"/>
          <w:docPartUnique/>
        </w:docPartObj>
        <w:rPr>
          <w:rFonts w:ascii="Arial" w:hAnsi="Arial" w:eastAsia="Calibri" w:cs="" w:eastAsiaTheme="minorAscii" w:cstheme="minorBidi"/>
          <w:color w:val="auto"/>
          <w:sz w:val="24"/>
          <w:szCs w:val="24"/>
          <w:lang w:val="en-GB"/>
        </w:rPr>
      </w:sdtPr>
      <w:sdtEndPr>
        <w:rPr>
          <w:rFonts w:ascii="Arial" w:hAnsi="Arial" w:eastAsia="Calibri" w:cs="" w:eastAsiaTheme="minorAscii" w:cstheme="minorBidi"/>
          <w:b w:val="1"/>
          <w:bCs w:val="1"/>
          <w:noProof/>
          <w:color w:val="auto"/>
          <w:sz w:val="24"/>
          <w:szCs w:val="24"/>
          <w:lang w:val="en-GB"/>
        </w:rPr>
      </w:sdtEndPr>
      <w:sdtContent>
        <w:p w:rsidR="00351BCA" w:rsidRDefault="00351BCA" w14:paraId="4601BF34" w14:textId="77777777">
          <w:pPr>
            <w:pStyle w:val="TOCHeading"/>
          </w:pPr>
          <w:r>
            <w:t>Contents</w:t>
          </w:r>
        </w:p>
        <w:p w:rsidR="00B8301B" w:rsidRDefault="00351BCA" w14:paraId="48B30D8A" w14:textId="3C9CAD42">
          <w:pPr>
            <w:pStyle w:val="TOC1"/>
            <w:tabs>
              <w:tab w:val="right" w:leader="dot" w:pos="9016"/>
            </w:tabs>
            <w:rPr>
              <w:rFonts w:asciiTheme="minorHAnsi" w:hAnsiTheme="minorHAnsi" w:eastAsiaTheme="minorEastAsia"/>
              <w:noProof/>
              <w:sz w:val="22"/>
              <w:lang w:eastAsia="en-GB"/>
            </w:rPr>
          </w:pPr>
          <w:r>
            <w:fldChar w:fldCharType="begin"/>
          </w:r>
          <w:r>
            <w:instrText xml:space="preserve"> TOC \o "1-3" \h \z \u </w:instrText>
          </w:r>
          <w:r>
            <w:fldChar w:fldCharType="separate"/>
          </w:r>
          <w:hyperlink w:history="1" w:anchor="_Toc15387148">
            <w:r w:rsidRPr="003E323A" w:rsidR="00B8301B">
              <w:rPr>
                <w:rStyle w:val="Hyperlink"/>
                <w:noProof/>
              </w:rPr>
              <w:t>Summary</w:t>
            </w:r>
            <w:r w:rsidR="00B8301B">
              <w:rPr>
                <w:noProof/>
                <w:webHidden/>
              </w:rPr>
              <w:tab/>
            </w:r>
            <w:r w:rsidR="00B8301B">
              <w:rPr>
                <w:noProof/>
                <w:webHidden/>
              </w:rPr>
              <w:fldChar w:fldCharType="begin"/>
            </w:r>
            <w:r w:rsidR="00B8301B">
              <w:rPr>
                <w:noProof/>
                <w:webHidden/>
              </w:rPr>
              <w:instrText xml:space="preserve"> PAGEREF _Toc15387148 \h </w:instrText>
            </w:r>
            <w:r w:rsidR="00B8301B">
              <w:rPr>
                <w:noProof/>
                <w:webHidden/>
              </w:rPr>
            </w:r>
            <w:r w:rsidR="00B8301B">
              <w:rPr>
                <w:noProof/>
                <w:webHidden/>
              </w:rPr>
              <w:fldChar w:fldCharType="separate"/>
            </w:r>
            <w:r w:rsidR="0044461E">
              <w:rPr>
                <w:noProof/>
                <w:webHidden/>
              </w:rPr>
              <w:t>3</w:t>
            </w:r>
            <w:r w:rsidR="00B8301B">
              <w:rPr>
                <w:noProof/>
                <w:webHidden/>
              </w:rPr>
              <w:fldChar w:fldCharType="end"/>
            </w:r>
          </w:hyperlink>
        </w:p>
        <w:p w:rsidR="00B8301B" w:rsidRDefault="00B041FB" w14:paraId="181B3AFB" w14:textId="26E50B80">
          <w:pPr>
            <w:pStyle w:val="TOC1"/>
            <w:tabs>
              <w:tab w:val="right" w:leader="dot" w:pos="9016"/>
            </w:tabs>
            <w:rPr>
              <w:rFonts w:asciiTheme="minorHAnsi" w:hAnsiTheme="minorHAnsi" w:eastAsiaTheme="minorEastAsia"/>
              <w:noProof/>
              <w:sz w:val="22"/>
              <w:lang w:eastAsia="en-GB"/>
            </w:rPr>
          </w:pPr>
          <w:hyperlink w:history="1" w:anchor="_Toc15387149">
            <w:r w:rsidRPr="003E323A" w:rsidR="00B8301B">
              <w:rPr>
                <w:rStyle w:val="Hyperlink"/>
                <w:noProof/>
              </w:rPr>
              <w:t>Glossary of Terms</w:t>
            </w:r>
            <w:r w:rsidR="00B8301B">
              <w:rPr>
                <w:noProof/>
                <w:webHidden/>
              </w:rPr>
              <w:tab/>
            </w:r>
            <w:r w:rsidR="00B8301B">
              <w:rPr>
                <w:noProof/>
                <w:webHidden/>
              </w:rPr>
              <w:fldChar w:fldCharType="begin"/>
            </w:r>
            <w:r w:rsidR="00B8301B">
              <w:rPr>
                <w:noProof/>
                <w:webHidden/>
              </w:rPr>
              <w:instrText xml:space="preserve"> PAGEREF _Toc15387149 \h </w:instrText>
            </w:r>
            <w:r w:rsidR="00B8301B">
              <w:rPr>
                <w:noProof/>
                <w:webHidden/>
              </w:rPr>
            </w:r>
            <w:r w:rsidR="00B8301B">
              <w:rPr>
                <w:noProof/>
                <w:webHidden/>
              </w:rPr>
              <w:fldChar w:fldCharType="separate"/>
            </w:r>
            <w:r w:rsidR="0044461E">
              <w:rPr>
                <w:noProof/>
                <w:webHidden/>
              </w:rPr>
              <w:t>3</w:t>
            </w:r>
            <w:r w:rsidR="00B8301B">
              <w:rPr>
                <w:noProof/>
                <w:webHidden/>
              </w:rPr>
              <w:fldChar w:fldCharType="end"/>
            </w:r>
          </w:hyperlink>
        </w:p>
        <w:p w:rsidR="00B8301B" w:rsidRDefault="00B041FB" w14:paraId="67B26C79" w14:textId="0966A564">
          <w:pPr>
            <w:pStyle w:val="TOC1"/>
            <w:tabs>
              <w:tab w:val="right" w:leader="dot" w:pos="9016"/>
            </w:tabs>
            <w:rPr>
              <w:rFonts w:asciiTheme="minorHAnsi" w:hAnsiTheme="minorHAnsi" w:eastAsiaTheme="minorEastAsia"/>
              <w:noProof/>
              <w:sz w:val="22"/>
              <w:lang w:eastAsia="en-GB"/>
            </w:rPr>
          </w:pPr>
          <w:hyperlink w:history="1" w:anchor="_Toc15387150">
            <w:r w:rsidRPr="003E323A" w:rsidR="00B8301B">
              <w:rPr>
                <w:rStyle w:val="Hyperlink"/>
                <w:noProof/>
              </w:rPr>
              <w:t>Purpose</w:t>
            </w:r>
            <w:r w:rsidR="00B8301B">
              <w:rPr>
                <w:noProof/>
                <w:webHidden/>
              </w:rPr>
              <w:tab/>
            </w:r>
            <w:r w:rsidR="00B8301B">
              <w:rPr>
                <w:noProof/>
                <w:webHidden/>
              </w:rPr>
              <w:fldChar w:fldCharType="begin"/>
            </w:r>
            <w:r w:rsidR="00B8301B">
              <w:rPr>
                <w:noProof/>
                <w:webHidden/>
              </w:rPr>
              <w:instrText xml:space="preserve"> PAGEREF _Toc15387150 \h </w:instrText>
            </w:r>
            <w:r w:rsidR="00B8301B">
              <w:rPr>
                <w:noProof/>
                <w:webHidden/>
              </w:rPr>
            </w:r>
            <w:r w:rsidR="00B8301B">
              <w:rPr>
                <w:noProof/>
                <w:webHidden/>
              </w:rPr>
              <w:fldChar w:fldCharType="separate"/>
            </w:r>
            <w:r w:rsidR="0044461E">
              <w:rPr>
                <w:noProof/>
                <w:webHidden/>
              </w:rPr>
              <w:t>3</w:t>
            </w:r>
            <w:r w:rsidR="00B8301B">
              <w:rPr>
                <w:noProof/>
                <w:webHidden/>
              </w:rPr>
              <w:fldChar w:fldCharType="end"/>
            </w:r>
          </w:hyperlink>
        </w:p>
        <w:p w:rsidR="00B8301B" w:rsidRDefault="00B041FB" w14:paraId="42F84E20" w14:textId="56F87559">
          <w:pPr>
            <w:pStyle w:val="TOC1"/>
            <w:tabs>
              <w:tab w:val="right" w:leader="dot" w:pos="9016"/>
            </w:tabs>
            <w:rPr>
              <w:rFonts w:asciiTheme="minorHAnsi" w:hAnsiTheme="minorHAnsi" w:eastAsiaTheme="minorEastAsia"/>
              <w:noProof/>
              <w:sz w:val="22"/>
              <w:lang w:eastAsia="en-GB"/>
            </w:rPr>
          </w:pPr>
          <w:hyperlink w:history="1" w:anchor="_Toc15387151">
            <w:r w:rsidRPr="003E323A" w:rsidR="00B8301B">
              <w:rPr>
                <w:rStyle w:val="Hyperlink"/>
                <w:noProof/>
              </w:rPr>
              <w:t>Regulations</w:t>
            </w:r>
            <w:r w:rsidR="00B8301B">
              <w:rPr>
                <w:noProof/>
                <w:webHidden/>
              </w:rPr>
              <w:tab/>
            </w:r>
            <w:r w:rsidR="00B8301B">
              <w:rPr>
                <w:noProof/>
                <w:webHidden/>
              </w:rPr>
              <w:fldChar w:fldCharType="begin"/>
            </w:r>
            <w:r w:rsidR="00B8301B">
              <w:rPr>
                <w:noProof/>
                <w:webHidden/>
              </w:rPr>
              <w:instrText xml:space="preserve"> PAGEREF _Toc15387151 \h </w:instrText>
            </w:r>
            <w:r w:rsidR="00B8301B">
              <w:rPr>
                <w:noProof/>
                <w:webHidden/>
              </w:rPr>
            </w:r>
            <w:r w:rsidR="00B8301B">
              <w:rPr>
                <w:noProof/>
                <w:webHidden/>
              </w:rPr>
              <w:fldChar w:fldCharType="separate"/>
            </w:r>
            <w:r w:rsidR="0044461E">
              <w:rPr>
                <w:noProof/>
                <w:webHidden/>
              </w:rPr>
              <w:t>3</w:t>
            </w:r>
            <w:r w:rsidR="00B8301B">
              <w:rPr>
                <w:noProof/>
                <w:webHidden/>
              </w:rPr>
              <w:fldChar w:fldCharType="end"/>
            </w:r>
          </w:hyperlink>
        </w:p>
        <w:p w:rsidR="00B8301B" w:rsidRDefault="00B041FB" w14:paraId="4AD9F83E" w14:textId="5BA41A34">
          <w:pPr>
            <w:pStyle w:val="TOC2"/>
            <w:tabs>
              <w:tab w:val="right" w:leader="dot" w:pos="9016"/>
            </w:tabs>
            <w:rPr>
              <w:rFonts w:asciiTheme="minorHAnsi" w:hAnsiTheme="minorHAnsi" w:eastAsiaTheme="minorEastAsia"/>
              <w:noProof/>
              <w:sz w:val="22"/>
              <w:lang w:eastAsia="en-GB"/>
            </w:rPr>
          </w:pPr>
          <w:hyperlink w:history="1" w:anchor="_Toc15387152">
            <w:r w:rsidRPr="003E323A" w:rsidR="00B8301B">
              <w:rPr>
                <w:rStyle w:val="Hyperlink"/>
                <w:noProof/>
              </w:rPr>
              <w:t>Use of academic credit</w:t>
            </w:r>
            <w:r w:rsidR="00B8301B">
              <w:rPr>
                <w:noProof/>
                <w:webHidden/>
              </w:rPr>
              <w:tab/>
            </w:r>
            <w:r w:rsidR="00B8301B">
              <w:rPr>
                <w:noProof/>
                <w:webHidden/>
              </w:rPr>
              <w:fldChar w:fldCharType="begin"/>
            </w:r>
            <w:r w:rsidR="00B8301B">
              <w:rPr>
                <w:noProof/>
                <w:webHidden/>
              </w:rPr>
              <w:instrText xml:space="preserve"> PAGEREF _Toc15387152 \h </w:instrText>
            </w:r>
            <w:r w:rsidR="00B8301B">
              <w:rPr>
                <w:noProof/>
                <w:webHidden/>
              </w:rPr>
            </w:r>
            <w:r w:rsidR="00B8301B">
              <w:rPr>
                <w:noProof/>
                <w:webHidden/>
              </w:rPr>
              <w:fldChar w:fldCharType="separate"/>
            </w:r>
            <w:r w:rsidR="0044461E">
              <w:rPr>
                <w:noProof/>
                <w:webHidden/>
              </w:rPr>
              <w:t>3</w:t>
            </w:r>
            <w:r w:rsidR="00B8301B">
              <w:rPr>
                <w:noProof/>
                <w:webHidden/>
              </w:rPr>
              <w:fldChar w:fldCharType="end"/>
            </w:r>
          </w:hyperlink>
        </w:p>
        <w:p w:rsidR="00B8301B" w:rsidRDefault="00B041FB" w14:paraId="27153B77" w14:textId="0515FE12">
          <w:pPr>
            <w:pStyle w:val="TOC2"/>
            <w:tabs>
              <w:tab w:val="right" w:leader="dot" w:pos="9016"/>
            </w:tabs>
            <w:rPr>
              <w:rFonts w:asciiTheme="minorHAnsi" w:hAnsiTheme="minorHAnsi" w:eastAsiaTheme="minorEastAsia"/>
              <w:noProof/>
              <w:sz w:val="22"/>
              <w:lang w:eastAsia="en-GB"/>
            </w:rPr>
          </w:pPr>
          <w:hyperlink w:history="1" w:anchor="_Toc15387153">
            <w:r w:rsidRPr="003E323A" w:rsidR="00B8301B">
              <w:rPr>
                <w:rStyle w:val="Hyperlink"/>
                <w:noProof/>
              </w:rPr>
              <w:t>Use and re-use of credit</w:t>
            </w:r>
            <w:r w:rsidR="00B8301B">
              <w:rPr>
                <w:noProof/>
                <w:webHidden/>
              </w:rPr>
              <w:tab/>
            </w:r>
            <w:r w:rsidR="00B8301B">
              <w:rPr>
                <w:noProof/>
                <w:webHidden/>
              </w:rPr>
              <w:fldChar w:fldCharType="begin"/>
            </w:r>
            <w:r w:rsidR="00B8301B">
              <w:rPr>
                <w:noProof/>
                <w:webHidden/>
              </w:rPr>
              <w:instrText xml:space="preserve"> PAGEREF _Toc15387153 \h </w:instrText>
            </w:r>
            <w:r w:rsidR="00B8301B">
              <w:rPr>
                <w:noProof/>
                <w:webHidden/>
              </w:rPr>
            </w:r>
            <w:r w:rsidR="00B8301B">
              <w:rPr>
                <w:noProof/>
                <w:webHidden/>
              </w:rPr>
              <w:fldChar w:fldCharType="separate"/>
            </w:r>
            <w:r w:rsidR="0044461E">
              <w:rPr>
                <w:noProof/>
                <w:webHidden/>
              </w:rPr>
              <w:t>4</w:t>
            </w:r>
            <w:r w:rsidR="00B8301B">
              <w:rPr>
                <w:noProof/>
                <w:webHidden/>
              </w:rPr>
              <w:fldChar w:fldCharType="end"/>
            </w:r>
          </w:hyperlink>
        </w:p>
        <w:p w:rsidR="00B8301B" w:rsidRDefault="00B041FB" w14:paraId="74970F02" w14:textId="7817CA27">
          <w:pPr>
            <w:pStyle w:val="TOC2"/>
            <w:tabs>
              <w:tab w:val="right" w:leader="dot" w:pos="9016"/>
            </w:tabs>
            <w:rPr>
              <w:rFonts w:asciiTheme="minorHAnsi" w:hAnsiTheme="minorHAnsi" w:eastAsiaTheme="minorEastAsia"/>
              <w:noProof/>
              <w:sz w:val="22"/>
              <w:lang w:eastAsia="en-GB"/>
            </w:rPr>
          </w:pPr>
          <w:hyperlink w:history="1" w:anchor="_Toc15387154">
            <w:r w:rsidRPr="003E323A" w:rsidR="00B8301B">
              <w:rPr>
                <w:rStyle w:val="Hyperlink"/>
                <w:noProof/>
              </w:rPr>
              <w:t>Credit transfer and the Recognition of Prior Learning</w:t>
            </w:r>
            <w:r w:rsidR="00B8301B">
              <w:rPr>
                <w:noProof/>
                <w:webHidden/>
              </w:rPr>
              <w:tab/>
            </w:r>
            <w:r w:rsidR="00B8301B">
              <w:rPr>
                <w:noProof/>
                <w:webHidden/>
              </w:rPr>
              <w:fldChar w:fldCharType="begin"/>
            </w:r>
            <w:r w:rsidR="00B8301B">
              <w:rPr>
                <w:noProof/>
                <w:webHidden/>
              </w:rPr>
              <w:instrText xml:space="preserve"> PAGEREF _Toc15387154 \h </w:instrText>
            </w:r>
            <w:r w:rsidR="00B8301B">
              <w:rPr>
                <w:noProof/>
                <w:webHidden/>
              </w:rPr>
            </w:r>
            <w:r w:rsidR="00B8301B">
              <w:rPr>
                <w:noProof/>
                <w:webHidden/>
              </w:rPr>
              <w:fldChar w:fldCharType="separate"/>
            </w:r>
            <w:r w:rsidR="0044461E">
              <w:rPr>
                <w:noProof/>
                <w:webHidden/>
              </w:rPr>
              <w:t>4</w:t>
            </w:r>
            <w:r w:rsidR="00B8301B">
              <w:rPr>
                <w:noProof/>
                <w:webHidden/>
              </w:rPr>
              <w:fldChar w:fldCharType="end"/>
            </w:r>
          </w:hyperlink>
        </w:p>
        <w:p w:rsidR="00B8301B" w:rsidRDefault="00B041FB" w14:paraId="6227A434" w14:textId="4D65E52C">
          <w:pPr>
            <w:pStyle w:val="TOC2"/>
            <w:tabs>
              <w:tab w:val="right" w:leader="dot" w:pos="9016"/>
            </w:tabs>
            <w:rPr>
              <w:rFonts w:asciiTheme="minorHAnsi" w:hAnsiTheme="minorHAnsi" w:eastAsiaTheme="minorEastAsia"/>
              <w:noProof/>
              <w:sz w:val="22"/>
              <w:lang w:eastAsia="en-GB"/>
            </w:rPr>
          </w:pPr>
          <w:hyperlink w:history="1" w:anchor="_Toc15387155">
            <w:r w:rsidRPr="003E323A" w:rsidR="00B8301B">
              <w:rPr>
                <w:rStyle w:val="Hyperlink"/>
                <w:noProof/>
              </w:rPr>
              <w:t>EDGE HILL UNIVERSITY POLICY ON RECOGNITION OF PRIOR LEARNING</w:t>
            </w:r>
            <w:r w:rsidR="00B8301B">
              <w:rPr>
                <w:noProof/>
                <w:webHidden/>
              </w:rPr>
              <w:tab/>
            </w:r>
            <w:r w:rsidR="00B8301B">
              <w:rPr>
                <w:noProof/>
                <w:webHidden/>
              </w:rPr>
              <w:fldChar w:fldCharType="begin"/>
            </w:r>
            <w:r w:rsidR="00B8301B">
              <w:rPr>
                <w:noProof/>
                <w:webHidden/>
              </w:rPr>
              <w:instrText xml:space="preserve"> PAGEREF _Toc15387155 \h </w:instrText>
            </w:r>
            <w:r w:rsidR="00B8301B">
              <w:rPr>
                <w:noProof/>
                <w:webHidden/>
              </w:rPr>
            </w:r>
            <w:r w:rsidR="00B8301B">
              <w:rPr>
                <w:noProof/>
                <w:webHidden/>
              </w:rPr>
              <w:fldChar w:fldCharType="separate"/>
            </w:r>
            <w:r w:rsidR="0044461E">
              <w:rPr>
                <w:noProof/>
                <w:webHidden/>
              </w:rPr>
              <w:t>5</w:t>
            </w:r>
            <w:r w:rsidR="00B8301B">
              <w:rPr>
                <w:noProof/>
                <w:webHidden/>
              </w:rPr>
              <w:fldChar w:fldCharType="end"/>
            </w:r>
          </w:hyperlink>
        </w:p>
        <w:p w:rsidR="00B8301B" w:rsidRDefault="00B041FB" w14:paraId="25D34F0F" w14:textId="2F8719A4">
          <w:pPr>
            <w:pStyle w:val="TOC2"/>
            <w:tabs>
              <w:tab w:val="right" w:leader="dot" w:pos="9016"/>
            </w:tabs>
            <w:rPr>
              <w:rFonts w:asciiTheme="minorHAnsi" w:hAnsiTheme="minorHAnsi" w:eastAsiaTheme="minorEastAsia"/>
              <w:noProof/>
              <w:sz w:val="22"/>
              <w:lang w:eastAsia="en-GB"/>
            </w:rPr>
          </w:pPr>
          <w:hyperlink w:history="1" w:anchor="_Toc15387156">
            <w:r w:rsidRPr="003E323A" w:rsidR="00B8301B">
              <w:rPr>
                <w:rStyle w:val="Hyperlink"/>
                <w:noProof/>
              </w:rPr>
              <w:t>General principles</w:t>
            </w:r>
            <w:r w:rsidR="00B8301B">
              <w:rPr>
                <w:noProof/>
                <w:webHidden/>
              </w:rPr>
              <w:tab/>
            </w:r>
            <w:r w:rsidR="00B8301B">
              <w:rPr>
                <w:noProof/>
                <w:webHidden/>
              </w:rPr>
              <w:fldChar w:fldCharType="begin"/>
            </w:r>
            <w:r w:rsidR="00B8301B">
              <w:rPr>
                <w:noProof/>
                <w:webHidden/>
              </w:rPr>
              <w:instrText xml:space="preserve"> PAGEREF _Toc15387156 \h </w:instrText>
            </w:r>
            <w:r w:rsidR="00B8301B">
              <w:rPr>
                <w:noProof/>
                <w:webHidden/>
              </w:rPr>
            </w:r>
            <w:r w:rsidR="00B8301B">
              <w:rPr>
                <w:noProof/>
                <w:webHidden/>
              </w:rPr>
              <w:fldChar w:fldCharType="separate"/>
            </w:r>
            <w:r w:rsidR="0044461E">
              <w:rPr>
                <w:noProof/>
                <w:webHidden/>
              </w:rPr>
              <w:t>5</w:t>
            </w:r>
            <w:r w:rsidR="00B8301B">
              <w:rPr>
                <w:noProof/>
                <w:webHidden/>
              </w:rPr>
              <w:fldChar w:fldCharType="end"/>
            </w:r>
          </w:hyperlink>
        </w:p>
        <w:p w:rsidR="00B8301B" w:rsidRDefault="00B041FB" w14:paraId="368CC911" w14:textId="3C2BABE1">
          <w:pPr>
            <w:pStyle w:val="TOC2"/>
            <w:tabs>
              <w:tab w:val="right" w:leader="dot" w:pos="9016"/>
            </w:tabs>
            <w:rPr>
              <w:rFonts w:asciiTheme="minorHAnsi" w:hAnsiTheme="minorHAnsi" w:eastAsiaTheme="minorEastAsia"/>
              <w:noProof/>
              <w:sz w:val="22"/>
              <w:lang w:eastAsia="en-GB"/>
            </w:rPr>
          </w:pPr>
          <w:hyperlink w:history="1" w:anchor="_Toc15387157">
            <w:r w:rsidRPr="003E323A" w:rsidR="00B8301B">
              <w:rPr>
                <w:rStyle w:val="Hyperlink"/>
                <w:noProof/>
              </w:rPr>
              <w:t>Operation</w:t>
            </w:r>
            <w:r w:rsidR="00B8301B">
              <w:rPr>
                <w:noProof/>
                <w:webHidden/>
              </w:rPr>
              <w:tab/>
            </w:r>
            <w:r w:rsidR="00B8301B">
              <w:rPr>
                <w:noProof/>
                <w:webHidden/>
              </w:rPr>
              <w:fldChar w:fldCharType="begin"/>
            </w:r>
            <w:r w:rsidR="00B8301B">
              <w:rPr>
                <w:noProof/>
                <w:webHidden/>
              </w:rPr>
              <w:instrText xml:space="preserve"> PAGEREF _Toc15387157 \h </w:instrText>
            </w:r>
            <w:r w:rsidR="00B8301B">
              <w:rPr>
                <w:noProof/>
                <w:webHidden/>
              </w:rPr>
            </w:r>
            <w:r w:rsidR="00B8301B">
              <w:rPr>
                <w:noProof/>
                <w:webHidden/>
              </w:rPr>
              <w:fldChar w:fldCharType="separate"/>
            </w:r>
            <w:r w:rsidR="0044461E">
              <w:rPr>
                <w:noProof/>
                <w:webHidden/>
              </w:rPr>
              <w:t>7</w:t>
            </w:r>
            <w:r w:rsidR="00B8301B">
              <w:rPr>
                <w:noProof/>
                <w:webHidden/>
              </w:rPr>
              <w:fldChar w:fldCharType="end"/>
            </w:r>
          </w:hyperlink>
        </w:p>
        <w:p w:rsidR="00B8301B" w:rsidRDefault="00B041FB" w14:paraId="520A6A1D" w14:textId="73EB3D25">
          <w:pPr>
            <w:pStyle w:val="TOC2"/>
            <w:tabs>
              <w:tab w:val="right" w:leader="dot" w:pos="9016"/>
            </w:tabs>
            <w:rPr>
              <w:rFonts w:asciiTheme="minorHAnsi" w:hAnsiTheme="minorHAnsi" w:eastAsiaTheme="minorEastAsia"/>
              <w:noProof/>
              <w:sz w:val="22"/>
              <w:lang w:eastAsia="en-GB"/>
            </w:rPr>
          </w:pPr>
          <w:hyperlink w:history="1" w:anchor="_Toc15387158">
            <w:r w:rsidRPr="003E323A" w:rsidR="00B8301B">
              <w:rPr>
                <w:rStyle w:val="Hyperlink"/>
                <w:noProof/>
              </w:rPr>
              <w:t>Complaints and Appeals</w:t>
            </w:r>
            <w:r w:rsidR="00B8301B">
              <w:rPr>
                <w:noProof/>
                <w:webHidden/>
              </w:rPr>
              <w:tab/>
            </w:r>
            <w:r w:rsidR="00B8301B">
              <w:rPr>
                <w:noProof/>
                <w:webHidden/>
              </w:rPr>
              <w:fldChar w:fldCharType="begin"/>
            </w:r>
            <w:r w:rsidR="00B8301B">
              <w:rPr>
                <w:noProof/>
                <w:webHidden/>
              </w:rPr>
              <w:instrText xml:space="preserve"> PAGEREF _Toc15387158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rsidR="00B8301B" w:rsidRDefault="00B041FB" w14:paraId="7495CBAD" w14:textId="60A81912">
          <w:pPr>
            <w:pStyle w:val="TOC1"/>
            <w:tabs>
              <w:tab w:val="right" w:leader="dot" w:pos="9016"/>
            </w:tabs>
            <w:rPr>
              <w:rFonts w:asciiTheme="minorHAnsi" w:hAnsiTheme="minorHAnsi" w:eastAsiaTheme="minorEastAsia"/>
              <w:noProof/>
              <w:sz w:val="22"/>
              <w:lang w:eastAsia="en-GB"/>
            </w:rPr>
          </w:pPr>
          <w:hyperlink w:history="1" w:anchor="_Toc15387159">
            <w:r w:rsidRPr="003E323A" w:rsidR="00B8301B">
              <w:rPr>
                <w:rStyle w:val="Hyperlink"/>
                <w:noProof/>
              </w:rPr>
              <w:t>Key to Relevant Documents</w:t>
            </w:r>
            <w:r w:rsidR="00B8301B">
              <w:rPr>
                <w:noProof/>
                <w:webHidden/>
              </w:rPr>
              <w:tab/>
            </w:r>
            <w:r w:rsidR="00B8301B">
              <w:rPr>
                <w:noProof/>
                <w:webHidden/>
              </w:rPr>
              <w:fldChar w:fldCharType="begin"/>
            </w:r>
            <w:r w:rsidR="00B8301B">
              <w:rPr>
                <w:noProof/>
                <w:webHidden/>
              </w:rPr>
              <w:instrText xml:space="preserve"> PAGEREF _Toc15387159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rsidR="00B8301B" w:rsidRDefault="00B041FB" w14:paraId="31B39054" w14:textId="671BD3D3">
          <w:pPr>
            <w:pStyle w:val="TOC1"/>
            <w:tabs>
              <w:tab w:val="left" w:pos="440"/>
              <w:tab w:val="right" w:leader="dot" w:pos="9016"/>
            </w:tabs>
            <w:rPr>
              <w:rFonts w:asciiTheme="minorHAnsi" w:hAnsiTheme="minorHAnsi" w:eastAsiaTheme="minorEastAsia"/>
              <w:noProof/>
              <w:sz w:val="22"/>
              <w:lang w:eastAsia="en-GB"/>
            </w:rPr>
          </w:pPr>
          <w:hyperlink w:history="1" w:anchor="_Toc15387160">
            <w:r w:rsidRPr="003E323A" w:rsidR="00B8301B">
              <w:rPr>
                <w:rStyle w:val="Hyperlink"/>
                <w:rFonts w:ascii="Cambria" w:hAnsi="Cambria"/>
                <w:bCs/>
                <w:noProof/>
              </w:rPr>
              <w:t>-</w:t>
            </w:r>
            <w:r w:rsidR="00B8301B">
              <w:rPr>
                <w:rFonts w:asciiTheme="minorHAnsi" w:hAnsiTheme="minorHAnsi" w:eastAsiaTheme="minorEastAsia"/>
                <w:noProof/>
                <w:sz w:val="22"/>
                <w:lang w:eastAsia="en-GB"/>
              </w:rPr>
              <w:tab/>
            </w:r>
            <w:r w:rsidRPr="003E323A" w:rsidR="00B8301B">
              <w:rPr>
                <w:rStyle w:val="Hyperlink"/>
                <w:rFonts w:cs="Arial"/>
                <w:bCs/>
                <w:noProof/>
              </w:rPr>
              <w:t>Higher Education Credit Framework for England: Guidance on Academic Credit Arrangements in Higher Education in England’ (2008)</w:t>
            </w:r>
            <w:r w:rsidR="00B8301B">
              <w:rPr>
                <w:noProof/>
                <w:webHidden/>
              </w:rPr>
              <w:tab/>
            </w:r>
            <w:r w:rsidR="00B8301B">
              <w:rPr>
                <w:noProof/>
                <w:webHidden/>
              </w:rPr>
              <w:fldChar w:fldCharType="begin"/>
            </w:r>
            <w:r w:rsidR="00B8301B">
              <w:rPr>
                <w:noProof/>
                <w:webHidden/>
              </w:rPr>
              <w:instrText xml:space="preserve"> PAGEREF _Toc15387160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rsidR="00B8301B" w:rsidRDefault="00B041FB" w14:paraId="50B4B052" w14:textId="06909312">
          <w:pPr>
            <w:pStyle w:val="TOC1"/>
            <w:tabs>
              <w:tab w:val="left" w:pos="440"/>
              <w:tab w:val="right" w:leader="dot" w:pos="9016"/>
            </w:tabs>
            <w:rPr>
              <w:rFonts w:asciiTheme="minorHAnsi" w:hAnsiTheme="minorHAnsi" w:eastAsiaTheme="minorEastAsia"/>
              <w:noProof/>
              <w:sz w:val="22"/>
              <w:lang w:eastAsia="en-GB"/>
            </w:rPr>
          </w:pPr>
          <w:hyperlink w:history="1" w:anchor="_Toc15387161">
            <w:r w:rsidRPr="003E323A" w:rsidR="00B8301B">
              <w:rPr>
                <w:rStyle w:val="Hyperlink"/>
                <w:rFonts w:ascii="Cambria" w:hAnsi="Cambria"/>
                <w:noProof/>
              </w:rPr>
              <w:t>-</w:t>
            </w:r>
            <w:r w:rsidR="00B8301B">
              <w:rPr>
                <w:rFonts w:asciiTheme="minorHAnsi" w:hAnsiTheme="minorHAnsi" w:eastAsiaTheme="minorEastAsia"/>
                <w:noProof/>
                <w:sz w:val="22"/>
                <w:lang w:eastAsia="en-GB"/>
              </w:rPr>
              <w:tab/>
            </w:r>
            <w:r w:rsidRPr="003E323A" w:rsidR="00B8301B">
              <w:rPr>
                <w:rStyle w:val="Hyperlink"/>
                <w:rFonts w:cs="Arial"/>
                <w:noProof/>
              </w:rPr>
              <w:t>The Academic Regulations (C4.1)</w:t>
            </w:r>
            <w:r w:rsidR="00B8301B">
              <w:rPr>
                <w:noProof/>
                <w:webHidden/>
              </w:rPr>
              <w:tab/>
            </w:r>
            <w:r w:rsidR="00B8301B">
              <w:rPr>
                <w:noProof/>
                <w:webHidden/>
              </w:rPr>
              <w:fldChar w:fldCharType="begin"/>
            </w:r>
            <w:r w:rsidR="00B8301B">
              <w:rPr>
                <w:noProof/>
                <w:webHidden/>
              </w:rPr>
              <w:instrText xml:space="preserve"> PAGEREF _Toc15387161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rsidR="00B8301B" w:rsidRDefault="00B041FB" w14:paraId="3EDD1068" w14:textId="49F382B4">
          <w:pPr>
            <w:pStyle w:val="TOC1"/>
            <w:tabs>
              <w:tab w:val="left" w:pos="440"/>
              <w:tab w:val="right" w:leader="dot" w:pos="9016"/>
            </w:tabs>
            <w:rPr>
              <w:rFonts w:asciiTheme="minorHAnsi" w:hAnsiTheme="minorHAnsi" w:eastAsiaTheme="minorEastAsia"/>
              <w:noProof/>
              <w:sz w:val="22"/>
              <w:lang w:eastAsia="en-GB"/>
            </w:rPr>
          </w:pPr>
          <w:hyperlink w:history="1" w:anchor="_Toc15387162">
            <w:r w:rsidRPr="003E323A" w:rsidR="00B8301B">
              <w:rPr>
                <w:rStyle w:val="Hyperlink"/>
                <w:rFonts w:ascii="Cambria" w:hAnsi="Cambria"/>
                <w:noProof/>
              </w:rPr>
              <w:t>-</w:t>
            </w:r>
            <w:r w:rsidR="00B8301B">
              <w:rPr>
                <w:rFonts w:asciiTheme="minorHAnsi" w:hAnsiTheme="minorHAnsi" w:eastAsiaTheme="minorEastAsia"/>
                <w:noProof/>
                <w:sz w:val="22"/>
                <w:lang w:eastAsia="en-GB"/>
              </w:rPr>
              <w:tab/>
            </w:r>
            <w:r w:rsidRPr="003E323A" w:rsidR="00B8301B">
              <w:rPr>
                <w:rStyle w:val="Hyperlink"/>
                <w:rFonts w:cs="Arial"/>
                <w:noProof/>
              </w:rPr>
              <w:t>Quality Code for Higher Education (QAA)</w:t>
            </w:r>
            <w:r w:rsidR="00B8301B">
              <w:rPr>
                <w:noProof/>
                <w:webHidden/>
              </w:rPr>
              <w:tab/>
            </w:r>
            <w:r w:rsidR="00B8301B">
              <w:rPr>
                <w:noProof/>
                <w:webHidden/>
              </w:rPr>
              <w:fldChar w:fldCharType="begin"/>
            </w:r>
            <w:r w:rsidR="00B8301B">
              <w:rPr>
                <w:noProof/>
                <w:webHidden/>
              </w:rPr>
              <w:instrText xml:space="preserve"> PAGEREF _Toc15387162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rsidR="00B8301B" w:rsidRDefault="00B041FB" w14:paraId="41CB3EB9" w14:textId="35F0AEC8">
          <w:pPr>
            <w:pStyle w:val="TOC1"/>
            <w:tabs>
              <w:tab w:val="right" w:leader="dot" w:pos="9016"/>
            </w:tabs>
            <w:rPr>
              <w:rFonts w:asciiTheme="minorHAnsi" w:hAnsiTheme="minorHAnsi" w:eastAsiaTheme="minorEastAsia"/>
              <w:noProof/>
              <w:sz w:val="22"/>
              <w:lang w:eastAsia="en-GB"/>
            </w:rPr>
          </w:pPr>
          <w:hyperlink w:history="1" w:anchor="_Toc15387163">
            <w:r w:rsidRPr="003E323A" w:rsidR="00B8301B">
              <w:rPr>
                <w:rStyle w:val="Hyperlink"/>
                <w:noProof/>
              </w:rPr>
              <w:t>Annexes</w:t>
            </w:r>
            <w:r w:rsidR="00B8301B">
              <w:rPr>
                <w:noProof/>
                <w:webHidden/>
              </w:rPr>
              <w:tab/>
            </w:r>
            <w:r w:rsidR="00B8301B">
              <w:rPr>
                <w:noProof/>
                <w:webHidden/>
              </w:rPr>
              <w:fldChar w:fldCharType="begin"/>
            </w:r>
            <w:r w:rsidR="00B8301B">
              <w:rPr>
                <w:noProof/>
                <w:webHidden/>
              </w:rPr>
              <w:instrText xml:space="preserve"> PAGEREF _Toc15387163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rsidR="00B8301B" w:rsidRDefault="00B041FB" w14:paraId="2D3209FD" w14:textId="2E7FE1E2">
          <w:pPr>
            <w:pStyle w:val="TOC1"/>
            <w:tabs>
              <w:tab w:val="right" w:leader="dot" w:pos="9016"/>
            </w:tabs>
            <w:rPr>
              <w:rFonts w:asciiTheme="minorHAnsi" w:hAnsiTheme="minorHAnsi" w:eastAsiaTheme="minorEastAsia"/>
              <w:noProof/>
              <w:sz w:val="22"/>
              <w:lang w:eastAsia="en-GB"/>
            </w:rPr>
          </w:pPr>
          <w:hyperlink w:history="1" w:anchor="_Toc15387164">
            <w:r w:rsidRPr="003E323A" w:rsidR="00B8301B">
              <w:rPr>
                <w:rStyle w:val="Hyperlink"/>
                <w:noProof/>
              </w:rPr>
              <w:t>End matter</w:t>
            </w:r>
            <w:r w:rsidR="00B8301B">
              <w:rPr>
                <w:noProof/>
                <w:webHidden/>
              </w:rPr>
              <w:tab/>
            </w:r>
            <w:r w:rsidR="00B8301B">
              <w:rPr>
                <w:noProof/>
                <w:webHidden/>
              </w:rPr>
              <w:fldChar w:fldCharType="begin"/>
            </w:r>
            <w:r w:rsidR="00B8301B">
              <w:rPr>
                <w:noProof/>
                <w:webHidden/>
              </w:rPr>
              <w:instrText xml:space="preserve"> PAGEREF _Toc15387164 \h </w:instrText>
            </w:r>
            <w:r w:rsidR="00B8301B">
              <w:rPr>
                <w:noProof/>
                <w:webHidden/>
              </w:rPr>
            </w:r>
            <w:r w:rsidR="00B8301B">
              <w:rPr>
                <w:noProof/>
                <w:webHidden/>
              </w:rPr>
              <w:fldChar w:fldCharType="separate"/>
            </w:r>
            <w:r w:rsidR="0044461E">
              <w:rPr>
                <w:noProof/>
                <w:webHidden/>
              </w:rPr>
              <w:t>10</w:t>
            </w:r>
            <w:r w:rsidR="00B8301B">
              <w:rPr>
                <w:noProof/>
                <w:webHidden/>
              </w:rPr>
              <w:fldChar w:fldCharType="end"/>
            </w:r>
          </w:hyperlink>
        </w:p>
        <w:p w:rsidR="00351BCA" w:rsidRDefault="00351BCA" w14:paraId="5A4C8417" w14:textId="1FC44C62">
          <w:r>
            <w:rPr>
              <w:b/>
              <w:bCs/>
              <w:noProof/>
            </w:rPr>
            <w:fldChar w:fldCharType="end"/>
          </w:r>
        </w:p>
      </w:sdtContent>
    </w:sdt>
    <w:p w:rsidR="00C625B0" w:rsidRDefault="00C625B0" w14:paraId="447458FF" w14:textId="77777777">
      <w:r>
        <w:br w:type="page"/>
      </w:r>
    </w:p>
    <w:p w:rsidRPr="00D25EA5" w:rsidR="000110EB" w:rsidP="00E16187" w:rsidRDefault="000D23AF" w14:paraId="52CD4418" w14:textId="1CB2C590">
      <w:pPr>
        <w:pStyle w:val="Heading1"/>
        <w:spacing w:line="240" w:lineRule="auto"/>
      </w:pPr>
      <w:bookmarkStart w:name="_Toc15387148" w:id="0"/>
      <w:r w:rsidRPr="00CF458F">
        <w:t>Summary</w:t>
      </w:r>
      <w:bookmarkEnd w:id="0"/>
    </w:p>
    <w:p w:rsidR="00800348" w:rsidP="00800348" w:rsidRDefault="00800348" w14:paraId="43136858" w14:textId="77777777">
      <w:pPr>
        <w:spacing w:line="240" w:lineRule="auto"/>
      </w:pPr>
      <w:r>
        <w:t>This policy explains the basis on which credit operates and how existing credit can be transferred into programmes. It also addresses how a student’s prior learning can be converted into credit for transfer. It outlines the relevant expectations and protocols so that students are aware of the opportunities credit transfer and RPL present and provides definitive expectations of procedural aspects for academic and administrative staff.</w:t>
      </w:r>
    </w:p>
    <w:p w:rsidR="000110EB" w:rsidP="00E16187" w:rsidRDefault="00D84C7A" w14:paraId="2BDEC831" w14:textId="3C6375C5">
      <w:pPr>
        <w:pStyle w:val="Heading1"/>
        <w:spacing w:line="240" w:lineRule="auto"/>
      </w:pPr>
      <w:bookmarkStart w:name="_Toc15387149" w:id="1"/>
      <w:r w:rsidRPr="00CF458F">
        <w:t>Glossary of Terms</w:t>
      </w:r>
      <w:bookmarkEnd w:id="1"/>
      <w:r w:rsidRPr="00D25EA5">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89"/>
        <w:gridCol w:w="4365"/>
      </w:tblGrid>
      <w:tr w:rsidRPr="00CF458F" w:rsidR="00944336" w:rsidTr="003C6D37" w14:paraId="32C11B20" w14:textId="77777777">
        <w:trPr>
          <w:trHeight w:val="388"/>
          <w:tblHeader/>
        </w:trPr>
        <w:tc>
          <w:tcPr>
            <w:tcW w:w="3789" w:type="dxa"/>
          </w:tcPr>
          <w:p w:rsidRPr="00CF458F" w:rsidR="00944336" w:rsidP="004413D0" w:rsidRDefault="00944336" w14:paraId="6263F1DF" w14:textId="77777777">
            <w:pPr>
              <w:pStyle w:val="Default"/>
              <w:rPr>
                <w:b/>
              </w:rPr>
            </w:pPr>
            <w:bookmarkStart w:name="_Hlk12283037" w:id="2"/>
            <w:r w:rsidRPr="00CF458F">
              <w:rPr>
                <w:b/>
              </w:rPr>
              <w:t>Term</w:t>
            </w:r>
          </w:p>
        </w:tc>
        <w:tc>
          <w:tcPr>
            <w:tcW w:w="4365" w:type="dxa"/>
          </w:tcPr>
          <w:p w:rsidRPr="00CF458F" w:rsidR="00944336" w:rsidP="004413D0" w:rsidRDefault="00944336" w14:paraId="2F42DA65" w14:textId="77777777">
            <w:pPr>
              <w:pStyle w:val="Default"/>
              <w:rPr>
                <w:b/>
              </w:rPr>
            </w:pPr>
            <w:r w:rsidRPr="00CF458F">
              <w:rPr>
                <w:b/>
              </w:rPr>
              <w:t>Meaning</w:t>
            </w:r>
          </w:p>
        </w:tc>
      </w:tr>
      <w:tr w:rsidRPr="00CF458F" w:rsidR="00944336" w:rsidTr="004413D0" w14:paraId="24303FBE" w14:textId="77777777">
        <w:trPr>
          <w:trHeight w:val="388"/>
        </w:trPr>
        <w:tc>
          <w:tcPr>
            <w:tcW w:w="3789" w:type="dxa"/>
          </w:tcPr>
          <w:p w:rsidRPr="00CF458F" w:rsidR="00944336" w:rsidP="004413D0" w:rsidRDefault="00F83FE7" w14:paraId="353A6A93" w14:textId="3D257F1D">
            <w:r w:rsidRPr="00CF458F">
              <w:rPr>
                <w:rFonts w:cs="Arial"/>
                <w:bCs/>
              </w:rPr>
              <w:t>Notional Learning Hours</w:t>
            </w:r>
          </w:p>
        </w:tc>
        <w:tc>
          <w:tcPr>
            <w:tcW w:w="4365" w:type="dxa"/>
          </w:tcPr>
          <w:p w:rsidRPr="00CF458F" w:rsidR="00944336" w:rsidP="004413D0" w:rsidRDefault="00F83FE7" w14:paraId="1D175BFA" w14:textId="4B9689EF">
            <w:r w:rsidRPr="00CF458F">
              <w:rPr>
                <w:rFonts w:cs="Arial"/>
                <w:bCs/>
              </w:rPr>
              <w:t>Hours studied, either through scheduled learning activities (such as lectures and seminars), guided independent study or placement/ study abroad activity</w:t>
            </w:r>
          </w:p>
        </w:tc>
      </w:tr>
      <w:tr w:rsidRPr="00CF458F" w:rsidR="00675150" w:rsidTr="004413D0" w14:paraId="530EFF9C" w14:textId="77777777">
        <w:trPr>
          <w:trHeight w:val="388"/>
        </w:trPr>
        <w:tc>
          <w:tcPr>
            <w:tcW w:w="3789" w:type="dxa"/>
          </w:tcPr>
          <w:p w:rsidRPr="00CF458F" w:rsidR="00675150" w:rsidP="004413D0" w:rsidRDefault="00F83FE7" w14:paraId="0F4445FB" w14:textId="5180366B">
            <w:r w:rsidRPr="00CF458F">
              <w:t>Module</w:t>
            </w:r>
          </w:p>
        </w:tc>
        <w:tc>
          <w:tcPr>
            <w:tcW w:w="4365" w:type="dxa"/>
          </w:tcPr>
          <w:p w:rsidRPr="00CF458F" w:rsidR="00675150" w:rsidP="004413D0" w:rsidRDefault="00F83FE7" w14:paraId="493D6315" w14:textId="075FD6C0">
            <w:r w:rsidRPr="00CF458F">
              <w:t>The unit of learning and teaching to which credit is assigned</w:t>
            </w:r>
          </w:p>
        </w:tc>
      </w:tr>
      <w:tr w:rsidRPr="006E2E28" w:rsidR="00F83FE7" w:rsidTr="004413D0" w14:paraId="5002DCAC" w14:textId="77777777">
        <w:trPr>
          <w:trHeight w:val="388"/>
        </w:trPr>
        <w:tc>
          <w:tcPr>
            <w:tcW w:w="3789" w:type="dxa"/>
          </w:tcPr>
          <w:p w:rsidRPr="00CF458F" w:rsidR="00F83FE7" w:rsidP="004413D0" w:rsidRDefault="00F83FE7" w14:paraId="3AE3CAAC" w14:textId="3804C8D3">
            <w:r w:rsidRPr="00CF458F">
              <w:t>Assessor</w:t>
            </w:r>
          </w:p>
        </w:tc>
        <w:tc>
          <w:tcPr>
            <w:tcW w:w="4365" w:type="dxa"/>
          </w:tcPr>
          <w:p w:rsidRPr="006E2E28" w:rsidR="00F83FE7" w:rsidP="004413D0" w:rsidRDefault="00F83FE7" w14:paraId="4FE2EF4A" w14:textId="2F44E21E">
            <w:r w:rsidRPr="00CF458F">
              <w:t>The member of staff making the judgement for permission to transfer credit or who verifies the appropriateness of a claim for RPL</w:t>
            </w:r>
          </w:p>
        </w:tc>
      </w:tr>
      <w:bookmarkEnd w:id="2"/>
    </w:tbl>
    <w:p w:rsidRPr="00944336" w:rsidR="00944336" w:rsidP="00944336" w:rsidRDefault="00944336" w14:paraId="4EA9C7D4" w14:textId="77777777"/>
    <w:p w:rsidRPr="00D25EA5" w:rsidR="00B86B25" w:rsidP="00E16187" w:rsidRDefault="00944336" w14:paraId="0C549D54" w14:textId="3C49037B">
      <w:pPr>
        <w:pStyle w:val="Heading1"/>
        <w:spacing w:line="240" w:lineRule="auto"/>
      </w:pPr>
      <w:bookmarkStart w:name="_Toc15387150" w:id="3"/>
      <w:r w:rsidRPr="00CF458F">
        <w:t>P</w:t>
      </w:r>
      <w:r w:rsidRPr="00CF458F" w:rsidR="00B86B25">
        <w:t>urpose</w:t>
      </w:r>
      <w:bookmarkEnd w:id="3"/>
      <w:r w:rsidRPr="00D25EA5" w:rsidR="00B86B25">
        <w:t xml:space="preserve"> </w:t>
      </w:r>
    </w:p>
    <w:p w:rsidR="006B36A1" w:rsidP="00E16187" w:rsidRDefault="00F83FE7" w14:paraId="4AA146AB" w14:textId="70760566">
      <w:pPr>
        <w:spacing w:line="240" w:lineRule="auto"/>
      </w:pPr>
      <w:r>
        <w:t xml:space="preserve">This policy </w:t>
      </w:r>
      <w:r w:rsidR="00800348">
        <w:t xml:space="preserve">informs </w:t>
      </w:r>
      <w:r>
        <w:t>the basis on which credit operates and how existing credit can be transferred into programmes</w:t>
      </w:r>
      <w:r w:rsidR="00800348">
        <w:t xml:space="preserve"> and</w:t>
      </w:r>
      <w:r>
        <w:t xml:space="preserve"> how a student’s prior learning can be </w:t>
      </w:r>
      <w:r w:rsidR="00800348">
        <w:t>recognised for conversion</w:t>
      </w:r>
      <w:r>
        <w:t xml:space="preserve"> into credit for transfer. It </w:t>
      </w:r>
      <w:r w:rsidR="00800348">
        <w:t>maps out the</w:t>
      </w:r>
      <w:r>
        <w:t xml:space="preserve"> expectations and protocols </w:t>
      </w:r>
      <w:r w:rsidR="00800348">
        <w:t>related to</w:t>
      </w:r>
      <w:r>
        <w:t xml:space="preserve"> credit transfer and RPL and provides </w:t>
      </w:r>
      <w:r w:rsidR="00800348">
        <w:t xml:space="preserve">details of the </w:t>
      </w:r>
      <w:r>
        <w:t>expectations of procedural aspects for academic and administrative staff.</w:t>
      </w:r>
    </w:p>
    <w:p w:rsidR="009F79BA" w:rsidP="00E16187" w:rsidRDefault="00016690" w14:paraId="423AF5C4" w14:textId="6B569E55">
      <w:pPr>
        <w:pStyle w:val="Heading1"/>
        <w:spacing w:line="240" w:lineRule="auto"/>
        <w:contextualSpacing/>
      </w:pPr>
      <w:bookmarkStart w:name="_Toc15387151" w:id="4"/>
      <w:r>
        <w:t>Regulations</w:t>
      </w:r>
      <w:bookmarkEnd w:id="4"/>
    </w:p>
    <w:p w:rsidR="00E16187" w:rsidP="00E16187" w:rsidRDefault="00E16187" w14:paraId="01C3EABE" w14:textId="77777777">
      <w:pPr>
        <w:pStyle w:val="Heading2"/>
        <w:spacing w:line="240" w:lineRule="auto"/>
        <w:contextualSpacing/>
      </w:pPr>
    </w:p>
    <w:p w:rsidR="000E0AB6" w:rsidP="00E16187" w:rsidRDefault="000E0AB6" w14:paraId="17C784F0" w14:textId="72AA13BB">
      <w:pPr>
        <w:pStyle w:val="Heading2"/>
        <w:spacing w:line="240" w:lineRule="auto"/>
        <w:contextualSpacing/>
      </w:pPr>
      <w:bookmarkStart w:name="_Toc15387152" w:id="5"/>
      <w:r>
        <w:t>Use of academic credit</w:t>
      </w:r>
      <w:bookmarkEnd w:id="5"/>
    </w:p>
    <w:p w:rsidRPr="00E16187" w:rsidR="00E16187" w:rsidP="00E16187" w:rsidRDefault="00E16187" w14:paraId="08EC466E" w14:textId="77777777">
      <w:pPr>
        <w:spacing w:line="240" w:lineRule="auto"/>
        <w:contextualSpacing/>
      </w:pPr>
    </w:p>
    <w:p w:rsidRPr="00E24289" w:rsidR="000E0AB6" w:rsidP="00E16187" w:rsidRDefault="000E0AB6" w14:paraId="2BA314FB" w14:textId="638FA030">
      <w:pPr>
        <w:spacing w:line="240" w:lineRule="auto"/>
        <w:contextualSpacing/>
        <w:jc w:val="both"/>
        <w:rPr>
          <w:rFonts w:cs="Arial"/>
          <w:bCs/>
        </w:rPr>
      </w:pPr>
      <w:r w:rsidRPr="00E24289">
        <w:rPr>
          <w:rFonts w:cs="Arial"/>
          <w:bCs/>
        </w:rPr>
        <w:t xml:space="preserve">Edge Hill University subscribes to the </w:t>
      </w:r>
      <w:proofErr w:type="gramStart"/>
      <w:r w:rsidRPr="00E24289">
        <w:rPr>
          <w:rFonts w:cs="Arial"/>
          <w:bCs/>
        </w:rPr>
        <w:t>nationally-agreed</w:t>
      </w:r>
      <w:proofErr w:type="gramEnd"/>
      <w:r w:rsidRPr="00E24289">
        <w:rPr>
          <w:rFonts w:cs="Arial"/>
          <w:bCs/>
        </w:rPr>
        <w:t xml:space="preserve"> system for the award of</w:t>
      </w:r>
      <w:r w:rsidR="00E16187">
        <w:rPr>
          <w:rFonts w:cs="Arial"/>
          <w:bCs/>
        </w:rPr>
        <w:t xml:space="preserve"> </w:t>
      </w:r>
      <w:r>
        <w:rPr>
          <w:rFonts w:cs="Arial"/>
          <w:bCs/>
        </w:rPr>
        <w:t xml:space="preserve">academic </w:t>
      </w:r>
      <w:r w:rsidRPr="00E24289">
        <w:rPr>
          <w:rFonts w:cs="Arial"/>
          <w:bCs/>
        </w:rPr>
        <w:t xml:space="preserve">credit as defined within the </w:t>
      </w:r>
      <w:r w:rsidRPr="005A33D6">
        <w:rPr>
          <w:rFonts w:cs="Arial"/>
          <w:bCs/>
          <w:i/>
        </w:rPr>
        <w:t>‘Higher education credit framework for England: guidance on academic credit arrangements in higher education in England’</w:t>
      </w:r>
      <w:r>
        <w:rPr>
          <w:rFonts w:cs="Arial"/>
          <w:bCs/>
        </w:rPr>
        <w:t xml:space="preserve"> (2008)</w:t>
      </w:r>
      <w:r w:rsidRPr="00E24289">
        <w:rPr>
          <w:rStyle w:val="FootnoteReference"/>
          <w:rFonts w:cs="Arial"/>
          <w:bCs/>
        </w:rPr>
        <w:footnoteReference w:id="1"/>
      </w:r>
      <w:r w:rsidRPr="00E24289">
        <w:rPr>
          <w:rFonts w:cs="Arial"/>
          <w:bCs/>
        </w:rPr>
        <w:t>. Credit is a means of quantifying and recognising learning</w:t>
      </w:r>
      <w:r>
        <w:rPr>
          <w:rFonts w:cs="Arial"/>
          <w:bCs/>
        </w:rPr>
        <w:t>,</w:t>
      </w:r>
      <w:r w:rsidRPr="00E24289">
        <w:rPr>
          <w:rFonts w:cs="Arial"/>
          <w:bCs/>
        </w:rPr>
        <w:t xml:space="preserve"> whenever and wherever it is achieved</w:t>
      </w:r>
      <w:r>
        <w:rPr>
          <w:rFonts w:cs="Arial"/>
          <w:bCs/>
        </w:rPr>
        <w:t>, and</w:t>
      </w:r>
      <w:r w:rsidRPr="00E24289">
        <w:rPr>
          <w:rFonts w:cs="Arial"/>
          <w:bCs/>
        </w:rPr>
        <w:t xml:space="preserve"> is awarded </w:t>
      </w:r>
      <w:r>
        <w:rPr>
          <w:rFonts w:cs="Arial"/>
          <w:bCs/>
        </w:rPr>
        <w:t>on</w:t>
      </w:r>
      <w:r w:rsidRPr="00E24289">
        <w:rPr>
          <w:rFonts w:cs="Arial"/>
          <w:bCs/>
        </w:rPr>
        <w:t xml:space="preserve"> the successful demonstration of validated learning outcomes as measured through assessment. </w:t>
      </w:r>
      <w:r>
        <w:rPr>
          <w:rFonts w:cs="Arial"/>
          <w:bCs/>
        </w:rPr>
        <w:t>The amount of c</w:t>
      </w:r>
      <w:r w:rsidRPr="00E24289">
        <w:rPr>
          <w:rFonts w:cs="Arial"/>
          <w:bCs/>
        </w:rPr>
        <w:t>redit award</w:t>
      </w:r>
      <w:r>
        <w:rPr>
          <w:rFonts w:cs="Arial"/>
          <w:bCs/>
        </w:rPr>
        <w:t>ed</w:t>
      </w:r>
      <w:r w:rsidRPr="00E24289">
        <w:rPr>
          <w:rFonts w:cs="Arial"/>
          <w:bCs/>
        </w:rPr>
        <w:t xml:space="preserve"> </w:t>
      </w:r>
      <w:r>
        <w:rPr>
          <w:rFonts w:cs="Arial"/>
          <w:bCs/>
        </w:rPr>
        <w:t>is based on</w:t>
      </w:r>
      <w:r w:rsidRPr="00E24289">
        <w:rPr>
          <w:rFonts w:cs="Arial"/>
          <w:bCs/>
        </w:rPr>
        <w:t xml:space="preserve"> the number of </w:t>
      </w:r>
      <w:r w:rsidRPr="00F83FE7">
        <w:rPr>
          <w:rFonts w:cs="Arial"/>
          <w:bCs/>
          <w:color w:val="000000" w:themeColor="text1"/>
        </w:rPr>
        <w:t xml:space="preserve">Notional Learning Hours </w:t>
      </w:r>
      <w:r w:rsidRPr="00E24289">
        <w:rPr>
          <w:rFonts w:cs="Arial"/>
          <w:bCs/>
        </w:rPr>
        <w:t xml:space="preserve">studied, either through scheduled learning activities </w:t>
      </w:r>
      <w:r>
        <w:rPr>
          <w:rFonts w:cs="Arial"/>
          <w:bCs/>
        </w:rPr>
        <w:t>(</w:t>
      </w:r>
      <w:r w:rsidRPr="00E24289">
        <w:rPr>
          <w:rFonts w:cs="Arial"/>
          <w:bCs/>
        </w:rPr>
        <w:t>such as lectures and seminars</w:t>
      </w:r>
      <w:r>
        <w:rPr>
          <w:rFonts w:cs="Arial"/>
          <w:bCs/>
        </w:rPr>
        <w:t>)</w:t>
      </w:r>
      <w:r w:rsidRPr="00E24289">
        <w:rPr>
          <w:rFonts w:cs="Arial"/>
          <w:bCs/>
        </w:rPr>
        <w:t xml:space="preserve">, guided independent study or placement/ </w:t>
      </w:r>
      <w:r w:rsidRPr="00E24289">
        <w:rPr>
          <w:rFonts w:cs="Arial"/>
          <w:bCs/>
        </w:rPr>
        <w:t xml:space="preserve">study abroad </w:t>
      </w:r>
      <w:r>
        <w:rPr>
          <w:rFonts w:cs="Arial"/>
          <w:bCs/>
        </w:rPr>
        <w:t xml:space="preserve">activity </w:t>
      </w:r>
      <w:r w:rsidRPr="00E24289">
        <w:rPr>
          <w:rFonts w:cs="Arial"/>
          <w:bCs/>
        </w:rPr>
        <w:t xml:space="preserve">where 1 credit equates to 10 Notional Learning Hours. Credit awarded for individual modules may be accumulated towards full qualification awards such as an undergraduate Honours or </w:t>
      </w:r>
      <w:proofErr w:type="spellStart"/>
      <w:proofErr w:type="gramStart"/>
      <w:r w:rsidRPr="00E24289">
        <w:rPr>
          <w:rFonts w:cs="Arial"/>
          <w:bCs/>
        </w:rPr>
        <w:t>Masters</w:t>
      </w:r>
      <w:proofErr w:type="spellEnd"/>
      <w:proofErr w:type="gramEnd"/>
      <w:r>
        <w:rPr>
          <w:rFonts w:cs="Arial"/>
          <w:bCs/>
        </w:rPr>
        <w:t xml:space="preserve"> </w:t>
      </w:r>
      <w:r w:rsidRPr="00E24289">
        <w:rPr>
          <w:rFonts w:cs="Arial"/>
          <w:bCs/>
        </w:rPr>
        <w:t xml:space="preserve">degree and is </w:t>
      </w:r>
      <w:r>
        <w:rPr>
          <w:rFonts w:cs="Arial"/>
          <w:bCs/>
        </w:rPr>
        <w:t>reflected in</w:t>
      </w:r>
      <w:r w:rsidRPr="00E24289">
        <w:rPr>
          <w:rFonts w:cs="Arial"/>
          <w:bCs/>
        </w:rPr>
        <w:t xml:space="preserve"> a student’s transcript on completion of their studies.</w:t>
      </w:r>
      <w:r>
        <w:rPr>
          <w:rFonts w:cs="Arial"/>
          <w:bCs/>
        </w:rPr>
        <w:t xml:space="preserve"> </w:t>
      </w:r>
      <w:r w:rsidRPr="00E24289">
        <w:rPr>
          <w:rFonts w:cs="Arial"/>
          <w:bCs/>
        </w:rPr>
        <w:t>Credit for an undergraduate degree is awarded at different levels reflecting the relative depth of learning involved and split equ</w:t>
      </w:r>
      <w:r>
        <w:rPr>
          <w:rFonts w:cs="Arial"/>
          <w:bCs/>
        </w:rPr>
        <w:t xml:space="preserve">ally between levels 4, 5 and 6 </w:t>
      </w:r>
      <w:r w:rsidRPr="00E24289">
        <w:rPr>
          <w:rFonts w:cs="Arial"/>
          <w:bCs/>
        </w:rPr>
        <w:t xml:space="preserve">which normally equate to the first, second and third years of full-time study. Module and programme credit values are determined at the point of academic approval (validation) where </w:t>
      </w:r>
      <w:r>
        <w:rPr>
          <w:rFonts w:cs="Arial"/>
          <w:bCs/>
        </w:rPr>
        <w:t>an undergraduate honours degree comprises 360 credits based on a</w:t>
      </w:r>
      <w:r w:rsidRPr="00E24289">
        <w:rPr>
          <w:rFonts w:cs="Arial"/>
          <w:bCs/>
        </w:rPr>
        <w:t xml:space="preserve"> standard module size </w:t>
      </w:r>
      <w:r>
        <w:rPr>
          <w:rFonts w:cs="Arial"/>
          <w:bCs/>
        </w:rPr>
        <w:t>of</w:t>
      </w:r>
      <w:r w:rsidRPr="00E24289">
        <w:rPr>
          <w:rFonts w:cs="Arial"/>
          <w:bCs/>
        </w:rPr>
        <w:t xml:space="preserve"> 20 credits (equating to 200 Notional Learning Hours). Credit may be either graded or ungraded depending on how it is used. This </w:t>
      </w:r>
      <w:r>
        <w:rPr>
          <w:rFonts w:cs="Arial"/>
          <w:bCs/>
        </w:rPr>
        <w:t>document</w:t>
      </w:r>
      <w:r w:rsidRPr="00E24289">
        <w:rPr>
          <w:rFonts w:cs="Arial"/>
          <w:bCs/>
        </w:rPr>
        <w:t xml:space="preserve"> deals with the use and re-use of credit at Edge Hill, and credit transfer including Recognition of Prior Learning (RPL)</w:t>
      </w:r>
    </w:p>
    <w:p w:rsidR="000E0AB6" w:rsidP="00E16187" w:rsidRDefault="000E0AB6" w14:paraId="2097B96D" w14:textId="77777777">
      <w:pPr>
        <w:spacing w:line="240" w:lineRule="auto"/>
        <w:contextualSpacing/>
        <w:jc w:val="both"/>
        <w:rPr>
          <w:rFonts w:cs="Arial"/>
          <w:b/>
          <w:bCs/>
        </w:rPr>
      </w:pPr>
    </w:p>
    <w:p w:rsidRPr="00E24289" w:rsidR="000E0AB6" w:rsidP="00E16187" w:rsidRDefault="000E0AB6" w14:paraId="0B271188" w14:textId="5B8BE331">
      <w:pPr>
        <w:pStyle w:val="Heading2"/>
        <w:spacing w:line="240" w:lineRule="auto"/>
        <w:contextualSpacing/>
      </w:pPr>
      <w:bookmarkStart w:name="_Toc15387153" w:id="6"/>
      <w:r w:rsidRPr="00E24289">
        <w:t xml:space="preserve">Use and re-use of </w:t>
      </w:r>
      <w:proofErr w:type="gramStart"/>
      <w:r w:rsidRPr="00E24289">
        <w:t>credit</w:t>
      </w:r>
      <w:bookmarkEnd w:id="6"/>
      <w:proofErr w:type="gramEnd"/>
    </w:p>
    <w:p w:rsidR="00E16187" w:rsidP="00E16187" w:rsidRDefault="00E16187" w14:paraId="44C7510A" w14:textId="77777777">
      <w:pPr>
        <w:spacing w:line="240" w:lineRule="auto"/>
        <w:contextualSpacing/>
        <w:jc w:val="both"/>
        <w:rPr>
          <w:rFonts w:cs="Arial"/>
        </w:rPr>
      </w:pPr>
    </w:p>
    <w:p w:rsidR="000E0AB6" w:rsidP="00E16187" w:rsidRDefault="000E0AB6" w14:paraId="29E82FCE" w14:textId="60EED0A6">
      <w:pPr>
        <w:spacing w:line="240" w:lineRule="auto"/>
        <w:contextualSpacing/>
        <w:jc w:val="both"/>
        <w:rPr>
          <w:rFonts w:cs="Arial"/>
        </w:rPr>
      </w:pPr>
      <w:r>
        <w:rPr>
          <w:rFonts w:cs="Arial"/>
        </w:rPr>
        <w:t xml:space="preserve">Programme validation ensures that there is clear correlation between the modules and learning outcomes of a programme and the named qualification award that students will achieve. In an Edge Hill undergraduate degree consisting of 360 credits, learners may exit prematurely and use the credit achieved by that stage towards an interim qualification award, </w:t>
      </w:r>
      <w:proofErr w:type="gramStart"/>
      <w:r>
        <w:rPr>
          <w:rFonts w:cs="Arial"/>
        </w:rPr>
        <w:t>e.g.</w:t>
      </w:r>
      <w:proofErr w:type="gramEnd"/>
      <w:r>
        <w:rPr>
          <w:rFonts w:cs="Arial"/>
        </w:rPr>
        <w:t xml:space="preserve"> Certificate of Education for 120 level 4 credits; Diploma of Higher Education for an additional 120 level 5 credits; or Ordinary (non-Honours) degree for an additional 60 level 6 credits. In a 180 credit </w:t>
      </w:r>
      <w:proofErr w:type="spellStart"/>
      <w:proofErr w:type="gramStart"/>
      <w:r>
        <w:rPr>
          <w:rFonts w:cs="Arial"/>
        </w:rPr>
        <w:t>Masters</w:t>
      </w:r>
      <w:proofErr w:type="spellEnd"/>
      <w:proofErr w:type="gramEnd"/>
      <w:r>
        <w:rPr>
          <w:rFonts w:cs="Arial"/>
        </w:rPr>
        <w:t xml:space="preserve"> degree, early exit with 60 level 7 credits enables the award of a postgraduate certificate, and for an additional 60 level 7 credits the award of postgraduate diploma. The availability of exit awards, their titles and any required module combinations are determined at validation.</w:t>
      </w:r>
    </w:p>
    <w:p w:rsidR="000E0AB6" w:rsidP="00E16187" w:rsidRDefault="000E0AB6" w14:paraId="59F1022D" w14:textId="77777777">
      <w:pPr>
        <w:spacing w:line="240" w:lineRule="auto"/>
        <w:contextualSpacing/>
        <w:jc w:val="both"/>
        <w:rPr>
          <w:rFonts w:cs="Arial"/>
        </w:rPr>
      </w:pPr>
      <w:r w:rsidRPr="006D024A">
        <w:t xml:space="preserve">The development of multiple named awards from a common core of </w:t>
      </w:r>
      <w:r w:rsidRPr="00740330">
        <w:t xml:space="preserve">modules </w:t>
      </w:r>
      <w:r w:rsidRPr="006D024A">
        <w:t xml:space="preserve">has grown significantly </w:t>
      </w:r>
      <w:r>
        <w:t xml:space="preserve">at Edge Hill </w:t>
      </w:r>
      <w:r w:rsidRPr="006D024A">
        <w:t>over recent years</w:t>
      </w:r>
      <w:r>
        <w:t xml:space="preserve">. In order to maintain the academic integrity of individual award titles, at </w:t>
      </w:r>
      <w:r>
        <w:rPr>
          <w:rFonts w:cs="Arial"/>
        </w:rPr>
        <w:t>least one third of the credit achieved from combined levels 5 and 6 of an undergraduate degree is normally</w:t>
      </w:r>
      <w:r>
        <w:rPr>
          <w:rStyle w:val="FootnoteReference"/>
          <w:rFonts w:cs="Arial"/>
        </w:rPr>
        <w:footnoteReference w:id="2"/>
      </w:r>
      <w:r>
        <w:rPr>
          <w:rFonts w:cs="Arial"/>
        </w:rPr>
        <w:t xml:space="preserve"> </w:t>
      </w:r>
      <w:proofErr w:type="gramStart"/>
      <w:r>
        <w:rPr>
          <w:rFonts w:cs="Arial"/>
        </w:rPr>
        <w:t>award-specific</w:t>
      </w:r>
      <w:proofErr w:type="gramEnd"/>
      <w:r>
        <w:rPr>
          <w:rFonts w:cs="Arial"/>
        </w:rPr>
        <w:t xml:space="preserve">. </w:t>
      </w:r>
    </w:p>
    <w:p w:rsidR="000E0AB6" w:rsidP="00E16187" w:rsidRDefault="000E0AB6" w14:paraId="628AF7BD" w14:textId="77777777">
      <w:pPr>
        <w:tabs>
          <w:tab w:val="left" w:pos="709"/>
        </w:tabs>
        <w:spacing w:line="240" w:lineRule="auto"/>
        <w:contextualSpacing/>
        <w:jc w:val="both"/>
        <w:rPr>
          <w:rFonts w:cs="Arial"/>
        </w:rPr>
      </w:pPr>
      <w:r w:rsidRPr="00E24289">
        <w:rPr>
          <w:rFonts w:cs="Arial"/>
        </w:rPr>
        <w:t xml:space="preserve">Credit towards a </w:t>
      </w:r>
      <w:r w:rsidRPr="00010E32">
        <w:rPr>
          <w:rFonts w:cs="Arial"/>
        </w:rPr>
        <w:t>new</w:t>
      </w:r>
      <w:r w:rsidRPr="00E24289">
        <w:rPr>
          <w:rFonts w:cs="Arial"/>
        </w:rPr>
        <w:t xml:space="preserve"> qualification at the same level may only be re-used up to one third of the total required.</w:t>
      </w:r>
    </w:p>
    <w:p w:rsidR="000E0AB6" w:rsidP="00E16187" w:rsidRDefault="000E0AB6" w14:paraId="6EA77694" w14:textId="54112D99">
      <w:pPr>
        <w:tabs>
          <w:tab w:val="left" w:pos="709"/>
        </w:tabs>
        <w:spacing w:line="240" w:lineRule="auto"/>
        <w:contextualSpacing/>
        <w:jc w:val="both"/>
        <w:rPr>
          <w:rFonts w:cs="Arial"/>
        </w:rPr>
      </w:pPr>
      <w:r w:rsidRPr="00E24289">
        <w:rPr>
          <w:rFonts w:cs="Arial"/>
        </w:rPr>
        <w:t>Credit has a shelf-life in terms of its continued relevance</w:t>
      </w:r>
      <w:r>
        <w:rPr>
          <w:rFonts w:cs="Arial"/>
        </w:rPr>
        <w:t xml:space="preserve"> and may </w:t>
      </w:r>
      <w:r w:rsidRPr="00E24289">
        <w:rPr>
          <w:rFonts w:cs="Arial"/>
        </w:rPr>
        <w:t>only be re-used where it is deemed to remain relevant to the award being sought.</w:t>
      </w:r>
      <w:r>
        <w:rPr>
          <w:rFonts w:cs="Arial"/>
        </w:rPr>
        <w:t xml:space="preserve"> This is a matter of academic judgement to be taken by individual departments (subject or admissions tutors).</w:t>
      </w:r>
    </w:p>
    <w:p w:rsidR="00E16187" w:rsidP="00E16187" w:rsidRDefault="00E16187" w14:paraId="320F37BA" w14:textId="77777777">
      <w:pPr>
        <w:tabs>
          <w:tab w:val="left" w:pos="709"/>
        </w:tabs>
        <w:spacing w:line="240" w:lineRule="auto"/>
        <w:contextualSpacing/>
        <w:jc w:val="both"/>
        <w:rPr>
          <w:rFonts w:cs="Arial"/>
          <w:b/>
          <w:bCs/>
        </w:rPr>
      </w:pPr>
    </w:p>
    <w:p w:rsidRPr="004B6C91" w:rsidR="000E0AB6" w:rsidP="00E16187" w:rsidRDefault="000E0AB6" w14:paraId="297CF45E" w14:textId="77777777">
      <w:pPr>
        <w:pStyle w:val="Heading2"/>
        <w:spacing w:line="240" w:lineRule="auto"/>
        <w:contextualSpacing/>
      </w:pPr>
      <w:bookmarkStart w:name="_Toc15387154" w:id="7"/>
      <w:r w:rsidRPr="004B6C91">
        <w:t>Credit transfer and the Recognition of Prior Learning</w:t>
      </w:r>
      <w:bookmarkEnd w:id="7"/>
    </w:p>
    <w:p w:rsidR="00E16187" w:rsidP="00E16187" w:rsidRDefault="00E16187" w14:paraId="23F422DE" w14:textId="77777777">
      <w:pPr>
        <w:spacing w:line="240" w:lineRule="auto"/>
        <w:contextualSpacing/>
        <w:jc w:val="both"/>
        <w:rPr>
          <w:rFonts w:cs="Arial"/>
        </w:rPr>
      </w:pPr>
    </w:p>
    <w:p w:rsidRPr="00E24289" w:rsidR="000E0AB6" w:rsidP="00E16187" w:rsidRDefault="000E0AB6" w14:paraId="503CBF08" w14:textId="2D7CB337">
      <w:pPr>
        <w:spacing w:line="240" w:lineRule="auto"/>
        <w:contextualSpacing/>
        <w:jc w:val="both"/>
        <w:rPr>
          <w:rFonts w:cs="Arial"/>
          <w:bCs/>
        </w:rPr>
      </w:pPr>
      <w:r w:rsidRPr="00E24289">
        <w:rPr>
          <w:rFonts w:cs="Arial"/>
        </w:rPr>
        <w:t>Edge Hill recognises that learning may take place in a wide variety of settings including conventional taught courses; online learning; learning outside courses; professional and employment experience; personal and leisure experience; self-directed study</w:t>
      </w:r>
      <w:r>
        <w:rPr>
          <w:rFonts w:cs="Arial"/>
        </w:rPr>
        <w:t>,</w:t>
      </w:r>
      <w:r w:rsidRPr="00E24289">
        <w:rPr>
          <w:rFonts w:cs="Arial"/>
        </w:rPr>
        <w:t xml:space="preserve"> etc. </w:t>
      </w:r>
      <w:r>
        <w:rPr>
          <w:rFonts w:cs="Arial"/>
        </w:rPr>
        <w:t xml:space="preserve">University policy on the </w:t>
      </w:r>
      <w:r w:rsidRPr="004B6C91">
        <w:rPr>
          <w:rFonts w:cs="Arial"/>
          <w:b/>
        </w:rPr>
        <w:t>Recognition of Prior Learning (RPL)</w:t>
      </w:r>
      <w:r w:rsidRPr="00E24289">
        <w:rPr>
          <w:rFonts w:cs="Arial"/>
        </w:rPr>
        <w:t xml:space="preserve"> facilitates the formal recognition of learning gained elsewhere and where appropriate, provides for credit to be attached to that learning.</w:t>
      </w:r>
      <w:r>
        <w:rPr>
          <w:rFonts w:cs="Arial"/>
        </w:rPr>
        <w:t xml:space="preserve"> </w:t>
      </w:r>
      <w:r w:rsidRPr="00E24289">
        <w:rPr>
          <w:rFonts w:cs="Arial"/>
        </w:rPr>
        <w:t xml:space="preserve">The RPL process is a means of building on the existing strengths of individuals, encouraging a sense of life-long learning. Within a credit-based system, RPL provides greater flexibility in admitting students to award-bearing </w:t>
      </w:r>
      <w:r w:rsidRPr="00E24289">
        <w:rPr>
          <w:rFonts w:cs="Arial"/>
        </w:rPr>
        <w:t>courses and links prior learning experiences to current programmes of study so that the student gains maximum benefit. As such</w:t>
      </w:r>
      <w:r>
        <w:rPr>
          <w:rFonts w:cs="Arial"/>
        </w:rPr>
        <w:t>,</w:t>
      </w:r>
      <w:r w:rsidRPr="00E24289">
        <w:rPr>
          <w:rFonts w:cs="Arial"/>
        </w:rPr>
        <w:t xml:space="preserve"> the RPL policy supports the University’s aim of promoting and supporting the personal development, knowledge, </w:t>
      </w:r>
      <w:proofErr w:type="gramStart"/>
      <w:r w:rsidRPr="00E24289">
        <w:rPr>
          <w:rFonts w:cs="Arial"/>
        </w:rPr>
        <w:t>skills</w:t>
      </w:r>
      <w:proofErr w:type="gramEnd"/>
      <w:r w:rsidRPr="00E24289">
        <w:rPr>
          <w:rFonts w:cs="Arial"/>
        </w:rPr>
        <w:t xml:space="preserve"> and employability of </w:t>
      </w:r>
      <w:r>
        <w:rPr>
          <w:rFonts w:cs="Arial"/>
        </w:rPr>
        <w:t xml:space="preserve">its </w:t>
      </w:r>
      <w:r w:rsidRPr="00E24289">
        <w:rPr>
          <w:rFonts w:cs="Arial"/>
        </w:rPr>
        <w:t>students.</w:t>
      </w:r>
      <w:r w:rsidRPr="008C27B0">
        <w:rPr>
          <w:rFonts w:cs="Arial"/>
          <w:bCs/>
        </w:rPr>
        <w:t xml:space="preserve"> </w:t>
      </w:r>
      <w:r w:rsidRPr="00E24289">
        <w:rPr>
          <w:rFonts w:cs="Arial"/>
          <w:bCs/>
        </w:rPr>
        <w:t xml:space="preserve">Credit can be used to enable students to transfer to another programme, either within the same </w:t>
      </w:r>
      <w:r>
        <w:rPr>
          <w:rFonts w:cs="Arial"/>
          <w:bCs/>
        </w:rPr>
        <w:t>institution</w:t>
      </w:r>
      <w:r w:rsidRPr="00E24289">
        <w:rPr>
          <w:rFonts w:cs="Arial"/>
          <w:bCs/>
        </w:rPr>
        <w:t xml:space="preserve"> or another, </w:t>
      </w:r>
      <w:r>
        <w:rPr>
          <w:rFonts w:cs="Arial"/>
          <w:bCs/>
        </w:rPr>
        <w:t>according to its regulations, and the</w:t>
      </w:r>
      <w:r w:rsidRPr="00E24289">
        <w:rPr>
          <w:rFonts w:cs="Arial"/>
          <w:bCs/>
        </w:rPr>
        <w:t xml:space="preserve"> European Credit Transfer and Accumulation System (ECTS) which is compatible with the UK’s credit system</w:t>
      </w:r>
      <w:r w:rsidRPr="00E24289">
        <w:rPr>
          <w:rStyle w:val="FootnoteReference"/>
          <w:rFonts w:cs="Arial"/>
          <w:bCs/>
        </w:rPr>
        <w:footnoteReference w:id="3"/>
      </w:r>
      <w:r w:rsidRPr="00E24289">
        <w:rPr>
          <w:rFonts w:cs="Arial"/>
          <w:bCs/>
        </w:rPr>
        <w:t xml:space="preserve"> supports credit transfer </w:t>
      </w:r>
      <w:r>
        <w:rPr>
          <w:rFonts w:cs="Arial"/>
          <w:bCs/>
        </w:rPr>
        <w:t xml:space="preserve">between higher education institutions operating within </w:t>
      </w:r>
      <w:r w:rsidRPr="00E24289">
        <w:rPr>
          <w:rFonts w:cs="Arial"/>
          <w:bCs/>
        </w:rPr>
        <w:t>the European Higher Education Area.</w:t>
      </w:r>
    </w:p>
    <w:p w:rsidRPr="00E24289" w:rsidR="000E0AB6" w:rsidP="00E16187" w:rsidRDefault="000E0AB6" w14:paraId="45798793" w14:textId="77777777">
      <w:pPr>
        <w:spacing w:line="240" w:lineRule="auto"/>
        <w:contextualSpacing/>
        <w:jc w:val="both"/>
        <w:rPr>
          <w:rFonts w:cs="Arial"/>
        </w:rPr>
      </w:pPr>
    </w:p>
    <w:p w:rsidR="000E0AB6" w:rsidP="00E16187" w:rsidRDefault="000E0AB6" w14:paraId="6252DAEE" w14:textId="77777777">
      <w:pPr>
        <w:spacing w:line="240" w:lineRule="auto"/>
        <w:contextualSpacing/>
        <w:jc w:val="both"/>
        <w:rPr>
          <w:rFonts w:cs="Arial"/>
        </w:rPr>
      </w:pPr>
      <w:r w:rsidRPr="008C27B0">
        <w:rPr>
          <w:rFonts w:cs="Arial"/>
          <w:b/>
        </w:rPr>
        <w:t>Recognition of Prior Learning</w:t>
      </w:r>
      <w:r>
        <w:rPr>
          <w:rFonts w:cs="Arial"/>
          <w:b/>
        </w:rPr>
        <w:t xml:space="preserve"> (RPL</w:t>
      </w:r>
      <w:r w:rsidRPr="008C27B0">
        <w:rPr>
          <w:rFonts w:cs="Arial"/>
          <w:b/>
        </w:rPr>
        <w:t>)</w:t>
      </w:r>
      <w:r>
        <w:rPr>
          <w:rFonts w:cs="Arial"/>
        </w:rPr>
        <w:t xml:space="preserve"> </w:t>
      </w:r>
      <w:r w:rsidRPr="00E24289">
        <w:rPr>
          <w:rFonts w:cs="Arial"/>
        </w:rPr>
        <w:t xml:space="preserve">is </w:t>
      </w:r>
      <w:r>
        <w:rPr>
          <w:rFonts w:cs="Arial"/>
        </w:rPr>
        <w:t>a general</w:t>
      </w:r>
      <w:r w:rsidRPr="00E24289">
        <w:rPr>
          <w:rFonts w:cs="Arial"/>
        </w:rPr>
        <w:t xml:space="preserve"> term used to describe the process by which students have learning that has already been undertaken recognised by the University</w:t>
      </w:r>
      <w:r>
        <w:rPr>
          <w:rFonts w:cs="Arial"/>
        </w:rPr>
        <w:t>,</w:t>
      </w:r>
      <w:r w:rsidRPr="00E24289">
        <w:rPr>
          <w:rFonts w:cs="Arial"/>
        </w:rPr>
        <w:t xml:space="preserve"> either for entry purposes</w:t>
      </w:r>
      <w:r>
        <w:rPr>
          <w:rFonts w:cs="Arial"/>
        </w:rPr>
        <w:t>, for individual entry with advanced standing</w:t>
      </w:r>
      <w:r w:rsidRPr="00E24289">
        <w:rPr>
          <w:rFonts w:cs="Arial"/>
        </w:rPr>
        <w:t xml:space="preserve"> </w:t>
      </w:r>
      <w:r>
        <w:rPr>
          <w:rFonts w:cs="Arial"/>
        </w:rPr>
        <w:t xml:space="preserve">(at a later stage of a programme) </w:t>
      </w:r>
      <w:r w:rsidRPr="00E24289">
        <w:rPr>
          <w:rFonts w:cs="Arial"/>
        </w:rPr>
        <w:t xml:space="preserve">or </w:t>
      </w:r>
      <w:r>
        <w:rPr>
          <w:rFonts w:cs="Arial"/>
        </w:rPr>
        <w:t>in substitution for a specific module/s</w:t>
      </w:r>
      <w:r w:rsidRPr="00E24289">
        <w:rPr>
          <w:rFonts w:cs="Arial"/>
        </w:rPr>
        <w:t>.</w:t>
      </w:r>
      <w:r>
        <w:rPr>
          <w:rFonts w:cs="Arial"/>
        </w:rPr>
        <w:t xml:space="preserve"> </w:t>
      </w:r>
    </w:p>
    <w:p w:rsidR="000E0AB6" w:rsidP="00E16187" w:rsidRDefault="000E0AB6" w14:paraId="1FA5D612" w14:textId="77777777">
      <w:pPr>
        <w:spacing w:line="240" w:lineRule="auto"/>
        <w:contextualSpacing/>
        <w:jc w:val="both"/>
        <w:rPr>
          <w:rFonts w:cs="Arial"/>
        </w:rPr>
      </w:pPr>
    </w:p>
    <w:p w:rsidRPr="00E24289" w:rsidR="000E0AB6" w:rsidP="00E16187" w:rsidRDefault="000E0AB6" w14:paraId="381242D0" w14:textId="77777777">
      <w:pPr>
        <w:spacing w:line="240" w:lineRule="auto"/>
        <w:contextualSpacing/>
        <w:jc w:val="both"/>
        <w:rPr>
          <w:rFonts w:cs="Arial"/>
        </w:rPr>
      </w:pPr>
      <w:r w:rsidRPr="008C27B0">
        <w:rPr>
          <w:rFonts w:cs="Arial"/>
          <w:b/>
        </w:rPr>
        <w:t>Recognition of Prior Certificated Learning</w:t>
      </w:r>
      <w:r>
        <w:rPr>
          <w:rFonts w:cs="Arial"/>
          <w:b/>
        </w:rPr>
        <w:t xml:space="preserve"> (RPCL</w:t>
      </w:r>
      <w:r w:rsidRPr="008C27B0">
        <w:rPr>
          <w:rFonts w:cs="Arial"/>
          <w:b/>
        </w:rPr>
        <w:t xml:space="preserve">) </w:t>
      </w:r>
      <w:r w:rsidRPr="00E24289">
        <w:rPr>
          <w:rFonts w:cs="Arial"/>
        </w:rPr>
        <w:t>relates</w:t>
      </w:r>
      <w:r>
        <w:rPr>
          <w:rFonts w:cs="Arial"/>
        </w:rPr>
        <w:t xml:space="preserve"> specifically</w:t>
      </w:r>
      <w:r w:rsidRPr="00E24289">
        <w:rPr>
          <w:rFonts w:cs="Arial"/>
        </w:rPr>
        <w:t xml:space="preserve"> to learning </w:t>
      </w:r>
      <w:r>
        <w:rPr>
          <w:rFonts w:cs="Arial"/>
        </w:rPr>
        <w:t>that</w:t>
      </w:r>
      <w:r w:rsidRPr="00E24289">
        <w:rPr>
          <w:rFonts w:cs="Arial"/>
        </w:rPr>
        <w:t xml:space="preserve"> has been previously assessed for a validated qualification awarded by a </w:t>
      </w:r>
      <w:r>
        <w:rPr>
          <w:rFonts w:cs="Arial"/>
        </w:rPr>
        <w:t>higher education institution</w:t>
      </w:r>
      <w:r w:rsidRPr="00E24289">
        <w:rPr>
          <w:rFonts w:cs="Arial"/>
        </w:rPr>
        <w:t>, professional body or other recognised education</w:t>
      </w:r>
      <w:r>
        <w:rPr>
          <w:rFonts w:cs="Arial"/>
        </w:rPr>
        <w:t xml:space="preserve"> or </w:t>
      </w:r>
      <w:r w:rsidRPr="00E24289">
        <w:rPr>
          <w:rFonts w:cs="Arial"/>
        </w:rPr>
        <w:t>training provider.</w:t>
      </w:r>
      <w:r>
        <w:rPr>
          <w:rFonts w:cs="Arial"/>
        </w:rPr>
        <w:t xml:space="preserve"> Credit derived from qualifications awarded by another provider is considered </w:t>
      </w:r>
      <w:r w:rsidRPr="008C27B0">
        <w:rPr>
          <w:rFonts w:cs="Arial"/>
          <w:i/>
        </w:rPr>
        <w:t>general credit</w:t>
      </w:r>
      <w:r w:rsidRPr="00E24289">
        <w:rPr>
          <w:rFonts w:cs="Arial"/>
        </w:rPr>
        <w:t xml:space="preserve"> </w:t>
      </w:r>
      <w:r>
        <w:rPr>
          <w:rFonts w:cs="Arial"/>
        </w:rPr>
        <w:t xml:space="preserve">unless a clear match can be established to an Edge Hill module/ programme’s learning outcomes, in which case it becomes </w:t>
      </w:r>
      <w:r w:rsidRPr="00C5752F">
        <w:rPr>
          <w:rFonts w:cs="Arial"/>
          <w:i/>
        </w:rPr>
        <w:t>specific credit</w:t>
      </w:r>
      <w:r>
        <w:rPr>
          <w:rFonts w:cs="Arial"/>
        </w:rPr>
        <w:t xml:space="preserve">. </w:t>
      </w:r>
      <w:r w:rsidRPr="00E24289">
        <w:rPr>
          <w:rFonts w:cs="Arial"/>
        </w:rPr>
        <w:t xml:space="preserve">The </w:t>
      </w:r>
      <w:proofErr w:type="gramStart"/>
      <w:r>
        <w:rPr>
          <w:rFonts w:cs="Arial"/>
        </w:rPr>
        <w:t>particular</w:t>
      </w:r>
      <w:r w:rsidRPr="00E24289">
        <w:rPr>
          <w:rFonts w:cs="Arial"/>
        </w:rPr>
        <w:t xml:space="preserve"> learning</w:t>
      </w:r>
      <w:proofErr w:type="gramEnd"/>
      <w:r w:rsidRPr="00E24289">
        <w:rPr>
          <w:rFonts w:cs="Arial"/>
        </w:rPr>
        <w:t xml:space="preserve"> requirements of an award may mean that general </w:t>
      </w:r>
      <w:r>
        <w:rPr>
          <w:rFonts w:cs="Arial"/>
        </w:rPr>
        <w:t>credit is</w:t>
      </w:r>
      <w:r w:rsidRPr="00E24289">
        <w:rPr>
          <w:rFonts w:cs="Arial"/>
        </w:rPr>
        <w:t xml:space="preserve"> not appropriate for credit transfer into the institution</w:t>
      </w:r>
      <w:r>
        <w:rPr>
          <w:rFonts w:cs="Arial"/>
        </w:rPr>
        <w:t xml:space="preserve"> - however,</w:t>
      </w:r>
      <w:r w:rsidRPr="00E24289">
        <w:rPr>
          <w:rFonts w:cs="Arial"/>
        </w:rPr>
        <w:t xml:space="preserve"> it is not always necessary to show an exact match in terms of </w:t>
      </w:r>
      <w:r w:rsidRPr="00C5752F">
        <w:rPr>
          <w:rFonts w:cs="Arial"/>
        </w:rPr>
        <w:t>learning</w:t>
      </w:r>
      <w:r w:rsidRPr="00C5752F">
        <w:rPr>
          <w:rFonts w:cs="Arial"/>
          <w:i/>
        </w:rPr>
        <w:t xml:space="preserve"> </w:t>
      </w:r>
      <w:r w:rsidRPr="00C5752F">
        <w:rPr>
          <w:rFonts w:cs="Arial"/>
        </w:rPr>
        <w:t xml:space="preserve">content </w:t>
      </w:r>
      <w:r>
        <w:rPr>
          <w:rFonts w:cs="Arial"/>
        </w:rPr>
        <w:t>as</w:t>
      </w:r>
      <w:r w:rsidRPr="00E24289">
        <w:rPr>
          <w:rFonts w:cs="Arial"/>
        </w:rPr>
        <w:t xml:space="preserve"> it is the </w:t>
      </w:r>
      <w:r w:rsidRPr="00C5752F">
        <w:rPr>
          <w:rFonts w:cs="Arial"/>
          <w:i/>
        </w:rPr>
        <w:t>learning outcomes</w:t>
      </w:r>
      <w:r w:rsidRPr="00E24289">
        <w:rPr>
          <w:rFonts w:cs="Arial"/>
        </w:rPr>
        <w:t xml:space="preserve"> that are most important</w:t>
      </w:r>
      <w:r w:rsidRPr="005B160D">
        <w:rPr>
          <w:rFonts w:cs="Arial"/>
        </w:rPr>
        <w:t xml:space="preserve"> </w:t>
      </w:r>
      <w:r w:rsidRPr="00E24289">
        <w:rPr>
          <w:rFonts w:cs="Arial"/>
        </w:rPr>
        <w:t xml:space="preserve">for RPL credit to be awarded. </w:t>
      </w:r>
      <w:proofErr w:type="gramStart"/>
      <w:r>
        <w:rPr>
          <w:rFonts w:cs="Arial"/>
        </w:rPr>
        <w:t>So</w:t>
      </w:r>
      <w:proofErr w:type="gramEnd"/>
      <w:r>
        <w:rPr>
          <w:rFonts w:cs="Arial"/>
        </w:rPr>
        <w:t xml:space="preserve"> for example, it</w:t>
      </w:r>
      <w:r w:rsidRPr="00E24289">
        <w:rPr>
          <w:rFonts w:cs="Arial"/>
        </w:rPr>
        <w:t xml:space="preserve"> may be perfectly possible to award RPL credit to a student who has successfully studied 19</w:t>
      </w:r>
      <w:r w:rsidRPr="00C5752F">
        <w:rPr>
          <w:rFonts w:cs="Arial"/>
          <w:vertAlign w:val="superscript"/>
        </w:rPr>
        <w:t>th</w:t>
      </w:r>
      <w:r>
        <w:rPr>
          <w:rFonts w:cs="Arial"/>
        </w:rPr>
        <w:t xml:space="preserve"> </w:t>
      </w:r>
      <w:r w:rsidRPr="00E24289">
        <w:rPr>
          <w:rFonts w:cs="Arial"/>
        </w:rPr>
        <w:t>century European history against a 20</w:t>
      </w:r>
      <w:r w:rsidRPr="00C5752F">
        <w:rPr>
          <w:rFonts w:cs="Arial"/>
          <w:vertAlign w:val="superscript"/>
        </w:rPr>
        <w:t>th</w:t>
      </w:r>
      <w:r>
        <w:rPr>
          <w:rFonts w:cs="Arial"/>
        </w:rPr>
        <w:t xml:space="preserve"> </w:t>
      </w:r>
      <w:r w:rsidRPr="00E24289">
        <w:rPr>
          <w:rFonts w:cs="Arial"/>
        </w:rPr>
        <w:t xml:space="preserve">century European history module provided the learning outcomes for the </w:t>
      </w:r>
      <w:r>
        <w:rPr>
          <w:rFonts w:cs="Arial"/>
        </w:rPr>
        <w:t xml:space="preserve">Edge Hill </w:t>
      </w:r>
      <w:r w:rsidRPr="00E24289">
        <w:rPr>
          <w:rFonts w:cs="Arial"/>
        </w:rPr>
        <w:t xml:space="preserve">module and programme have been achieved. </w:t>
      </w:r>
    </w:p>
    <w:p w:rsidRPr="00E24289" w:rsidR="000E0AB6" w:rsidP="00E16187" w:rsidRDefault="000E0AB6" w14:paraId="3EB1C914" w14:textId="77777777">
      <w:pPr>
        <w:spacing w:line="240" w:lineRule="auto"/>
        <w:contextualSpacing/>
        <w:jc w:val="both"/>
        <w:rPr>
          <w:rFonts w:cs="Arial"/>
          <w:b/>
          <w:bCs/>
        </w:rPr>
      </w:pPr>
      <w:r w:rsidRPr="00E24289">
        <w:rPr>
          <w:rFonts w:cs="Arial"/>
          <w:bCs/>
        </w:rPr>
        <w:t xml:space="preserve">Learning undertaken outside formal educational settings, for example in the community or </w:t>
      </w:r>
      <w:r>
        <w:rPr>
          <w:rFonts w:cs="Arial"/>
          <w:bCs/>
        </w:rPr>
        <w:t xml:space="preserve">from </w:t>
      </w:r>
      <w:r w:rsidRPr="00C5752F">
        <w:rPr>
          <w:rFonts w:cs="Arial"/>
        </w:rPr>
        <w:t>work-based learning</w:t>
      </w:r>
      <w:r w:rsidRPr="001534A8">
        <w:rPr>
          <w:rFonts w:cs="Arial"/>
        </w:rPr>
        <w:t xml:space="preserve"> </w:t>
      </w:r>
      <w:r w:rsidRPr="00E24289">
        <w:rPr>
          <w:rFonts w:cs="Arial"/>
        </w:rPr>
        <w:t>from which specific skills or knowledge have been gained</w:t>
      </w:r>
      <w:r w:rsidRPr="00C5752F">
        <w:rPr>
          <w:rFonts w:cs="Arial"/>
        </w:rPr>
        <w:t xml:space="preserve">, can be formally recognised through the process </w:t>
      </w:r>
      <w:r w:rsidRPr="001534A8">
        <w:rPr>
          <w:rFonts w:cs="Arial"/>
          <w:b/>
        </w:rPr>
        <w:t>of Recognition of Prior Experiential Learning (RPEL)</w:t>
      </w:r>
      <w:r w:rsidRPr="00C5752F">
        <w:rPr>
          <w:rFonts w:cs="Arial"/>
        </w:rPr>
        <w:t xml:space="preserve">. </w:t>
      </w:r>
      <w:r>
        <w:rPr>
          <w:rFonts w:cs="Arial"/>
        </w:rPr>
        <w:t>L</w:t>
      </w:r>
      <w:r w:rsidRPr="00E24289">
        <w:rPr>
          <w:rFonts w:cs="Arial"/>
        </w:rPr>
        <w:t xml:space="preserve">earning acquired </w:t>
      </w:r>
      <w:r>
        <w:rPr>
          <w:rFonts w:cs="Arial"/>
        </w:rPr>
        <w:t>in this way</w:t>
      </w:r>
      <w:r w:rsidRPr="00C5752F">
        <w:rPr>
          <w:rFonts w:cs="Arial"/>
        </w:rPr>
        <w:t xml:space="preserve"> is reviewed and assessed, and a</w:t>
      </w:r>
      <w:r>
        <w:rPr>
          <w:rFonts w:cs="Arial"/>
        </w:rPr>
        <w:t>n appropriate</w:t>
      </w:r>
      <w:r w:rsidRPr="00C5752F">
        <w:rPr>
          <w:rFonts w:cs="Arial"/>
        </w:rPr>
        <w:t xml:space="preserve"> credit value </w:t>
      </w:r>
      <w:r>
        <w:rPr>
          <w:rFonts w:cs="Arial"/>
        </w:rPr>
        <w:t xml:space="preserve">(level and number of credits) </w:t>
      </w:r>
      <w:r w:rsidRPr="00C5752F">
        <w:rPr>
          <w:rFonts w:cs="Arial"/>
        </w:rPr>
        <w:t xml:space="preserve">assigned to it. </w:t>
      </w:r>
    </w:p>
    <w:p w:rsidR="000E0AB6" w:rsidP="00E16187" w:rsidRDefault="000E0AB6" w14:paraId="457BD304" w14:textId="0CD9AFB1">
      <w:pPr>
        <w:spacing w:line="240" w:lineRule="auto"/>
        <w:contextualSpacing/>
        <w:jc w:val="both"/>
        <w:rPr>
          <w:rFonts w:cs="Arial"/>
          <w:b/>
          <w:bCs/>
        </w:rPr>
      </w:pPr>
    </w:p>
    <w:p w:rsidRPr="001534A8" w:rsidR="000E0AB6" w:rsidP="00E16187" w:rsidRDefault="000E0AB6" w14:paraId="63B1B0A4" w14:textId="77777777">
      <w:pPr>
        <w:pStyle w:val="Heading2"/>
      </w:pPr>
      <w:bookmarkStart w:name="_Toc15387155" w:id="8"/>
      <w:r>
        <w:t>EDGE HILL UNIVERSITY POLICY ON RECOGNITION OF PRIOR LEARNING</w:t>
      </w:r>
      <w:bookmarkEnd w:id="8"/>
    </w:p>
    <w:p w:rsidRPr="00E24289" w:rsidR="000E0AB6" w:rsidP="00E16187" w:rsidRDefault="000E0AB6" w14:paraId="32D28248" w14:textId="77777777">
      <w:pPr>
        <w:spacing w:line="240" w:lineRule="auto"/>
        <w:ind w:left="720" w:hanging="720"/>
        <w:contextualSpacing/>
        <w:jc w:val="both"/>
        <w:rPr>
          <w:rFonts w:cs="Arial"/>
        </w:rPr>
      </w:pPr>
    </w:p>
    <w:p w:rsidR="000E0AB6" w:rsidP="00E16187" w:rsidRDefault="000E0AB6" w14:paraId="50DCE3EA" w14:textId="77777777">
      <w:pPr>
        <w:spacing w:before="120" w:line="240" w:lineRule="auto"/>
        <w:contextualSpacing/>
        <w:jc w:val="both"/>
        <w:rPr>
          <w:rFonts w:cs="Arial"/>
        </w:rPr>
      </w:pPr>
      <w:r w:rsidRPr="00E24289">
        <w:rPr>
          <w:rFonts w:cs="Arial"/>
        </w:rPr>
        <w:t>The principles described in this policy apply to RPL at whatever point it is brought forward by an applicant/</w:t>
      </w:r>
      <w:r>
        <w:rPr>
          <w:rFonts w:cs="Arial"/>
        </w:rPr>
        <w:t xml:space="preserve"> </w:t>
      </w:r>
      <w:r w:rsidRPr="00E24289">
        <w:rPr>
          <w:rFonts w:cs="Arial"/>
        </w:rPr>
        <w:t>student</w:t>
      </w:r>
      <w:r>
        <w:rPr>
          <w:rFonts w:cs="Arial"/>
        </w:rPr>
        <w:t xml:space="preserve"> </w:t>
      </w:r>
      <w:proofErr w:type="gramStart"/>
      <w:r>
        <w:rPr>
          <w:rFonts w:cs="Arial"/>
        </w:rPr>
        <w:t>of</w:t>
      </w:r>
      <w:proofErr w:type="gramEnd"/>
      <w:r>
        <w:rPr>
          <w:rFonts w:cs="Arial"/>
        </w:rPr>
        <w:t xml:space="preserve"> Edge Hill University.</w:t>
      </w:r>
      <w:r w:rsidRPr="00E24289">
        <w:rPr>
          <w:rFonts w:cs="Arial"/>
        </w:rPr>
        <w:t xml:space="preserve"> </w:t>
      </w:r>
    </w:p>
    <w:p w:rsidR="000E0AB6" w:rsidP="00E16187" w:rsidRDefault="000E0AB6" w14:paraId="45206718" w14:textId="77777777">
      <w:pPr>
        <w:spacing w:line="240" w:lineRule="auto"/>
        <w:contextualSpacing/>
        <w:jc w:val="both"/>
        <w:rPr>
          <w:rFonts w:cs="Arial"/>
          <w:b/>
        </w:rPr>
      </w:pPr>
    </w:p>
    <w:p w:rsidRPr="009F5BFE" w:rsidR="000E0AB6" w:rsidP="00E16187" w:rsidRDefault="000E0AB6" w14:paraId="071FCA74" w14:textId="77777777">
      <w:pPr>
        <w:pStyle w:val="Heading2"/>
        <w:spacing w:line="240" w:lineRule="auto"/>
        <w:contextualSpacing/>
      </w:pPr>
      <w:bookmarkStart w:name="_Toc15387156" w:id="9"/>
      <w:r w:rsidRPr="009F5BFE">
        <w:t>General principles</w:t>
      </w:r>
      <w:bookmarkEnd w:id="9"/>
    </w:p>
    <w:p w:rsidRPr="00E24289" w:rsidR="000E0AB6" w:rsidP="00E16187" w:rsidRDefault="000E0AB6" w14:paraId="69A68999" w14:textId="77777777">
      <w:pPr>
        <w:spacing w:line="240" w:lineRule="auto"/>
        <w:ind w:left="720" w:hanging="720"/>
        <w:contextualSpacing/>
        <w:jc w:val="both"/>
        <w:rPr>
          <w:rFonts w:cs="Arial"/>
        </w:rPr>
      </w:pPr>
    </w:p>
    <w:p w:rsidRPr="009F5BFE" w:rsidR="000E0AB6" w:rsidP="00E16187" w:rsidRDefault="000E0AB6" w14:paraId="34F99B08" w14:textId="77777777">
      <w:pPr>
        <w:spacing w:line="240" w:lineRule="auto"/>
        <w:contextualSpacing/>
        <w:jc w:val="both"/>
        <w:rPr>
          <w:rFonts w:cs="Arial"/>
          <w:i/>
        </w:rPr>
      </w:pPr>
      <w:r w:rsidRPr="009F5BFE">
        <w:rPr>
          <w:rFonts w:cs="Arial"/>
          <w:i/>
        </w:rPr>
        <w:t>The student makes the claim</w:t>
      </w:r>
      <w:r>
        <w:rPr>
          <w:rFonts w:cs="Arial"/>
          <w:i/>
        </w:rPr>
        <w:t>:</w:t>
      </w:r>
    </w:p>
    <w:p w:rsidRPr="00E24289" w:rsidR="000E0AB6" w:rsidP="00E16187" w:rsidRDefault="000E0AB6" w14:paraId="0AA6325B" w14:textId="77777777">
      <w:pPr>
        <w:spacing w:line="240" w:lineRule="auto"/>
        <w:contextualSpacing/>
        <w:jc w:val="both"/>
        <w:rPr>
          <w:rFonts w:cs="Arial"/>
          <w:color w:val="FF0000"/>
        </w:rPr>
      </w:pPr>
      <w:r w:rsidRPr="00E24289">
        <w:rPr>
          <w:rFonts w:cs="Arial"/>
        </w:rPr>
        <w:t xml:space="preserve">It is the responsibility of the student to make a claim for RPL and to support the claim with appropriate evidence. The University can offer guidance in relation to process but prime responsibility rests with the student.  </w:t>
      </w:r>
    </w:p>
    <w:p w:rsidRPr="00E24289" w:rsidR="000E0AB6" w:rsidP="00E16187" w:rsidRDefault="000E0AB6" w14:paraId="24E67140" w14:textId="77777777">
      <w:pPr>
        <w:spacing w:line="240" w:lineRule="auto"/>
        <w:ind w:left="1440" w:hanging="720"/>
        <w:contextualSpacing/>
        <w:jc w:val="both"/>
        <w:rPr>
          <w:rFonts w:cs="Arial"/>
        </w:rPr>
      </w:pPr>
    </w:p>
    <w:p w:rsidRPr="009F5BFE" w:rsidR="000E0AB6" w:rsidP="00E16187" w:rsidRDefault="000E0AB6" w14:paraId="379373D3" w14:textId="77777777">
      <w:pPr>
        <w:spacing w:line="240" w:lineRule="auto"/>
        <w:ind w:left="720" w:hanging="720"/>
        <w:contextualSpacing/>
        <w:jc w:val="both"/>
        <w:rPr>
          <w:rFonts w:cs="Arial"/>
          <w:i/>
        </w:rPr>
      </w:pPr>
      <w:r w:rsidRPr="009F5BFE">
        <w:rPr>
          <w:rFonts w:cs="Arial"/>
          <w:i/>
        </w:rPr>
        <w:t>Learning based on experience</w:t>
      </w:r>
      <w:r>
        <w:rPr>
          <w:rFonts w:cs="Arial"/>
          <w:i/>
        </w:rPr>
        <w:t>:</w:t>
      </w:r>
      <w:r w:rsidRPr="009F5BFE">
        <w:rPr>
          <w:rFonts w:cs="Arial"/>
          <w:i/>
        </w:rPr>
        <w:t xml:space="preserve"> </w:t>
      </w:r>
    </w:p>
    <w:p w:rsidRPr="00E24289" w:rsidR="000E0AB6" w:rsidP="00E16187" w:rsidRDefault="000E0AB6" w14:paraId="5F33DCE9" w14:textId="77777777">
      <w:pPr>
        <w:spacing w:line="240" w:lineRule="auto"/>
        <w:contextualSpacing/>
        <w:jc w:val="both"/>
        <w:rPr>
          <w:rFonts w:cs="Arial"/>
        </w:rPr>
      </w:pPr>
      <w:r w:rsidRPr="00E24289">
        <w:rPr>
          <w:rFonts w:cs="Arial"/>
        </w:rPr>
        <w:t xml:space="preserve">Where a claim is based on experiential learning, it is the evidence of the learning achieved from the experience that is being identified, </w:t>
      </w:r>
      <w:proofErr w:type="gramStart"/>
      <w:r w:rsidRPr="00E24289">
        <w:rPr>
          <w:rFonts w:cs="Arial"/>
        </w:rPr>
        <w:t>assessed</w:t>
      </w:r>
      <w:proofErr w:type="gramEnd"/>
      <w:r w:rsidRPr="00E24289">
        <w:rPr>
          <w:rFonts w:cs="Arial"/>
        </w:rPr>
        <w:t xml:space="preserve"> and accredited. The intellectual task of moving from a description of experience to an identification of the learning derived from that experience is crucial.</w:t>
      </w:r>
    </w:p>
    <w:p w:rsidR="000E0AB6" w:rsidP="00E16187" w:rsidRDefault="000E0AB6" w14:paraId="6861B125" w14:textId="77777777">
      <w:pPr>
        <w:spacing w:line="240" w:lineRule="auto"/>
        <w:ind w:left="720" w:hanging="720"/>
        <w:contextualSpacing/>
        <w:jc w:val="both"/>
        <w:rPr>
          <w:rFonts w:cs="Arial"/>
          <w:i/>
        </w:rPr>
      </w:pPr>
    </w:p>
    <w:p w:rsidRPr="009F5BFE" w:rsidR="000E0AB6" w:rsidP="00E16187" w:rsidRDefault="000E0AB6" w14:paraId="41C63EEC" w14:textId="77B15047">
      <w:pPr>
        <w:spacing w:line="240" w:lineRule="auto"/>
        <w:ind w:left="720" w:hanging="720"/>
        <w:contextualSpacing/>
        <w:jc w:val="both"/>
        <w:rPr>
          <w:rFonts w:cs="Arial"/>
          <w:i/>
        </w:rPr>
      </w:pPr>
      <w:r w:rsidRPr="009F5BFE">
        <w:rPr>
          <w:rFonts w:cs="Arial"/>
          <w:i/>
        </w:rPr>
        <w:t xml:space="preserve">Independent </w:t>
      </w:r>
      <w:r>
        <w:rPr>
          <w:rFonts w:cs="Arial"/>
          <w:i/>
        </w:rPr>
        <w:t>a</w:t>
      </w:r>
      <w:r w:rsidRPr="009F5BFE">
        <w:rPr>
          <w:rFonts w:cs="Arial"/>
          <w:i/>
        </w:rPr>
        <w:t>ssessment</w:t>
      </w:r>
      <w:r>
        <w:rPr>
          <w:rFonts w:cs="Arial"/>
          <w:i/>
        </w:rPr>
        <w:t>:</w:t>
      </w:r>
    </w:p>
    <w:p w:rsidRPr="00E24289" w:rsidR="000E0AB6" w:rsidP="00E16187" w:rsidRDefault="000E0AB6" w14:paraId="67853354" w14:textId="77777777">
      <w:pPr>
        <w:spacing w:line="240" w:lineRule="auto"/>
        <w:ind w:left="22" w:hanging="22"/>
        <w:contextualSpacing/>
        <w:jc w:val="both"/>
        <w:rPr>
          <w:rFonts w:cs="Arial"/>
        </w:rPr>
      </w:pPr>
      <w:r w:rsidRPr="00E24289">
        <w:rPr>
          <w:rFonts w:cs="Arial"/>
        </w:rPr>
        <w:tab/>
      </w:r>
      <w:r w:rsidRPr="00E24289">
        <w:rPr>
          <w:rFonts w:cs="Arial"/>
        </w:rPr>
        <w:t xml:space="preserve">There is a clear separation between the identification of prior learning and organising it into forms fit for presentation for assessment, and the assessment process itself.  Students may receive advice and guidance in the formative process of identifying prior </w:t>
      </w:r>
      <w:proofErr w:type="gramStart"/>
      <w:r w:rsidRPr="00E24289">
        <w:rPr>
          <w:rFonts w:cs="Arial"/>
        </w:rPr>
        <w:t>learning</w:t>
      </w:r>
      <w:proofErr w:type="gramEnd"/>
      <w:r w:rsidRPr="00E24289">
        <w:rPr>
          <w:rFonts w:cs="Arial"/>
        </w:rPr>
        <w:t xml:space="preserve"> but the assessment of claims must be independent from the support process.  </w:t>
      </w:r>
    </w:p>
    <w:p w:rsidR="000E0AB6" w:rsidP="00E16187" w:rsidRDefault="000E0AB6" w14:paraId="543E4B1D" w14:textId="77777777">
      <w:pPr>
        <w:spacing w:line="240" w:lineRule="auto"/>
        <w:ind w:left="742" w:hanging="720"/>
        <w:contextualSpacing/>
        <w:jc w:val="both"/>
        <w:rPr>
          <w:rFonts w:cs="Arial"/>
          <w:i/>
        </w:rPr>
      </w:pPr>
    </w:p>
    <w:p w:rsidRPr="009F5BFE" w:rsidR="000E0AB6" w:rsidP="00E16187" w:rsidRDefault="000E0AB6" w14:paraId="69787E96" w14:textId="06D5D44D">
      <w:pPr>
        <w:spacing w:line="240" w:lineRule="auto"/>
        <w:ind w:left="742" w:hanging="720"/>
        <w:contextualSpacing/>
        <w:jc w:val="both"/>
        <w:rPr>
          <w:rFonts w:cs="Arial"/>
          <w:i/>
        </w:rPr>
      </w:pPr>
      <w:r w:rsidRPr="009F5BFE">
        <w:rPr>
          <w:rFonts w:cs="Arial"/>
          <w:i/>
        </w:rPr>
        <w:t>Responsibility for assessment</w:t>
      </w:r>
      <w:r>
        <w:rPr>
          <w:rFonts w:cs="Arial"/>
          <w:i/>
        </w:rPr>
        <w:t>:</w:t>
      </w:r>
    </w:p>
    <w:p w:rsidRPr="00E24289" w:rsidR="000E0AB6" w:rsidP="00E16187" w:rsidRDefault="000E0AB6" w14:paraId="7D04F52B" w14:textId="77777777">
      <w:pPr>
        <w:spacing w:line="240" w:lineRule="auto"/>
        <w:contextualSpacing/>
        <w:jc w:val="both"/>
        <w:rPr>
          <w:rFonts w:cs="Arial"/>
        </w:rPr>
      </w:pPr>
      <w:r w:rsidRPr="00E24289">
        <w:rPr>
          <w:rFonts w:cs="Arial"/>
        </w:rPr>
        <w:t>Assessment is the responsibility of the teaching staff attached to the relevant degree</w:t>
      </w:r>
      <w:r>
        <w:rPr>
          <w:rFonts w:cs="Arial"/>
        </w:rPr>
        <w:t xml:space="preserve"> scheme or award-bearing course at Edge Hill.</w:t>
      </w:r>
      <w:r w:rsidRPr="00E24289">
        <w:rPr>
          <w:rFonts w:cs="Arial"/>
        </w:rPr>
        <w:t xml:space="preserve"> In making their assessment</w:t>
      </w:r>
      <w:r>
        <w:rPr>
          <w:rFonts w:cs="Arial"/>
        </w:rPr>
        <w:t>,</w:t>
      </w:r>
      <w:r w:rsidRPr="00E24289">
        <w:rPr>
          <w:rFonts w:cs="Arial"/>
        </w:rPr>
        <w:t xml:space="preserve"> teaching staff will </w:t>
      </w:r>
      <w:r>
        <w:rPr>
          <w:rFonts w:cs="Arial"/>
        </w:rPr>
        <w:t>consider</w:t>
      </w:r>
      <w:r w:rsidRPr="00E24289">
        <w:rPr>
          <w:rFonts w:cs="Arial"/>
        </w:rPr>
        <w:t xml:space="preserve"> the following criteria.</w:t>
      </w:r>
    </w:p>
    <w:p w:rsidRPr="00E24289" w:rsidR="000E0AB6" w:rsidP="00E16187" w:rsidRDefault="000E0AB6" w14:paraId="423E60FE" w14:textId="77777777">
      <w:pPr>
        <w:spacing w:line="240" w:lineRule="auto"/>
        <w:ind w:left="1440" w:hanging="720"/>
        <w:contextualSpacing/>
        <w:jc w:val="both"/>
        <w:rPr>
          <w:rFonts w:cs="Arial"/>
        </w:rPr>
      </w:pPr>
    </w:p>
    <w:p w:rsidRPr="00E24289" w:rsidR="000E0AB6" w:rsidP="00E16187" w:rsidRDefault="000E0AB6" w14:paraId="6E1BB92D" w14:textId="77777777">
      <w:pPr>
        <w:spacing w:line="240" w:lineRule="auto"/>
        <w:ind w:left="567" w:hanging="425"/>
        <w:contextualSpacing/>
        <w:jc w:val="both"/>
        <w:rPr>
          <w:rFonts w:cs="Arial"/>
          <w:b/>
        </w:rPr>
      </w:pPr>
      <w:r w:rsidRPr="00E24289">
        <w:rPr>
          <w:rFonts w:cs="Arial"/>
        </w:rPr>
        <w:t>-</w:t>
      </w:r>
      <w:r w:rsidRPr="00E24289">
        <w:rPr>
          <w:rFonts w:cs="Arial"/>
        </w:rPr>
        <w:tab/>
      </w:r>
      <w:r w:rsidRPr="00E24289">
        <w:rPr>
          <w:rFonts w:cs="Arial"/>
          <w:b/>
        </w:rPr>
        <w:t>Authenticity and sufficiency</w:t>
      </w:r>
    </w:p>
    <w:p w:rsidRPr="00E24289" w:rsidR="000E0AB6" w:rsidP="00E16187" w:rsidRDefault="000E0AB6" w14:paraId="389BE96F" w14:textId="77777777">
      <w:pPr>
        <w:spacing w:line="240" w:lineRule="auto"/>
        <w:ind w:left="567" w:hanging="425"/>
        <w:contextualSpacing/>
        <w:jc w:val="both"/>
        <w:rPr>
          <w:rFonts w:cs="Arial"/>
        </w:rPr>
      </w:pPr>
      <w:r w:rsidRPr="00E24289">
        <w:rPr>
          <w:rFonts w:cs="Arial"/>
          <w:b/>
        </w:rPr>
        <w:tab/>
      </w:r>
      <w:r w:rsidRPr="00E24289">
        <w:rPr>
          <w:rFonts w:cs="Arial"/>
        </w:rPr>
        <w:t xml:space="preserve">The </w:t>
      </w:r>
      <w:r w:rsidRPr="00740330">
        <w:rPr>
          <w:rFonts w:cs="Arial"/>
        </w:rPr>
        <w:t xml:space="preserve">assessor </w:t>
      </w:r>
      <w:r w:rsidRPr="00E24289">
        <w:rPr>
          <w:rFonts w:cs="Arial"/>
        </w:rPr>
        <w:t xml:space="preserve">will need to be </w:t>
      </w:r>
      <w:r>
        <w:rPr>
          <w:rFonts w:cs="Arial"/>
        </w:rPr>
        <w:t>certain</w:t>
      </w:r>
      <w:r w:rsidRPr="00E24289">
        <w:rPr>
          <w:rFonts w:cs="Arial"/>
        </w:rPr>
        <w:t xml:space="preserve"> that the learning has been undertaken by the applicant and has been fully achieved</w:t>
      </w:r>
      <w:r>
        <w:rPr>
          <w:rFonts w:cs="Arial"/>
        </w:rPr>
        <w:t>.</w:t>
      </w:r>
    </w:p>
    <w:p w:rsidRPr="00E24289" w:rsidR="000E0AB6" w:rsidP="00E16187" w:rsidRDefault="000E0AB6" w14:paraId="50572B5A" w14:textId="77777777">
      <w:pPr>
        <w:spacing w:line="240" w:lineRule="auto"/>
        <w:ind w:left="567" w:hanging="425"/>
        <w:contextualSpacing/>
        <w:jc w:val="both"/>
        <w:rPr>
          <w:rFonts w:cs="Arial"/>
        </w:rPr>
      </w:pPr>
    </w:p>
    <w:p w:rsidRPr="00E24289" w:rsidR="000E0AB6" w:rsidP="00E16187" w:rsidRDefault="000E0AB6" w14:paraId="3B270858" w14:textId="77777777">
      <w:pPr>
        <w:spacing w:line="240" w:lineRule="auto"/>
        <w:ind w:left="567" w:hanging="425"/>
        <w:contextualSpacing/>
        <w:jc w:val="both"/>
        <w:rPr>
          <w:rFonts w:cs="Arial"/>
        </w:rPr>
      </w:pPr>
      <w:r w:rsidRPr="00E24289">
        <w:rPr>
          <w:rFonts w:cs="Arial"/>
        </w:rPr>
        <w:t>-</w:t>
      </w:r>
      <w:r w:rsidRPr="00E24289">
        <w:rPr>
          <w:rFonts w:cs="Arial"/>
        </w:rPr>
        <w:tab/>
      </w:r>
      <w:r w:rsidRPr="00E24289">
        <w:rPr>
          <w:rFonts w:cs="Arial"/>
          <w:b/>
        </w:rPr>
        <w:t>Relevance/Equivalence</w:t>
      </w:r>
    </w:p>
    <w:p w:rsidRPr="00E24289" w:rsidR="000E0AB6" w:rsidP="00E16187" w:rsidRDefault="000E0AB6" w14:paraId="6377D9FB" w14:textId="77777777">
      <w:pPr>
        <w:spacing w:line="240" w:lineRule="auto"/>
        <w:ind w:left="567" w:hanging="425"/>
        <w:contextualSpacing/>
        <w:jc w:val="both"/>
        <w:rPr>
          <w:rFonts w:cs="Arial"/>
        </w:rPr>
      </w:pPr>
      <w:r w:rsidRPr="00E24289">
        <w:rPr>
          <w:rFonts w:cs="Arial"/>
        </w:rPr>
        <w:tab/>
      </w:r>
      <w:r w:rsidRPr="00E24289">
        <w:rPr>
          <w:rFonts w:cs="Arial"/>
        </w:rPr>
        <w:t xml:space="preserve">The assessor will need to be convinced that the evidence produced relates sufficiently well to the module or programme </w:t>
      </w:r>
      <w:r>
        <w:rPr>
          <w:rFonts w:cs="Arial"/>
        </w:rPr>
        <w:t xml:space="preserve">learning </w:t>
      </w:r>
      <w:r w:rsidRPr="00E24289">
        <w:rPr>
          <w:rFonts w:cs="Arial"/>
        </w:rPr>
        <w:t xml:space="preserve">outcomes against which </w:t>
      </w:r>
      <w:r>
        <w:rPr>
          <w:rFonts w:cs="Arial"/>
        </w:rPr>
        <w:t>the</w:t>
      </w:r>
      <w:r w:rsidRPr="00E24289">
        <w:rPr>
          <w:rFonts w:cs="Arial"/>
        </w:rPr>
        <w:t xml:space="preserve"> claim </w:t>
      </w:r>
      <w:r>
        <w:rPr>
          <w:rFonts w:cs="Arial"/>
        </w:rPr>
        <w:t>is being made.</w:t>
      </w:r>
    </w:p>
    <w:p w:rsidRPr="00E24289" w:rsidR="000E0AB6" w:rsidP="00E16187" w:rsidRDefault="000E0AB6" w14:paraId="07F24D00" w14:textId="77777777">
      <w:pPr>
        <w:spacing w:line="240" w:lineRule="auto"/>
        <w:ind w:left="567" w:hanging="425"/>
        <w:contextualSpacing/>
        <w:jc w:val="both"/>
        <w:rPr>
          <w:rFonts w:cs="Arial"/>
        </w:rPr>
      </w:pPr>
    </w:p>
    <w:p w:rsidRPr="00E24289" w:rsidR="000E0AB6" w:rsidP="00E16187" w:rsidRDefault="000E0AB6" w14:paraId="7580B22B" w14:textId="77777777">
      <w:pPr>
        <w:spacing w:line="240" w:lineRule="auto"/>
        <w:ind w:left="567" w:hanging="425"/>
        <w:contextualSpacing/>
        <w:jc w:val="both"/>
        <w:rPr>
          <w:rFonts w:cs="Arial"/>
        </w:rPr>
      </w:pPr>
      <w:r w:rsidRPr="00E24289">
        <w:rPr>
          <w:rFonts w:cs="Arial"/>
        </w:rPr>
        <w:t>-</w:t>
      </w:r>
      <w:r w:rsidRPr="00E24289">
        <w:rPr>
          <w:rFonts w:cs="Arial"/>
        </w:rPr>
        <w:tab/>
      </w:r>
      <w:r w:rsidRPr="00E24289">
        <w:rPr>
          <w:rFonts w:cs="Arial"/>
          <w:b/>
        </w:rPr>
        <w:t>Quality</w:t>
      </w:r>
    </w:p>
    <w:p w:rsidRPr="00E24289" w:rsidR="000E0AB6" w:rsidP="00E16187" w:rsidRDefault="000E0AB6" w14:paraId="65400C29" w14:textId="77777777">
      <w:pPr>
        <w:spacing w:line="240" w:lineRule="auto"/>
        <w:ind w:left="567" w:hanging="425"/>
        <w:contextualSpacing/>
        <w:jc w:val="both"/>
        <w:rPr>
          <w:rFonts w:cs="Arial"/>
        </w:rPr>
      </w:pPr>
      <w:r w:rsidRPr="00E24289">
        <w:rPr>
          <w:rFonts w:cs="Arial"/>
        </w:rPr>
        <w:tab/>
      </w:r>
      <w:r w:rsidRPr="00E24289">
        <w:rPr>
          <w:rFonts w:cs="Arial"/>
        </w:rPr>
        <w:t>The assessor will assess whether the structure, process and outcomes of the learning experience are of comparable quality with other accredited learning experiences, including attention to academic level</w:t>
      </w:r>
      <w:r>
        <w:rPr>
          <w:rFonts w:cs="Arial"/>
        </w:rPr>
        <w:t>.</w:t>
      </w:r>
    </w:p>
    <w:p w:rsidRPr="00E24289" w:rsidR="000E0AB6" w:rsidP="00E16187" w:rsidRDefault="000E0AB6" w14:paraId="651F7A80" w14:textId="77777777">
      <w:pPr>
        <w:spacing w:line="240" w:lineRule="auto"/>
        <w:ind w:left="567" w:hanging="425"/>
        <w:contextualSpacing/>
        <w:jc w:val="both"/>
        <w:rPr>
          <w:rFonts w:cs="Arial"/>
        </w:rPr>
      </w:pPr>
    </w:p>
    <w:p w:rsidRPr="00E24289" w:rsidR="000E0AB6" w:rsidP="00E16187" w:rsidRDefault="000E0AB6" w14:paraId="03AB7923" w14:textId="77777777">
      <w:pPr>
        <w:spacing w:line="240" w:lineRule="auto"/>
        <w:ind w:left="567" w:hanging="425"/>
        <w:contextualSpacing/>
        <w:jc w:val="both"/>
        <w:rPr>
          <w:rFonts w:cs="Arial"/>
        </w:rPr>
      </w:pPr>
      <w:r w:rsidRPr="00E24289">
        <w:rPr>
          <w:rFonts w:cs="Arial"/>
        </w:rPr>
        <w:t>-</w:t>
      </w:r>
      <w:r w:rsidRPr="00E24289">
        <w:rPr>
          <w:rFonts w:cs="Arial"/>
        </w:rPr>
        <w:tab/>
      </w:r>
      <w:r w:rsidRPr="00E24289">
        <w:rPr>
          <w:rFonts w:cs="Arial"/>
          <w:b/>
        </w:rPr>
        <w:t>Currency</w:t>
      </w:r>
    </w:p>
    <w:p w:rsidRPr="00E24289" w:rsidR="000E0AB6" w:rsidP="00E16187" w:rsidRDefault="000E0AB6" w14:paraId="6452F81F" w14:textId="77777777">
      <w:pPr>
        <w:spacing w:line="240" w:lineRule="auto"/>
        <w:ind w:left="567" w:hanging="425"/>
        <w:contextualSpacing/>
        <w:jc w:val="both"/>
        <w:rPr>
          <w:rFonts w:cs="Arial"/>
        </w:rPr>
      </w:pPr>
      <w:r w:rsidRPr="00E24289">
        <w:rPr>
          <w:rFonts w:cs="Arial"/>
        </w:rPr>
        <w:tab/>
      </w:r>
      <w:r w:rsidRPr="00E24289">
        <w:rPr>
          <w:rFonts w:cs="Arial"/>
        </w:rPr>
        <w:t xml:space="preserve">The evidence of achievement will be assessed to </w:t>
      </w:r>
      <w:r>
        <w:rPr>
          <w:rFonts w:cs="Arial"/>
        </w:rPr>
        <w:t>establish</w:t>
      </w:r>
      <w:r w:rsidRPr="00E24289">
        <w:rPr>
          <w:rFonts w:cs="Arial"/>
        </w:rPr>
        <w:t xml:space="preserve"> its currency. Evidence of further development or updating is normally required if certificated learning is more than five years old.</w:t>
      </w:r>
    </w:p>
    <w:p w:rsidR="000E0AB6" w:rsidP="00E16187" w:rsidRDefault="000E0AB6" w14:paraId="5E05B73E" w14:textId="77777777">
      <w:pPr>
        <w:spacing w:line="240" w:lineRule="auto"/>
        <w:ind w:left="1440" w:hanging="720"/>
        <w:contextualSpacing/>
        <w:jc w:val="both"/>
        <w:rPr>
          <w:rFonts w:cs="Arial"/>
        </w:rPr>
      </w:pPr>
      <w:r w:rsidRPr="00E24289">
        <w:rPr>
          <w:rFonts w:cs="Arial"/>
        </w:rPr>
        <w:tab/>
      </w:r>
    </w:p>
    <w:p w:rsidR="000E0AB6" w:rsidP="00E16187" w:rsidRDefault="000E0AB6" w14:paraId="1C53BAA4" w14:textId="77777777">
      <w:pPr>
        <w:spacing w:line="240" w:lineRule="auto"/>
        <w:contextualSpacing/>
        <w:jc w:val="both"/>
        <w:rPr>
          <w:rFonts w:cs="Arial"/>
          <w:i/>
        </w:rPr>
      </w:pPr>
    </w:p>
    <w:p w:rsidRPr="009F5BFE" w:rsidR="000E0AB6" w:rsidP="00E16187" w:rsidRDefault="000E0AB6" w14:paraId="532BD562" w14:textId="77777777">
      <w:pPr>
        <w:spacing w:line="240" w:lineRule="auto"/>
        <w:contextualSpacing/>
        <w:jc w:val="both"/>
        <w:rPr>
          <w:rFonts w:cs="Arial"/>
          <w:i/>
        </w:rPr>
      </w:pPr>
      <w:r w:rsidRPr="009F5BFE">
        <w:rPr>
          <w:rFonts w:cs="Arial"/>
          <w:i/>
        </w:rPr>
        <w:t>The nature of assessment</w:t>
      </w:r>
      <w:r>
        <w:rPr>
          <w:rFonts w:cs="Arial"/>
          <w:i/>
        </w:rPr>
        <w:t>:</w:t>
      </w:r>
    </w:p>
    <w:p w:rsidRPr="00E24289" w:rsidR="000E0AB6" w:rsidP="00E16187" w:rsidRDefault="000E0AB6" w14:paraId="53A5E618" w14:textId="77777777">
      <w:pPr>
        <w:spacing w:line="240" w:lineRule="auto"/>
        <w:ind w:left="1440" w:hanging="720"/>
        <w:contextualSpacing/>
        <w:jc w:val="both"/>
        <w:rPr>
          <w:rFonts w:cs="Arial"/>
        </w:rPr>
      </w:pPr>
    </w:p>
    <w:p w:rsidRPr="00E24289" w:rsidR="000E0AB6" w:rsidP="00E16187" w:rsidRDefault="000E0AB6" w14:paraId="1E790A3A" w14:textId="77777777">
      <w:pPr>
        <w:spacing w:line="240" w:lineRule="auto"/>
        <w:ind w:left="22" w:hanging="22"/>
        <w:contextualSpacing/>
        <w:jc w:val="both"/>
        <w:rPr>
          <w:rFonts w:cs="Arial"/>
        </w:rPr>
      </w:pPr>
      <w:r w:rsidRPr="00E24289">
        <w:rPr>
          <w:rFonts w:cs="Arial"/>
        </w:rPr>
        <w:tab/>
      </w:r>
      <w:r w:rsidRPr="00E24289">
        <w:rPr>
          <w:rFonts w:cs="Arial"/>
        </w:rPr>
        <w:t xml:space="preserve">The method of assessment will be appropriate for the evidence </w:t>
      </w:r>
      <w:r>
        <w:rPr>
          <w:rFonts w:cs="Arial"/>
        </w:rPr>
        <w:t>that</w:t>
      </w:r>
      <w:r w:rsidRPr="00E24289">
        <w:rPr>
          <w:rFonts w:cs="Arial"/>
        </w:rPr>
        <w:t xml:space="preserve"> is being assessed</w:t>
      </w:r>
      <w:r>
        <w:rPr>
          <w:rFonts w:cs="Arial"/>
        </w:rPr>
        <w:t>, h</w:t>
      </w:r>
      <w:r w:rsidRPr="00E24289">
        <w:rPr>
          <w:rFonts w:cs="Arial"/>
        </w:rPr>
        <w:t>ence staff may choose to use</w:t>
      </w:r>
      <w:r>
        <w:rPr>
          <w:rFonts w:cs="Arial"/>
        </w:rPr>
        <w:t>:</w:t>
      </w:r>
      <w:r w:rsidRPr="00E24289">
        <w:rPr>
          <w:rFonts w:cs="Arial"/>
        </w:rPr>
        <w:t xml:space="preserve"> written evidence; the presentation of portfolios; oral testing or presentation; observation of performance etc. Claims based on experiential learning will normally require the submission of a portfolio.</w:t>
      </w:r>
    </w:p>
    <w:p w:rsidRPr="00E24289" w:rsidR="000E0AB6" w:rsidP="00E16187" w:rsidRDefault="000E0AB6" w14:paraId="248A0EF1" w14:textId="77777777">
      <w:pPr>
        <w:spacing w:line="240" w:lineRule="auto"/>
        <w:ind w:left="1440" w:hanging="720"/>
        <w:contextualSpacing/>
        <w:jc w:val="both"/>
        <w:rPr>
          <w:rFonts w:cs="Arial"/>
        </w:rPr>
      </w:pPr>
    </w:p>
    <w:p w:rsidRPr="00E24289" w:rsidR="000E0AB6" w:rsidP="00E16187" w:rsidRDefault="000E0AB6" w14:paraId="5F6BEC0C" w14:textId="77777777">
      <w:pPr>
        <w:spacing w:line="240" w:lineRule="auto"/>
        <w:contextualSpacing/>
        <w:jc w:val="both"/>
        <w:rPr>
          <w:rFonts w:cs="Arial"/>
        </w:rPr>
      </w:pPr>
      <w:r w:rsidRPr="009F5BFE">
        <w:rPr>
          <w:rFonts w:cs="Arial"/>
          <w:i/>
        </w:rPr>
        <w:t>Quality assurance</w:t>
      </w:r>
      <w:r>
        <w:rPr>
          <w:rFonts w:cs="Arial"/>
          <w:i/>
        </w:rPr>
        <w:t>:</w:t>
      </w:r>
    </w:p>
    <w:p w:rsidR="000E0AB6" w:rsidP="00E16187" w:rsidRDefault="000E0AB6" w14:paraId="4A4B608D" w14:textId="77777777">
      <w:pPr>
        <w:spacing w:line="240" w:lineRule="auto"/>
        <w:ind w:left="22" w:hanging="22"/>
        <w:contextualSpacing/>
        <w:jc w:val="both"/>
        <w:rPr>
          <w:rFonts w:cs="Arial"/>
        </w:rPr>
      </w:pPr>
    </w:p>
    <w:p w:rsidRPr="00E24289" w:rsidR="000E0AB6" w:rsidP="00E16187" w:rsidRDefault="000E0AB6" w14:paraId="48C3D30B" w14:textId="77777777">
      <w:pPr>
        <w:spacing w:line="240" w:lineRule="auto"/>
        <w:ind w:left="22" w:hanging="22"/>
        <w:contextualSpacing/>
        <w:jc w:val="both"/>
        <w:rPr>
          <w:rFonts w:cs="Arial"/>
        </w:rPr>
      </w:pPr>
      <w:r w:rsidRPr="00E24289">
        <w:rPr>
          <w:rFonts w:cs="Arial"/>
        </w:rPr>
        <w:tab/>
      </w:r>
      <w:r w:rsidRPr="00E24289">
        <w:rPr>
          <w:rFonts w:cs="Arial"/>
        </w:rPr>
        <w:t xml:space="preserve">Decisions regarding RPL are a matter of academic judgement. The decision-making process will be documented and evidence relating to any claim will be made available for consideration by the </w:t>
      </w:r>
      <w:r>
        <w:rPr>
          <w:rFonts w:cs="Arial"/>
        </w:rPr>
        <w:t>e</w:t>
      </w:r>
      <w:r w:rsidRPr="00E24289">
        <w:rPr>
          <w:rFonts w:cs="Arial"/>
        </w:rPr>
        <w:t xml:space="preserve">xternal </w:t>
      </w:r>
      <w:r>
        <w:rPr>
          <w:rFonts w:cs="Arial"/>
        </w:rPr>
        <w:t>e</w:t>
      </w:r>
      <w:r w:rsidRPr="00E24289">
        <w:rPr>
          <w:rFonts w:cs="Arial"/>
        </w:rPr>
        <w:t>xaminer (where appropriate) to further ensure that academic standards are being maintained.</w:t>
      </w:r>
    </w:p>
    <w:p w:rsidRPr="00E24289" w:rsidR="000E0AB6" w:rsidP="00E16187" w:rsidRDefault="000E0AB6" w14:paraId="1B843453" w14:textId="77777777">
      <w:pPr>
        <w:spacing w:line="240" w:lineRule="auto"/>
        <w:contextualSpacing/>
        <w:jc w:val="both"/>
        <w:rPr>
          <w:rFonts w:cs="Arial"/>
        </w:rPr>
      </w:pPr>
    </w:p>
    <w:p w:rsidRPr="009F5BFE" w:rsidR="000E0AB6" w:rsidP="00E16187" w:rsidRDefault="000E0AB6" w14:paraId="39D81A23" w14:textId="77777777">
      <w:pPr>
        <w:spacing w:line="240" w:lineRule="auto"/>
        <w:ind w:left="742" w:hanging="720"/>
        <w:contextualSpacing/>
        <w:jc w:val="both"/>
        <w:rPr>
          <w:rFonts w:cs="Arial"/>
          <w:i/>
        </w:rPr>
      </w:pPr>
      <w:r w:rsidRPr="009F5BFE">
        <w:rPr>
          <w:rFonts w:cs="Arial"/>
          <w:i/>
        </w:rPr>
        <w:t>RPL as a proportion of a degree or award</w:t>
      </w:r>
      <w:r>
        <w:rPr>
          <w:rFonts w:cs="Arial"/>
          <w:i/>
        </w:rPr>
        <w:t>:</w:t>
      </w:r>
    </w:p>
    <w:p w:rsidRPr="00E24289" w:rsidR="000E0AB6" w:rsidP="00E16187" w:rsidRDefault="000E0AB6" w14:paraId="326F7D38" w14:textId="77777777">
      <w:pPr>
        <w:spacing w:line="240" w:lineRule="auto"/>
        <w:ind w:left="1440" w:hanging="720"/>
        <w:contextualSpacing/>
        <w:jc w:val="both"/>
        <w:rPr>
          <w:rFonts w:cs="Arial"/>
        </w:rPr>
      </w:pPr>
    </w:p>
    <w:p w:rsidRPr="00E24289" w:rsidR="000E0AB6" w:rsidP="00E16187" w:rsidRDefault="000E0AB6" w14:paraId="7A239246" w14:textId="77777777">
      <w:pPr>
        <w:spacing w:line="240" w:lineRule="auto"/>
        <w:ind w:left="22" w:hanging="22"/>
        <w:contextualSpacing/>
        <w:jc w:val="both"/>
        <w:rPr>
          <w:rFonts w:cs="Arial"/>
        </w:rPr>
      </w:pPr>
      <w:r w:rsidRPr="00E24289">
        <w:rPr>
          <w:rFonts w:cs="Arial"/>
        </w:rPr>
        <w:tab/>
      </w:r>
      <w:r w:rsidRPr="00E24289">
        <w:rPr>
          <w:rFonts w:cs="Arial"/>
        </w:rPr>
        <w:t xml:space="preserve">Normally, the maximum credit for prior learning that can be counted towards a programme award is 66% (two thirds) for Honours and </w:t>
      </w:r>
      <w:proofErr w:type="spellStart"/>
      <w:proofErr w:type="gramStart"/>
      <w:r w:rsidRPr="00E24289">
        <w:rPr>
          <w:rFonts w:cs="Arial"/>
        </w:rPr>
        <w:t>Masters</w:t>
      </w:r>
      <w:proofErr w:type="spellEnd"/>
      <w:proofErr w:type="gramEnd"/>
      <w:r w:rsidRPr="00E24289">
        <w:rPr>
          <w:rFonts w:cs="Arial"/>
        </w:rPr>
        <w:t xml:space="preserve"> degree programmes and 50% for all other awards, including Top-Up degrees. For specific regulations</w:t>
      </w:r>
      <w:r>
        <w:rPr>
          <w:rFonts w:cs="Arial"/>
        </w:rPr>
        <w:t>,</w:t>
      </w:r>
      <w:r w:rsidRPr="00E24289">
        <w:rPr>
          <w:rFonts w:cs="Arial"/>
        </w:rPr>
        <w:t xml:space="preserve"> see section C</w:t>
      </w:r>
      <w:r>
        <w:rPr>
          <w:rFonts w:cs="Arial"/>
        </w:rPr>
        <w:t>7</w:t>
      </w:r>
      <w:r w:rsidRPr="00E24289">
        <w:rPr>
          <w:rFonts w:cs="Arial"/>
        </w:rPr>
        <w:t xml:space="preserve"> of the </w:t>
      </w:r>
      <w:r>
        <w:rPr>
          <w:rFonts w:cs="Arial"/>
        </w:rPr>
        <w:t>Academic R</w:t>
      </w:r>
      <w:r w:rsidRPr="00E24289">
        <w:rPr>
          <w:rFonts w:cs="Arial"/>
        </w:rPr>
        <w:t>egulations.</w:t>
      </w:r>
    </w:p>
    <w:p w:rsidRPr="009F5BFE" w:rsidR="000E0AB6" w:rsidP="00E16187" w:rsidRDefault="000E0AB6" w14:paraId="41AF8BD4" w14:textId="77777777">
      <w:pPr>
        <w:spacing w:line="240" w:lineRule="auto"/>
        <w:ind w:left="1440" w:hanging="720"/>
        <w:contextualSpacing/>
        <w:jc w:val="both"/>
        <w:rPr>
          <w:rFonts w:cs="Arial"/>
          <w:i/>
        </w:rPr>
      </w:pPr>
    </w:p>
    <w:p w:rsidRPr="009F5BFE" w:rsidR="000E0AB6" w:rsidP="00E16187" w:rsidRDefault="000E0AB6" w14:paraId="06941C5C" w14:textId="77777777">
      <w:pPr>
        <w:spacing w:line="240" w:lineRule="auto"/>
        <w:ind w:left="742" w:hanging="720"/>
        <w:contextualSpacing/>
        <w:jc w:val="both"/>
        <w:rPr>
          <w:rFonts w:cs="Arial"/>
          <w:i/>
        </w:rPr>
      </w:pPr>
      <w:r w:rsidRPr="009F5BFE">
        <w:rPr>
          <w:rFonts w:cs="Arial"/>
          <w:i/>
        </w:rPr>
        <w:t>Minimum claim for RPL</w:t>
      </w:r>
      <w:r>
        <w:rPr>
          <w:rFonts w:cs="Arial"/>
          <w:i/>
        </w:rPr>
        <w:t>:</w:t>
      </w:r>
    </w:p>
    <w:p w:rsidRPr="00E24289" w:rsidR="000E0AB6" w:rsidP="00E16187" w:rsidRDefault="000E0AB6" w14:paraId="7B10AED0" w14:textId="77777777">
      <w:pPr>
        <w:spacing w:line="240" w:lineRule="auto"/>
        <w:ind w:left="1440" w:hanging="720"/>
        <w:contextualSpacing/>
        <w:jc w:val="both"/>
        <w:rPr>
          <w:rFonts w:cs="Arial"/>
          <w:b/>
        </w:rPr>
      </w:pPr>
    </w:p>
    <w:p w:rsidRPr="00E24289" w:rsidR="000E0AB6" w:rsidP="00E16187" w:rsidRDefault="000E0AB6" w14:paraId="4A0F6702" w14:textId="77777777">
      <w:pPr>
        <w:spacing w:line="240" w:lineRule="auto"/>
        <w:ind w:left="22" w:hanging="22"/>
        <w:contextualSpacing/>
        <w:jc w:val="both"/>
        <w:rPr>
          <w:rFonts w:cs="Arial"/>
        </w:rPr>
      </w:pPr>
      <w:r w:rsidRPr="00E24289">
        <w:rPr>
          <w:rFonts w:cs="Arial"/>
          <w:b/>
        </w:rPr>
        <w:tab/>
      </w:r>
      <w:r w:rsidRPr="00E24289">
        <w:rPr>
          <w:rFonts w:cs="Arial"/>
        </w:rPr>
        <w:t>The smallest amount of learning that can be accredited through RPL on any taught programme is a single module irrespective of credit value.</w:t>
      </w:r>
    </w:p>
    <w:p w:rsidRPr="00E24289" w:rsidR="000E0AB6" w:rsidP="00E16187" w:rsidRDefault="000E0AB6" w14:paraId="4BEFA4E6" w14:textId="77777777">
      <w:pPr>
        <w:spacing w:line="240" w:lineRule="auto"/>
        <w:ind w:left="1440" w:hanging="720"/>
        <w:contextualSpacing/>
        <w:jc w:val="both"/>
        <w:rPr>
          <w:rFonts w:cs="Arial"/>
        </w:rPr>
      </w:pPr>
    </w:p>
    <w:p w:rsidRPr="009F5BFE" w:rsidR="000E0AB6" w:rsidP="00E16187" w:rsidRDefault="000E0AB6" w14:paraId="4395D7FB" w14:textId="77777777">
      <w:pPr>
        <w:spacing w:line="240" w:lineRule="auto"/>
        <w:contextualSpacing/>
        <w:jc w:val="both"/>
        <w:rPr>
          <w:rFonts w:cs="Arial"/>
          <w:i/>
        </w:rPr>
      </w:pPr>
      <w:r w:rsidRPr="009F5BFE">
        <w:rPr>
          <w:rFonts w:cs="Arial"/>
          <w:i/>
        </w:rPr>
        <w:t>National framework for credit accumulation</w:t>
      </w:r>
      <w:r>
        <w:rPr>
          <w:rFonts w:cs="Arial"/>
          <w:i/>
        </w:rPr>
        <w:t>:</w:t>
      </w:r>
    </w:p>
    <w:p w:rsidRPr="00E24289" w:rsidR="000E0AB6" w:rsidP="00E16187" w:rsidRDefault="000E0AB6" w14:paraId="668B9C83" w14:textId="77777777">
      <w:pPr>
        <w:spacing w:line="240" w:lineRule="auto"/>
        <w:ind w:left="1440" w:hanging="720"/>
        <w:contextualSpacing/>
        <w:jc w:val="both"/>
        <w:rPr>
          <w:rFonts w:cs="Arial"/>
        </w:rPr>
      </w:pPr>
    </w:p>
    <w:p w:rsidRPr="00E24289" w:rsidR="000E0AB6" w:rsidP="00E16187" w:rsidRDefault="000E0AB6" w14:paraId="15002FC0" w14:textId="77777777">
      <w:pPr>
        <w:spacing w:line="240" w:lineRule="auto"/>
        <w:ind w:left="22" w:hanging="22"/>
        <w:contextualSpacing/>
        <w:jc w:val="both"/>
        <w:rPr>
          <w:rFonts w:cs="Arial"/>
        </w:rPr>
      </w:pPr>
      <w:r w:rsidRPr="00E24289">
        <w:rPr>
          <w:rFonts w:cs="Arial"/>
        </w:rPr>
        <w:tab/>
      </w:r>
      <w:r w:rsidRPr="00E24289">
        <w:rPr>
          <w:rFonts w:cs="Arial"/>
        </w:rPr>
        <w:t xml:space="preserve">Edge Hill will take full account of </w:t>
      </w:r>
      <w:r>
        <w:rPr>
          <w:rFonts w:cs="Arial"/>
        </w:rPr>
        <w:t>the UK Quality Code for Higher Education (QAA)</w:t>
      </w:r>
      <w:r>
        <w:rPr>
          <w:rStyle w:val="FootnoteReference"/>
          <w:rFonts w:cs="Arial"/>
        </w:rPr>
        <w:footnoteReference w:id="4"/>
      </w:r>
      <w:r>
        <w:rPr>
          <w:rFonts w:cs="Arial"/>
        </w:rPr>
        <w:t xml:space="preserve"> and </w:t>
      </w:r>
      <w:r w:rsidRPr="00E24289">
        <w:rPr>
          <w:rFonts w:cs="Arial"/>
        </w:rPr>
        <w:t xml:space="preserve">any agreements and practice within the </w:t>
      </w:r>
      <w:r>
        <w:rPr>
          <w:rFonts w:cs="Arial"/>
        </w:rPr>
        <w:t>h</w:t>
      </w:r>
      <w:r w:rsidRPr="00E24289">
        <w:rPr>
          <w:rFonts w:cs="Arial"/>
        </w:rPr>
        <w:t xml:space="preserve">igher </w:t>
      </w:r>
      <w:r>
        <w:rPr>
          <w:rFonts w:cs="Arial"/>
        </w:rPr>
        <w:t>e</w:t>
      </w:r>
      <w:r w:rsidRPr="00E24289">
        <w:rPr>
          <w:rFonts w:cs="Arial"/>
        </w:rPr>
        <w:t xml:space="preserve">ducation sector and in related professional accrediting bodies. The University will recognise credit awarded by accredited UK HE </w:t>
      </w:r>
      <w:r>
        <w:rPr>
          <w:rFonts w:cs="Arial"/>
        </w:rPr>
        <w:t>providers</w:t>
      </w:r>
      <w:r w:rsidRPr="00E24289">
        <w:rPr>
          <w:rFonts w:cs="Arial"/>
        </w:rPr>
        <w:t xml:space="preserve"> subject to application of this policy.</w:t>
      </w:r>
    </w:p>
    <w:p w:rsidRPr="00E24289" w:rsidR="000E0AB6" w:rsidP="00E16187" w:rsidRDefault="000E0AB6" w14:paraId="43348A47" w14:textId="77777777">
      <w:pPr>
        <w:spacing w:line="240" w:lineRule="auto"/>
        <w:ind w:left="1440" w:hanging="720"/>
        <w:contextualSpacing/>
        <w:jc w:val="both"/>
        <w:rPr>
          <w:rFonts w:cs="Arial"/>
        </w:rPr>
      </w:pPr>
    </w:p>
    <w:p w:rsidRPr="00E24289" w:rsidR="000E0AB6" w:rsidP="00E16187" w:rsidRDefault="000E0AB6" w14:paraId="51A9A21B" w14:textId="77777777">
      <w:pPr>
        <w:spacing w:line="240" w:lineRule="auto"/>
        <w:contextualSpacing/>
        <w:jc w:val="both"/>
        <w:rPr>
          <w:rFonts w:cs="Arial"/>
          <w:b/>
        </w:rPr>
      </w:pPr>
      <w:r w:rsidRPr="009F5BFE">
        <w:rPr>
          <w:rFonts w:cs="Arial"/>
          <w:i/>
        </w:rPr>
        <w:t>Grading for RPL</w:t>
      </w:r>
      <w:r>
        <w:rPr>
          <w:rFonts w:cs="Arial"/>
          <w:i/>
        </w:rPr>
        <w:t>:</w:t>
      </w:r>
    </w:p>
    <w:p w:rsidRPr="00E24289" w:rsidR="000E0AB6" w:rsidP="00E16187" w:rsidRDefault="000E0AB6" w14:paraId="73BCB741" w14:textId="77777777">
      <w:pPr>
        <w:spacing w:line="240" w:lineRule="auto"/>
        <w:ind w:left="1440" w:hanging="720"/>
        <w:contextualSpacing/>
        <w:jc w:val="both"/>
        <w:rPr>
          <w:rFonts w:cs="Arial"/>
        </w:rPr>
      </w:pPr>
    </w:p>
    <w:p w:rsidRPr="00E24289" w:rsidR="000E0AB6" w:rsidP="00E16187" w:rsidRDefault="000E0AB6" w14:paraId="29CF2376" w14:textId="77777777">
      <w:pPr>
        <w:spacing w:line="240" w:lineRule="auto"/>
        <w:contextualSpacing/>
        <w:jc w:val="both"/>
        <w:rPr>
          <w:rFonts w:cs="Arial"/>
        </w:rPr>
      </w:pPr>
      <w:r w:rsidRPr="00E24289">
        <w:rPr>
          <w:rFonts w:cs="Arial"/>
        </w:rPr>
        <w:t xml:space="preserve">RPL credit is not generally graded unless the learning has been undertaken and assessed as part of a validated </w:t>
      </w:r>
      <w:r>
        <w:rPr>
          <w:rFonts w:cs="Arial"/>
        </w:rPr>
        <w:t xml:space="preserve">module/ </w:t>
      </w:r>
      <w:r w:rsidRPr="00E24289">
        <w:rPr>
          <w:rFonts w:cs="Arial"/>
        </w:rPr>
        <w:t>programme at Edge Hill University.</w:t>
      </w:r>
    </w:p>
    <w:p w:rsidRPr="00E24289" w:rsidR="000E0AB6" w:rsidP="00E16187" w:rsidRDefault="000E0AB6" w14:paraId="0A90409C" w14:textId="77777777">
      <w:pPr>
        <w:spacing w:line="240" w:lineRule="auto"/>
        <w:ind w:left="1440" w:hanging="720"/>
        <w:contextualSpacing/>
        <w:jc w:val="both"/>
        <w:rPr>
          <w:rFonts w:cs="Arial"/>
        </w:rPr>
      </w:pPr>
    </w:p>
    <w:p w:rsidRPr="00E24289" w:rsidR="000E0AB6" w:rsidP="00E16187" w:rsidRDefault="000E0AB6" w14:paraId="5B0B52DF" w14:textId="77777777">
      <w:pPr>
        <w:spacing w:line="240" w:lineRule="auto"/>
        <w:ind w:left="720" w:hanging="720"/>
        <w:contextualSpacing/>
        <w:jc w:val="both"/>
        <w:rPr>
          <w:rFonts w:cs="Arial"/>
          <w:b/>
        </w:rPr>
      </w:pPr>
      <w:r w:rsidRPr="009F5BFE">
        <w:rPr>
          <w:rFonts w:cs="Arial"/>
          <w:i/>
        </w:rPr>
        <w:t xml:space="preserve">Fairness and </w:t>
      </w:r>
      <w:r>
        <w:rPr>
          <w:rFonts w:cs="Arial"/>
          <w:i/>
        </w:rPr>
        <w:t>e</w:t>
      </w:r>
      <w:r w:rsidRPr="009F5BFE">
        <w:rPr>
          <w:rFonts w:cs="Arial"/>
          <w:i/>
        </w:rPr>
        <w:t>quity</w:t>
      </w:r>
      <w:r>
        <w:rPr>
          <w:rFonts w:cs="Arial"/>
          <w:i/>
        </w:rPr>
        <w:t>:</w:t>
      </w:r>
      <w:r w:rsidRPr="00E24289">
        <w:rPr>
          <w:rFonts w:cs="Arial"/>
        </w:rPr>
        <w:tab/>
      </w:r>
    </w:p>
    <w:p w:rsidRPr="00E24289" w:rsidR="000E0AB6" w:rsidP="00E16187" w:rsidRDefault="000E0AB6" w14:paraId="5C7729AC" w14:textId="77777777">
      <w:pPr>
        <w:spacing w:line="240" w:lineRule="auto"/>
        <w:ind w:left="1440" w:hanging="720"/>
        <w:contextualSpacing/>
        <w:jc w:val="both"/>
        <w:rPr>
          <w:rFonts w:cs="Arial"/>
        </w:rPr>
      </w:pPr>
    </w:p>
    <w:p w:rsidRPr="00E24289" w:rsidR="000E0AB6" w:rsidP="00E16187" w:rsidRDefault="000E0AB6" w14:paraId="6286A491" w14:textId="77777777">
      <w:pPr>
        <w:spacing w:line="240" w:lineRule="auto"/>
        <w:contextualSpacing/>
        <w:jc w:val="both"/>
        <w:rPr>
          <w:rFonts w:cs="Arial"/>
        </w:rPr>
      </w:pPr>
      <w:r w:rsidRPr="00E24289">
        <w:rPr>
          <w:rFonts w:cs="Arial"/>
        </w:rPr>
        <w:t xml:space="preserve">The RPL processes adopted by the University will be rigorous; fair to applicants; reflect the University’s Equal Opportunities Policy; and ensure that the student’s programme of study builds upon </w:t>
      </w:r>
      <w:r>
        <w:rPr>
          <w:rFonts w:cs="Arial"/>
        </w:rPr>
        <w:t xml:space="preserve">their </w:t>
      </w:r>
      <w:r w:rsidRPr="00E24289">
        <w:rPr>
          <w:rFonts w:cs="Arial"/>
        </w:rPr>
        <w:t xml:space="preserve">prior learning in a coherent way. </w:t>
      </w:r>
    </w:p>
    <w:p w:rsidRPr="00E24289" w:rsidR="000E0AB6" w:rsidP="00E16187" w:rsidRDefault="000E0AB6" w14:paraId="62643CE5" w14:textId="77777777">
      <w:pPr>
        <w:spacing w:line="240" w:lineRule="auto"/>
        <w:ind w:left="1440"/>
        <w:contextualSpacing/>
        <w:jc w:val="both"/>
        <w:rPr>
          <w:rFonts w:cs="Arial"/>
        </w:rPr>
      </w:pPr>
    </w:p>
    <w:p w:rsidRPr="00E24289" w:rsidR="000E0AB6" w:rsidP="00E16187" w:rsidRDefault="000E0AB6" w14:paraId="3A80FE73" w14:textId="77777777">
      <w:pPr>
        <w:spacing w:line="240" w:lineRule="auto"/>
        <w:contextualSpacing/>
        <w:jc w:val="both"/>
        <w:rPr>
          <w:rFonts w:cs="Arial"/>
        </w:rPr>
      </w:pPr>
      <w:r w:rsidRPr="00E24289">
        <w:rPr>
          <w:rFonts w:cs="Arial"/>
        </w:rPr>
        <w:t xml:space="preserve">The University reserves the right to make a charge in relation to the assessment of RPL.  </w:t>
      </w:r>
      <w:r>
        <w:rPr>
          <w:rFonts w:cs="Arial"/>
        </w:rPr>
        <w:t>A</w:t>
      </w:r>
      <w:r w:rsidRPr="00E24289">
        <w:rPr>
          <w:rFonts w:cs="Arial"/>
        </w:rPr>
        <w:t xml:space="preserve">ny such charge will be clearly identified to applicants in advance of their submission. </w:t>
      </w:r>
    </w:p>
    <w:p w:rsidR="000E0AB6" w:rsidP="00E16187" w:rsidRDefault="000E0AB6" w14:paraId="37AB2A7F" w14:textId="77777777">
      <w:pPr>
        <w:pStyle w:val="Heading2"/>
        <w:spacing w:line="240" w:lineRule="auto"/>
        <w:contextualSpacing/>
      </w:pPr>
      <w:bookmarkStart w:name="_Toc15387157" w:id="10"/>
      <w:r>
        <w:t>Operation</w:t>
      </w:r>
      <w:bookmarkEnd w:id="10"/>
      <w:r>
        <w:t xml:space="preserve"> </w:t>
      </w:r>
    </w:p>
    <w:p w:rsidRPr="00E24289" w:rsidR="000E0AB6" w:rsidP="00E16187" w:rsidRDefault="000E0AB6" w14:paraId="3C8A2A6C" w14:textId="77777777">
      <w:pPr>
        <w:spacing w:line="240" w:lineRule="auto"/>
        <w:contextualSpacing/>
        <w:jc w:val="both"/>
        <w:rPr>
          <w:rFonts w:cs="Arial"/>
        </w:rPr>
      </w:pPr>
    </w:p>
    <w:p w:rsidRPr="009F5BFE" w:rsidR="000E0AB6" w:rsidP="00E16187" w:rsidRDefault="000E0AB6" w14:paraId="1B8A345F" w14:textId="77777777">
      <w:pPr>
        <w:spacing w:line="240" w:lineRule="auto"/>
        <w:contextualSpacing/>
        <w:jc w:val="both"/>
        <w:rPr>
          <w:rFonts w:cs="Arial"/>
          <w:i/>
        </w:rPr>
      </w:pPr>
      <w:r w:rsidRPr="009F5BFE">
        <w:rPr>
          <w:rFonts w:cs="Arial"/>
          <w:i/>
        </w:rPr>
        <w:t>General</w:t>
      </w:r>
      <w:r>
        <w:rPr>
          <w:rFonts w:cs="Arial"/>
          <w:i/>
        </w:rPr>
        <w:t>:</w:t>
      </w:r>
    </w:p>
    <w:p w:rsidRPr="00E24289" w:rsidR="000E0AB6" w:rsidP="00E16187" w:rsidRDefault="000E0AB6" w14:paraId="2007F0C3" w14:textId="77777777">
      <w:pPr>
        <w:spacing w:line="240" w:lineRule="auto"/>
        <w:contextualSpacing/>
        <w:jc w:val="both"/>
        <w:rPr>
          <w:rFonts w:cs="Arial"/>
          <w:b/>
        </w:rPr>
      </w:pPr>
    </w:p>
    <w:p w:rsidRPr="00E24289" w:rsidR="000E0AB6" w:rsidP="00E16187" w:rsidRDefault="000E0AB6" w14:paraId="6BAC30EB" w14:textId="77777777">
      <w:pPr>
        <w:spacing w:line="240" w:lineRule="auto"/>
        <w:contextualSpacing/>
        <w:jc w:val="both"/>
        <w:rPr>
          <w:rFonts w:cs="Arial"/>
        </w:rPr>
      </w:pPr>
      <w:r w:rsidRPr="00E24289">
        <w:rPr>
          <w:rFonts w:cs="Arial"/>
        </w:rPr>
        <w:t xml:space="preserve">The assessment of RPL is carried out by subject tutors in Faculties. It is the responsibility of each Faculty to produce an RPL Protocol for the assessment of claims. </w:t>
      </w:r>
      <w:r>
        <w:rPr>
          <w:rFonts w:cs="Arial"/>
        </w:rPr>
        <w:t>In drawing up or</w:t>
      </w:r>
      <w:r w:rsidRPr="00E24289">
        <w:rPr>
          <w:rFonts w:cs="Arial"/>
        </w:rPr>
        <w:t xml:space="preserve"> revising the Protocol, Faculties will consult with the Dean of Teaching and Learning Development</w:t>
      </w:r>
      <w:r>
        <w:rPr>
          <w:rFonts w:cs="Arial"/>
        </w:rPr>
        <w:t>, Academic Registry</w:t>
      </w:r>
      <w:r w:rsidRPr="00E24289">
        <w:rPr>
          <w:rFonts w:cs="Arial"/>
        </w:rPr>
        <w:t xml:space="preserve"> and Admissions</w:t>
      </w:r>
      <w:r>
        <w:rPr>
          <w:rFonts w:cs="Arial"/>
        </w:rPr>
        <w:t>.</w:t>
      </w:r>
      <w:r w:rsidRPr="00E24289">
        <w:rPr>
          <w:rFonts w:cs="Arial"/>
        </w:rPr>
        <w:t xml:space="preserve"> The Protocols and their operation will be approved, </w:t>
      </w:r>
      <w:proofErr w:type="gramStart"/>
      <w:r w:rsidRPr="00E24289">
        <w:rPr>
          <w:rFonts w:cs="Arial"/>
        </w:rPr>
        <w:t>monitored</w:t>
      </w:r>
      <w:proofErr w:type="gramEnd"/>
      <w:r w:rsidRPr="00E24289">
        <w:rPr>
          <w:rFonts w:cs="Arial"/>
        </w:rPr>
        <w:t xml:space="preserve"> and reviewed by Faculties.</w:t>
      </w:r>
    </w:p>
    <w:p w:rsidRPr="00E24289" w:rsidR="000E0AB6" w:rsidP="00E16187" w:rsidRDefault="000E0AB6" w14:paraId="47DD9D88" w14:textId="77777777">
      <w:pPr>
        <w:spacing w:line="240" w:lineRule="auto"/>
        <w:contextualSpacing/>
        <w:jc w:val="both"/>
        <w:rPr>
          <w:rFonts w:cs="Arial"/>
        </w:rPr>
      </w:pPr>
    </w:p>
    <w:p w:rsidRPr="00E24289" w:rsidR="000E0AB6" w:rsidP="00E16187" w:rsidRDefault="000E0AB6" w14:paraId="1BF1557B" w14:textId="77777777">
      <w:pPr>
        <w:spacing w:line="240" w:lineRule="auto"/>
        <w:contextualSpacing/>
        <w:jc w:val="both"/>
        <w:rPr>
          <w:rFonts w:cs="Arial"/>
          <w:color w:val="FF0000"/>
        </w:rPr>
      </w:pPr>
      <w:r w:rsidRPr="00E24289">
        <w:rPr>
          <w:rFonts w:cs="Arial"/>
        </w:rPr>
        <w:t xml:space="preserve">The Faculty Protocol should </w:t>
      </w:r>
      <w:r>
        <w:rPr>
          <w:rFonts w:cs="Arial"/>
        </w:rPr>
        <w:t>address Expectation B6 of the</w:t>
      </w:r>
      <w:r w:rsidRPr="00E24289">
        <w:rPr>
          <w:rFonts w:cs="Arial"/>
        </w:rPr>
        <w:t xml:space="preserve"> </w:t>
      </w:r>
      <w:r>
        <w:rPr>
          <w:rFonts w:cs="Arial"/>
        </w:rPr>
        <w:t xml:space="preserve">UK Quality Code for Higher Education (QAA) </w:t>
      </w:r>
      <w:r w:rsidRPr="00E24289">
        <w:rPr>
          <w:rFonts w:cs="Arial"/>
        </w:rPr>
        <w:t xml:space="preserve">and the principles outlined in this policy and included in validation documents with an indication of any special arrangements for that </w:t>
      </w:r>
      <w:proofErr w:type="gramStart"/>
      <w:r w:rsidRPr="00E24289">
        <w:rPr>
          <w:rFonts w:cs="Arial"/>
        </w:rPr>
        <w:t>particular programme</w:t>
      </w:r>
      <w:proofErr w:type="gramEnd"/>
      <w:r w:rsidRPr="00E24289">
        <w:rPr>
          <w:rFonts w:cs="Arial"/>
        </w:rPr>
        <w:t xml:space="preserve">.  The Protocol will cover the following:  </w:t>
      </w:r>
    </w:p>
    <w:p w:rsidRPr="00E24289" w:rsidR="000E0AB6" w:rsidP="00E16187" w:rsidRDefault="000E0AB6" w14:paraId="146918D1" w14:textId="77777777">
      <w:pPr>
        <w:spacing w:line="240" w:lineRule="auto"/>
        <w:ind w:left="1440" w:hanging="720"/>
        <w:contextualSpacing/>
        <w:jc w:val="both"/>
        <w:rPr>
          <w:rFonts w:cs="Arial"/>
        </w:rPr>
      </w:pPr>
    </w:p>
    <w:p w:rsidRPr="00E24289" w:rsidR="000E0AB6" w:rsidP="00E16187" w:rsidRDefault="000E0AB6" w14:paraId="1EE9C832" w14:textId="77777777">
      <w:pPr>
        <w:spacing w:line="240" w:lineRule="auto"/>
        <w:ind w:left="426" w:hanging="426"/>
        <w:contextualSpacing/>
        <w:jc w:val="both"/>
        <w:rPr>
          <w:rFonts w:cs="Arial"/>
        </w:rPr>
      </w:pPr>
      <w:r w:rsidRPr="00E24289">
        <w:rPr>
          <w:rFonts w:cs="Arial"/>
        </w:rPr>
        <w:t>a)</w:t>
      </w:r>
      <w:r w:rsidRPr="00E24289">
        <w:rPr>
          <w:rFonts w:cs="Arial"/>
        </w:rPr>
        <w:tab/>
      </w:r>
      <w:r w:rsidRPr="00E24289">
        <w:rPr>
          <w:rFonts w:cs="Arial"/>
        </w:rPr>
        <w:t>The extent to which RPL is applied, including its use for:</w:t>
      </w:r>
    </w:p>
    <w:p w:rsidRPr="00E24289" w:rsidR="000E0AB6" w:rsidP="00E16187" w:rsidRDefault="000E0AB6" w14:paraId="09B1D778" w14:textId="77777777">
      <w:pPr>
        <w:spacing w:line="240" w:lineRule="auto"/>
        <w:ind w:left="426" w:hanging="426"/>
        <w:contextualSpacing/>
        <w:jc w:val="both"/>
        <w:rPr>
          <w:rFonts w:cs="Arial"/>
        </w:rPr>
      </w:pPr>
    </w:p>
    <w:p w:rsidRPr="00E24289" w:rsidR="000E0AB6" w:rsidP="00E16187" w:rsidRDefault="000E0AB6" w14:paraId="06A3DE01" w14:textId="77777777">
      <w:pPr>
        <w:spacing w:line="240" w:lineRule="auto"/>
        <w:ind w:left="851" w:hanging="426"/>
        <w:contextualSpacing/>
        <w:jc w:val="both"/>
        <w:rPr>
          <w:rFonts w:cs="Arial"/>
        </w:rPr>
      </w:pPr>
      <w:proofErr w:type="spellStart"/>
      <w:r w:rsidRPr="00E24289">
        <w:rPr>
          <w:rFonts w:cs="Arial"/>
        </w:rPr>
        <w:t>i</w:t>
      </w:r>
      <w:proofErr w:type="spellEnd"/>
      <w:r w:rsidRPr="00E24289">
        <w:rPr>
          <w:rFonts w:cs="Arial"/>
        </w:rPr>
        <w:t>)</w:t>
      </w:r>
      <w:r w:rsidRPr="00E24289">
        <w:rPr>
          <w:rFonts w:cs="Arial"/>
        </w:rPr>
        <w:tab/>
      </w:r>
      <w:r>
        <w:rPr>
          <w:rFonts w:cs="Arial"/>
        </w:rPr>
        <w:t>i</w:t>
      </w:r>
      <w:r w:rsidRPr="00E24289">
        <w:rPr>
          <w:rFonts w:cs="Arial"/>
        </w:rPr>
        <w:t xml:space="preserve">nitial admission to the degree/award-bearing </w:t>
      </w:r>
      <w:proofErr w:type="gramStart"/>
      <w:r w:rsidRPr="00E24289">
        <w:rPr>
          <w:rFonts w:cs="Arial"/>
        </w:rPr>
        <w:t>course</w:t>
      </w:r>
      <w:r>
        <w:rPr>
          <w:rFonts w:cs="Arial"/>
        </w:rPr>
        <w:t>;</w:t>
      </w:r>
      <w:proofErr w:type="gramEnd"/>
    </w:p>
    <w:p w:rsidRPr="00E24289" w:rsidR="000E0AB6" w:rsidP="00E16187" w:rsidRDefault="000E0AB6" w14:paraId="578883CF" w14:textId="77777777">
      <w:pPr>
        <w:spacing w:line="240" w:lineRule="auto"/>
        <w:ind w:left="851" w:hanging="426"/>
        <w:contextualSpacing/>
        <w:jc w:val="both"/>
        <w:rPr>
          <w:rFonts w:cs="Arial"/>
        </w:rPr>
      </w:pPr>
      <w:r w:rsidRPr="00E24289">
        <w:rPr>
          <w:rFonts w:cs="Arial"/>
        </w:rPr>
        <w:t>ii)</w:t>
      </w:r>
      <w:r w:rsidRPr="00E24289">
        <w:rPr>
          <w:rFonts w:cs="Arial"/>
        </w:rPr>
        <w:tab/>
      </w:r>
      <w:r w:rsidRPr="00E24289">
        <w:rPr>
          <w:rFonts w:cs="Arial"/>
        </w:rPr>
        <w:t xml:space="preserve">advanced entry to an award bearing </w:t>
      </w:r>
      <w:proofErr w:type="gramStart"/>
      <w:r w:rsidRPr="00E24289">
        <w:rPr>
          <w:rFonts w:cs="Arial"/>
        </w:rPr>
        <w:t>programme</w:t>
      </w:r>
      <w:r>
        <w:rPr>
          <w:rFonts w:cs="Arial"/>
        </w:rPr>
        <w:t>;</w:t>
      </w:r>
      <w:proofErr w:type="gramEnd"/>
      <w:r w:rsidRPr="00E24289">
        <w:rPr>
          <w:rFonts w:cs="Arial"/>
        </w:rPr>
        <w:t xml:space="preserve"> </w:t>
      </w:r>
    </w:p>
    <w:p w:rsidRPr="00E24289" w:rsidR="000E0AB6" w:rsidP="00E16187" w:rsidRDefault="000E0AB6" w14:paraId="2B3585ED" w14:textId="77777777">
      <w:pPr>
        <w:spacing w:line="240" w:lineRule="auto"/>
        <w:ind w:left="851" w:hanging="426"/>
        <w:contextualSpacing/>
        <w:jc w:val="both"/>
        <w:rPr>
          <w:rFonts w:cs="Arial"/>
        </w:rPr>
      </w:pPr>
      <w:r w:rsidRPr="00E24289">
        <w:rPr>
          <w:rFonts w:cs="Arial"/>
        </w:rPr>
        <w:t>iii)</w:t>
      </w:r>
      <w:r w:rsidRPr="00E24289">
        <w:rPr>
          <w:rFonts w:cs="Arial"/>
        </w:rPr>
        <w:tab/>
      </w:r>
      <w:r w:rsidRPr="00E24289">
        <w:rPr>
          <w:rFonts w:cs="Arial"/>
        </w:rPr>
        <w:t>the recognition of RPL credit within an award</w:t>
      </w:r>
      <w:r>
        <w:rPr>
          <w:rFonts w:cs="Arial"/>
        </w:rPr>
        <w:t>.</w:t>
      </w:r>
    </w:p>
    <w:p w:rsidRPr="00E24289" w:rsidR="000E0AB6" w:rsidP="00E16187" w:rsidRDefault="000E0AB6" w14:paraId="3F5F93E3" w14:textId="77777777">
      <w:pPr>
        <w:spacing w:line="240" w:lineRule="auto"/>
        <w:ind w:left="426" w:hanging="426"/>
        <w:contextualSpacing/>
        <w:jc w:val="both"/>
        <w:rPr>
          <w:rFonts w:cs="Arial"/>
        </w:rPr>
      </w:pPr>
    </w:p>
    <w:p w:rsidRPr="00E24289" w:rsidR="000E0AB6" w:rsidP="00E16187" w:rsidRDefault="000E0AB6" w14:paraId="50B94D8C" w14:textId="77777777">
      <w:pPr>
        <w:spacing w:line="240" w:lineRule="auto"/>
        <w:ind w:left="426" w:hanging="426"/>
        <w:contextualSpacing/>
        <w:jc w:val="both"/>
        <w:rPr>
          <w:rFonts w:cs="Arial"/>
        </w:rPr>
      </w:pPr>
      <w:r w:rsidRPr="00E24289">
        <w:rPr>
          <w:rFonts w:cs="Arial"/>
        </w:rPr>
        <w:t>b)</w:t>
      </w:r>
      <w:r w:rsidRPr="00E24289">
        <w:rPr>
          <w:rFonts w:cs="Arial"/>
        </w:rPr>
        <w:tab/>
      </w:r>
      <w:r w:rsidRPr="00E24289">
        <w:rPr>
          <w:rFonts w:cs="Arial"/>
        </w:rPr>
        <w:t>The preparation and checking of publicity and marketing materials to ensure potential applicants are aware of RPL</w:t>
      </w:r>
      <w:r>
        <w:rPr>
          <w:rFonts w:cs="Arial"/>
        </w:rPr>
        <w:t>.</w:t>
      </w:r>
    </w:p>
    <w:p w:rsidRPr="00E24289" w:rsidR="000E0AB6" w:rsidP="00E16187" w:rsidRDefault="000E0AB6" w14:paraId="6FE0C4C8" w14:textId="77777777">
      <w:pPr>
        <w:spacing w:line="240" w:lineRule="auto"/>
        <w:ind w:left="426" w:hanging="426"/>
        <w:contextualSpacing/>
        <w:jc w:val="both"/>
        <w:rPr>
          <w:rFonts w:cs="Arial"/>
        </w:rPr>
      </w:pPr>
    </w:p>
    <w:p w:rsidRPr="00E24289" w:rsidR="000E0AB6" w:rsidP="00E16187" w:rsidRDefault="000E0AB6" w14:paraId="1CEA0D17" w14:textId="77777777">
      <w:pPr>
        <w:spacing w:line="240" w:lineRule="auto"/>
        <w:ind w:left="426" w:hanging="426"/>
        <w:contextualSpacing/>
        <w:jc w:val="both"/>
        <w:rPr>
          <w:rFonts w:cs="Arial"/>
        </w:rPr>
      </w:pPr>
      <w:r w:rsidRPr="00E24289">
        <w:rPr>
          <w:rFonts w:cs="Arial"/>
        </w:rPr>
        <w:t>c)</w:t>
      </w:r>
      <w:r w:rsidRPr="00E24289">
        <w:rPr>
          <w:rFonts w:cs="Arial"/>
        </w:rPr>
        <w:tab/>
      </w:r>
      <w:r w:rsidRPr="00E24289">
        <w:rPr>
          <w:rFonts w:cs="Arial"/>
        </w:rPr>
        <w:t>The specific procedures that applicants should follow in making a claim for RPL at the various stages identified in a) above</w:t>
      </w:r>
      <w:r>
        <w:rPr>
          <w:rFonts w:cs="Arial"/>
        </w:rPr>
        <w:t>.</w:t>
      </w:r>
    </w:p>
    <w:p w:rsidRPr="00E24289" w:rsidR="000E0AB6" w:rsidP="00E16187" w:rsidRDefault="000E0AB6" w14:paraId="5A04FC80" w14:textId="77777777">
      <w:pPr>
        <w:spacing w:line="240" w:lineRule="auto"/>
        <w:ind w:left="426" w:hanging="426"/>
        <w:contextualSpacing/>
        <w:jc w:val="both"/>
        <w:rPr>
          <w:rFonts w:cs="Arial"/>
        </w:rPr>
      </w:pPr>
    </w:p>
    <w:p w:rsidRPr="00E24289" w:rsidR="000E0AB6" w:rsidP="00E16187" w:rsidRDefault="000E0AB6" w14:paraId="0C57AFD7" w14:textId="77777777">
      <w:pPr>
        <w:spacing w:line="240" w:lineRule="auto"/>
        <w:ind w:left="426" w:hanging="426"/>
        <w:contextualSpacing/>
        <w:jc w:val="both"/>
        <w:rPr>
          <w:rFonts w:cs="Arial"/>
        </w:rPr>
      </w:pPr>
      <w:r w:rsidRPr="00E24289">
        <w:rPr>
          <w:rFonts w:cs="Arial"/>
        </w:rPr>
        <w:t>d)</w:t>
      </w:r>
      <w:r w:rsidRPr="00E24289">
        <w:rPr>
          <w:rFonts w:cs="Arial"/>
        </w:rPr>
        <w:tab/>
      </w:r>
      <w:r w:rsidRPr="00E24289">
        <w:rPr>
          <w:rFonts w:cs="Arial"/>
        </w:rPr>
        <w:t>The forms of advice, guidance and support available for RPL applicants</w:t>
      </w:r>
      <w:r>
        <w:rPr>
          <w:rFonts w:cs="Arial"/>
        </w:rPr>
        <w:t>.</w:t>
      </w:r>
    </w:p>
    <w:p w:rsidRPr="00E24289" w:rsidR="000E0AB6" w:rsidP="00E16187" w:rsidRDefault="000E0AB6" w14:paraId="1B018FD1" w14:textId="77777777">
      <w:pPr>
        <w:spacing w:line="240" w:lineRule="auto"/>
        <w:ind w:left="426" w:hanging="426"/>
        <w:contextualSpacing/>
        <w:jc w:val="both"/>
        <w:rPr>
          <w:rFonts w:cs="Arial"/>
        </w:rPr>
      </w:pPr>
    </w:p>
    <w:p w:rsidRPr="00E24289" w:rsidR="000E0AB6" w:rsidP="00E16187" w:rsidRDefault="000E0AB6" w14:paraId="25F70E0F" w14:textId="77777777">
      <w:pPr>
        <w:spacing w:line="240" w:lineRule="auto"/>
        <w:ind w:left="426" w:hanging="426"/>
        <w:contextualSpacing/>
        <w:jc w:val="both"/>
        <w:rPr>
          <w:rFonts w:cs="Arial"/>
        </w:rPr>
      </w:pPr>
      <w:r w:rsidRPr="00E24289">
        <w:rPr>
          <w:rFonts w:cs="Arial"/>
        </w:rPr>
        <w:t>e)</w:t>
      </w:r>
      <w:r w:rsidRPr="00E24289">
        <w:rPr>
          <w:rFonts w:cs="Arial"/>
        </w:rPr>
        <w:tab/>
      </w:r>
      <w:r w:rsidRPr="00E24289">
        <w:rPr>
          <w:rFonts w:cs="Arial"/>
        </w:rPr>
        <w:t>The procedures that will be followed in assessing and confirming a claim for RPL. This will include the clear identification of the persons/sub-committee responsible for these procedures</w:t>
      </w:r>
      <w:r>
        <w:rPr>
          <w:rFonts w:cs="Arial"/>
        </w:rPr>
        <w:t>.</w:t>
      </w:r>
      <w:r w:rsidRPr="00E24289">
        <w:rPr>
          <w:rFonts w:cs="Arial"/>
        </w:rPr>
        <w:t xml:space="preserve"> </w:t>
      </w:r>
    </w:p>
    <w:p w:rsidRPr="00E24289" w:rsidR="000E0AB6" w:rsidP="00E16187" w:rsidRDefault="000E0AB6" w14:paraId="11E313B8" w14:textId="77777777">
      <w:pPr>
        <w:spacing w:line="240" w:lineRule="auto"/>
        <w:ind w:left="426" w:hanging="426"/>
        <w:contextualSpacing/>
        <w:jc w:val="both"/>
        <w:rPr>
          <w:rFonts w:cs="Arial"/>
        </w:rPr>
      </w:pPr>
    </w:p>
    <w:p w:rsidRPr="00E24289" w:rsidR="000E0AB6" w:rsidP="00E16187" w:rsidRDefault="000E0AB6" w14:paraId="4F782B25" w14:textId="77777777">
      <w:pPr>
        <w:spacing w:line="240" w:lineRule="auto"/>
        <w:ind w:left="426" w:hanging="426"/>
        <w:contextualSpacing/>
        <w:jc w:val="both"/>
        <w:rPr>
          <w:rFonts w:cs="Arial"/>
          <w:color w:val="FF0000"/>
        </w:rPr>
      </w:pPr>
      <w:r w:rsidRPr="00E24289">
        <w:rPr>
          <w:rFonts w:cs="Arial"/>
        </w:rPr>
        <w:t xml:space="preserve">f)    </w:t>
      </w:r>
      <w:r w:rsidRPr="00E24289">
        <w:rPr>
          <w:rFonts w:cs="Arial"/>
        </w:rPr>
        <w:tab/>
      </w:r>
      <w:r w:rsidRPr="00E24289">
        <w:rPr>
          <w:rFonts w:cs="Arial"/>
        </w:rPr>
        <w:t xml:space="preserve">Details of the operational arrangements </w:t>
      </w:r>
      <w:r>
        <w:rPr>
          <w:rFonts w:cs="Arial"/>
        </w:rPr>
        <w:t xml:space="preserve">for </w:t>
      </w:r>
      <w:r w:rsidRPr="00E24289">
        <w:rPr>
          <w:rFonts w:cs="Arial"/>
        </w:rPr>
        <w:t>any Faculty RPL Panel(s)</w:t>
      </w:r>
      <w:r>
        <w:rPr>
          <w:rFonts w:cs="Arial"/>
        </w:rPr>
        <w:t>.</w:t>
      </w:r>
    </w:p>
    <w:p w:rsidRPr="00E24289" w:rsidR="000E0AB6" w:rsidP="00E16187" w:rsidRDefault="000E0AB6" w14:paraId="501C1836" w14:textId="77777777">
      <w:pPr>
        <w:spacing w:line="240" w:lineRule="auto"/>
        <w:ind w:left="426" w:hanging="426"/>
        <w:contextualSpacing/>
        <w:jc w:val="both"/>
        <w:rPr>
          <w:rFonts w:cs="Arial"/>
        </w:rPr>
      </w:pPr>
    </w:p>
    <w:p w:rsidRPr="00E24289" w:rsidR="000E0AB6" w:rsidP="00E16187" w:rsidRDefault="000E0AB6" w14:paraId="60D9AD6D" w14:textId="77777777">
      <w:pPr>
        <w:spacing w:line="240" w:lineRule="auto"/>
        <w:ind w:left="426" w:hanging="426"/>
        <w:contextualSpacing/>
        <w:jc w:val="both"/>
        <w:rPr>
          <w:rFonts w:cs="Arial"/>
          <w:color w:val="FF0000"/>
        </w:rPr>
      </w:pPr>
      <w:r w:rsidRPr="00E24289">
        <w:rPr>
          <w:rFonts w:cs="Arial"/>
        </w:rPr>
        <w:t>g)</w:t>
      </w:r>
      <w:r w:rsidRPr="00E24289">
        <w:rPr>
          <w:rFonts w:cs="Arial"/>
        </w:rPr>
        <w:tab/>
      </w:r>
      <w:r w:rsidRPr="00E24289">
        <w:rPr>
          <w:rFonts w:cs="Arial"/>
        </w:rPr>
        <w:t>If it is a classified award, the extent to which grades/</w:t>
      </w:r>
      <w:r>
        <w:rPr>
          <w:rFonts w:cs="Arial"/>
        </w:rPr>
        <w:t xml:space="preserve"> </w:t>
      </w:r>
      <w:r w:rsidRPr="00E24289">
        <w:rPr>
          <w:rFonts w:cs="Arial"/>
        </w:rPr>
        <w:t>marks from other higher education institutions can be incorporated in the Edge Hill award having regard to the University’s Academic Regulations</w:t>
      </w:r>
      <w:r>
        <w:rPr>
          <w:rFonts w:cs="Arial"/>
        </w:rPr>
        <w:t>.</w:t>
      </w:r>
      <w:r w:rsidRPr="00E24289">
        <w:rPr>
          <w:rFonts w:cs="Arial"/>
        </w:rPr>
        <w:t xml:space="preserve"> </w:t>
      </w:r>
    </w:p>
    <w:p w:rsidRPr="00E24289" w:rsidR="000E0AB6" w:rsidP="00E16187" w:rsidRDefault="000E0AB6" w14:paraId="19DF1853" w14:textId="77777777">
      <w:pPr>
        <w:spacing w:line="240" w:lineRule="auto"/>
        <w:ind w:left="426" w:hanging="426"/>
        <w:contextualSpacing/>
        <w:jc w:val="both"/>
        <w:rPr>
          <w:rFonts w:cs="Arial"/>
        </w:rPr>
      </w:pPr>
    </w:p>
    <w:p w:rsidRPr="00E24289" w:rsidR="000E0AB6" w:rsidP="00E16187" w:rsidRDefault="000E0AB6" w14:paraId="1EB4E6F2" w14:textId="77777777">
      <w:pPr>
        <w:spacing w:line="240" w:lineRule="auto"/>
        <w:ind w:left="426" w:hanging="426"/>
        <w:contextualSpacing/>
        <w:jc w:val="both"/>
        <w:rPr>
          <w:rFonts w:cs="Arial"/>
        </w:rPr>
      </w:pPr>
      <w:r w:rsidRPr="00E24289">
        <w:rPr>
          <w:rFonts w:cs="Arial"/>
        </w:rPr>
        <w:t>h)</w:t>
      </w:r>
      <w:r w:rsidRPr="00E24289">
        <w:rPr>
          <w:rFonts w:cs="Arial"/>
        </w:rPr>
        <w:tab/>
      </w:r>
      <w:r w:rsidRPr="00E24289">
        <w:rPr>
          <w:rFonts w:cs="Arial"/>
        </w:rPr>
        <w:t xml:space="preserve">Any fees to be paid by the applicant in connection with the RPL claim.  </w:t>
      </w:r>
    </w:p>
    <w:p w:rsidRPr="00E24289" w:rsidR="000E0AB6" w:rsidP="00E16187" w:rsidRDefault="000E0AB6" w14:paraId="1D0C8DA2" w14:textId="77777777">
      <w:pPr>
        <w:spacing w:line="240" w:lineRule="auto"/>
        <w:contextualSpacing/>
        <w:jc w:val="both"/>
        <w:rPr>
          <w:rFonts w:cs="Arial"/>
        </w:rPr>
      </w:pPr>
    </w:p>
    <w:p w:rsidRPr="00431DE1" w:rsidR="000E0AB6" w:rsidP="00E16187" w:rsidRDefault="000E0AB6" w14:paraId="05A250C7" w14:textId="77777777">
      <w:pPr>
        <w:spacing w:before="120" w:line="240" w:lineRule="auto"/>
        <w:contextualSpacing/>
        <w:jc w:val="both"/>
        <w:rPr>
          <w:rFonts w:cs="Arial"/>
          <w:i/>
        </w:rPr>
      </w:pPr>
      <w:r w:rsidRPr="00431DE1">
        <w:rPr>
          <w:rFonts w:cs="Arial"/>
          <w:i/>
        </w:rPr>
        <w:t>Specific</w:t>
      </w:r>
      <w:r>
        <w:rPr>
          <w:rFonts w:cs="Arial"/>
          <w:i/>
        </w:rPr>
        <w:t>:</w:t>
      </w:r>
    </w:p>
    <w:p w:rsidRPr="00E24289" w:rsidR="000E0AB6" w:rsidP="00E16187" w:rsidRDefault="000E0AB6" w14:paraId="3F019C5D" w14:textId="77777777">
      <w:pPr>
        <w:spacing w:line="240" w:lineRule="auto"/>
        <w:ind w:firstLine="720"/>
        <w:contextualSpacing/>
        <w:jc w:val="both"/>
        <w:rPr>
          <w:rFonts w:cs="Arial"/>
        </w:rPr>
      </w:pPr>
    </w:p>
    <w:p w:rsidRPr="00E24289" w:rsidR="000E0AB6" w:rsidP="00E16187" w:rsidRDefault="000E0AB6" w14:paraId="3BD86CDC" w14:textId="77777777">
      <w:pPr>
        <w:tabs>
          <w:tab w:val="left" w:pos="426"/>
        </w:tabs>
        <w:spacing w:line="240" w:lineRule="auto"/>
        <w:contextualSpacing/>
        <w:jc w:val="both"/>
        <w:rPr>
          <w:rFonts w:cs="Arial"/>
          <w:b/>
        </w:rPr>
      </w:pPr>
      <w:r w:rsidRPr="00E24289">
        <w:rPr>
          <w:rFonts w:cs="Arial"/>
        </w:rPr>
        <w:t>a)</w:t>
      </w:r>
      <w:r w:rsidRPr="00E24289">
        <w:rPr>
          <w:rFonts w:cs="Arial"/>
          <w:b/>
        </w:rPr>
        <w:t xml:space="preserve"> </w:t>
      </w:r>
      <w:r w:rsidRPr="00E24289">
        <w:rPr>
          <w:rFonts w:cs="Arial"/>
          <w:b/>
        </w:rPr>
        <w:tab/>
      </w:r>
      <w:r w:rsidRPr="00431DE1">
        <w:rPr>
          <w:rFonts w:cs="Arial"/>
          <w:u w:val="single"/>
        </w:rPr>
        <w:t>Admission to programmes of study</w:t>
      </w:r>
    </w:p>
    <w:p w:rsidRPr="00E24289" w:rsidR="000E0AB6" w:rsidP="00E16187" w:rsidRDefault="000E0AB6" w14:paraId="78D4FBED" w14:textId="77777777">
      <w:pPr>
        <w:spacing w:line="240" w:lineRule="auto"/>
        <w:contextualSpacing/>
        <w:jc w:val="both"/>
        <w:rPr>
          <w:rFonts w:cs="Arial"/>
          <w:b/>
        </w:rPr>
      </w:pPr>
    </w:p>
    <w:p w:rsidRPr="00E24289" w:rsidR="000E0AB6" w:rsidP="00E16187" w:rsidRDefault="000E0AB6" w14:paraId="1DD1A24B" w14:textId="77777777">
      <w:pPr>
        <w:spacing w:line="240" w:lineRule="auto"/>
        <w:ind w:left="426"/>
        <w:contextualSpacing/>
        <w:jc w:val="both"/>
        <w:rPr>
          <w:rFonts w:cs="Arial"/>
        </w:rPr>
      </w:pPr>
      <w:r w:rsidRPr="00E24289">
        <w:rPr>
          <w:rFonts w:cs="Arial"/>
        </w:rPr>
        <w:t xml:space="preserve">Where an applicant wishes to use RPL as alternative or supplementary evidence of academic suitability for entry to a programme, the normal admissions process will apply.  Admissions tutors will follow the principles outlined above in determining </w:t>
      </w:r>
      <w:proofErr w:type="gramStart"/>
      <w:r w:rsidRPr="00E24289">
        <w:rPr>
          <w:rFonts w:cs="Arial"/>
        </w:rPr>
        <w:t>whether or not</w:t>
      </w:r>
      <w:proofErr w:type="gramEnd"/>
      <w:r w:rsidRPr="00E24289">
        <w:rPr>
          <w:rFonts w:cs="Arial"/>
        </w:rPr>
        <w:t xml:space="preserve"> an offer of a place can be made. Applicants may be asked to attend for interview and may be required to complete additional pieces of work as part of the assessment process.  Applications for </w:t>
      </w:r>
      <w:r>
        <w:rPr>
          <w:rFonts w:cs="Arial"/>
        </w:rPr>
        <w:t xml:space="preserve">individual </w:t>
      </w:r>
      <w:r w:rsidRPr="00E24289">
        <w:rPr>
          <w:rFonts w:cs="Arial"/>
        </w:rPr>
        <w:t xml:space="preserve">advanced entry (for example where a student has completed the first year of a programme at another University) are also handled through the admissions </w:t>
      </w:r>
      <w:proofErr w:type="gramStart"/>
      <w:r w:rsidRPr="00E24289">
        <w:rPr>
          <w:rFonts w:cs="Arial"/>
        </w:rPr>
        <w:t>process</w:t>
      </w:r>
      <w:proofErr w:type="gramEnd"/>
      <w:r w:rsidRPr="00E24289">
        <w:rPr>
          <w:rFonts w:cs="Arial"/>
        </w:rPr>
        <w:t xml:space="preserve"> but outcomes will be reported to the appropriate Progression or Award Board and may be subject to scrutiny by external examiners where the entry level is above level 4.</w:t>
      </w:r>
    </w:p>
    <w:p w:rsidRPr="00E24289" w:rsidR="000E0AB6" w:rsidP="00E16187" w:rsidRDefault="000E0AB6" w14:paraId="0E4BE001" w14:textId="77777777">
      <w:pPr>
        <w:spacing w:line="240" w:lineRule="auto"/>
        <w:contextualSpacing/>
        <w:jc w:val="both"/>
        <w:rPr>
          <w:rFonts w:cs="Arial"/>
        </w:rPr>
      </w:pPr>
    </w:p>
    <w:p w:rsidRPr="00431DE1" w:rsidR="000E0AB6" w:rsidP="00E16187" w:rsidRDefault="000E0AB6" w14:paraId="0FDD4827" w14:textId="77777777">
      <w:pPr>
        <w:tabs>
          <w:tab w:val="left" w:pos="426"/>
        </w:tabs>
        <w:spacing w:line="240" w:lineRule="auto"/>
        <w:contextualSpacing/>
        <w:jc w:val="both"/>
        <w:rPr>
          <w:rFonts w:cs="Arial"/>
          <w:u w:val="single"/>
        </w:rPr>
      </w:pPr>
      <w:r w:rsidRPr="00E24289">
        <w:rPr>
          <w:rFonts w:cs="Arial"/>
        </w:rPr>
        <w:t>b)</w:t>
      </w:r>
      <w:r w:rsidRPr="00E24289">
        <w:rPr>
          <w:rFonts w:cs="Arial"/>
        </w:rPr>
        <w:tab/>
      </w:r>
      <w:r w:rsidRPr="00431DE1">
        <w:rPr>
          <w:rFonts w:cs="Arial"/>
          <w:u w:val="single"/>
        </w:rPr>
        <w:t>Articulation/</w:t>
      </w:r>
      <w:r>
        <w:rPr>
          <w:rFonts w:cs="Arial"/>
          <w:u w:val="single"/>
        </w:rPr>
        <w:t xml:space="preserve"> </w:t>
      </w:r>
      <w:r w:rsidRPr="00431DE1">
        <w:rPr>
          <w:rFonts w:cs="Arial"/>
          <w:u w:val="single"/>
        </w:rPr>
        <w:t xml:space="preserve">credit </w:t>
      </w:r>
      <w:r>
        <w:rPr>
          <w:rFonts w:cs="Arial"/>
          <w:u w:val="single"/>
        </w:rPr>
        <w:t>exemption</w:t>
      </w:r>
    </w:p>
    <w:p w:rsidRPr="00E24289" w:rsidR="000E0AB6" w:rsidP="00E16187" w:rsidRDefault="000E0AB6" w14:paraId="3725C614" w14:textId="77777777">
      <w:pPr>
        <w:spacing w:line="240" w:lineRule="auto"/>
        <w:contextualSpacing/>
        <w:jc w:val="both"/>
        <w:rPr>
          <w:rFonts w:cs="Arial"/>
        </w:rPr>
      </w:pPr>
    </w:p>
    <w:p w:rsidRPr="00E24289" w:rsidR="000E0AB6" w:rsidP="00E16187" w:rsidRDefault="000E0AB6" w14:paraId="3F2CB2CD" w14:textId="77777777">
      <w:pPr>
        <w:spacing w:line="240" w:lineRule="auto"/>
        <w:ind w:left="426"/>
        <w:contextualSpacing/>
        <w:jc w:val="both"/>
        <w:rPr>
          <w:rFonts w:cs="Arial"/>
        </w:rPr>
      </w:pPr>
      <w:r w:rsidRPr="00E24289">
        <w:rPr>
          <w:rFonts w:cs="Arial"/>
        </w:rPr>
        <w:t>Articulation</w:t>
      </w:r>
      <w:r>
        <w:rPr>
          <w:rFonts w:cs="Arial"/>
        </w:rPr>
        <w:t xml:space="preserve"> with </w:t>
      </w:r>
      <w:r w:rsidRPr="00E24289">
        <w:rPr>
          <w:rFonts w:cs="Arial"/>
        </w:rPr>
        <w:t xml:space="preserve">credit </w:t>
      </w:r>
      <w:r>
        <w:rPr>
          <w:rFonts w:cs="Arial"/>
        </w:rPr>
        <w:t>exemption</w:t>
      </w:r>
      <w:r w:rsidRPr="00E24289">
        <w:rPr>
          <w:rFonts w:cs="Arial"/>
        </w:rPr>
        <w:t xml:space="preserve"> </w:t>
      </w:r>
      <w:r>
        <w:rPr>
          <w:rFonts w:cs="Arial"/>
        </w:rPr>
        <w:t xml:space="preserve">is a </w:t>
      </w:r>
      <w:r w:rsidRPr="00E24289">
        <w:rPr>
          <w:rFonts w:cs="Arial"/>
        </w:rPr>
        <w:t xml:space="preserve">specific form of admission where the University has already undertaken a mapping exercise to determine the equivalency of </w:t>
      </w:r>
      <w:r>
        <w:rPr>
          <w:rFonts w:cs="Arial"/>
        </w:rPr>
        <w:t>another provider’s programme</w:t>
      </w:r>
      <w:r w:rsidRPr="00E24289">
        <w:rPr>
          <w:rFonts w:cs="Arial"/>
        </w:rPr>
        <w:t xml:space="preserve"> </w:t>
      </w:r>
      <w:r>
        <w:rPr>
          <w:rFonts w:cs="Arial"/>
        </w:rPr>
        <w:t>which enables any qualification holder to enter an Edge Hill programme</w:t>
      </w:r>
      <w:r w:rsidRPr="008264FE">
        <w:rPr>
          <w:rFonts w:cs="Arial"/>
        </w:rPr>
        <w:t xml:space="preserve"> </w:t>
      </w:r>
      <w:r>
        <w:rPr>
          <w:rFonts w:cs="Arial"/>
        </w:rPr>
        <w:t xml:space="preserve">with </w:t>
      </w:r>
      <w:r w:rsidRPr="00E24289">
        <w:rPr>
          <w:rFonts w:cs="Arial"/>
        </w:rPr>
        <w:t>advanced</w:t>
      </w:r>
      <w:r>
        <w:rPr>
          <w:rFonts w:cs="Arial"/>
        </w:rPr>
        <w:t xml:space="preserve"> standing, </w:t>
      </w:r>
      <w:proofErr w:type="gramStart"/>
      <w:r>
        <w:rPr>
          <w:rFonts w:cs="Arial"/>
        </w:rPr>
        <w:t>i.e.</w:t>
      </w:r>
      <w:proofErr w:type="gramEnd"/>
      <w:r>
        <w:rPr>
          <w:rFonts w:cs="Arial"/>
        </w:rPr>
        <w:t xml:space="preserve"> at a later stage than its normal start</w:t>
      </w:r>
      <w:r w:rsidRPr="00E24289">
        <w:rPr>
          <w:rFonts w:cs="Arial"/>
        </w:rPr>
        <w:t xml:space="preserve">. Applicants </w:t>
      </w:r>
      <w:r>
        <w:rPr>
          <w:rFonts w:cs="Arial"/>
        </w:rPr>
        <w:t xml:space="preserve">for advanced entry to programmes </w:t>
      </w:r>
      <w:r>
        <w:rPr>
          <w:rFonts w:cs="Arial"/>
        </w:rPr>
        <w:t xml:space="preserve">supported by articulation agreements </w:t>
      </w:r>
      <w:r w:rsidRPr="00E24289">
        <w:rPr>
          <w:rFonts w:cs="Arial"/>
        </w:rPr>
        <w:t xml:space="preserve">are not required to make </w:t>
      </w:r>
      <w:r>
        <w:rPr>
          <w:rFonts w:cs="Arial"/>
        </w:rPr>
        <w:t>individual</w:t>
      </w:r>
      <w:r w:rsidRPr="00E24289">
        <w:rPr>
          <w:rFonts w:cs="Arial"/>
        </w:rPr>
        <w:t xml:space="preserve"> RPL submissions.</w:t>
      </w:r>
    </w:p>
    <w:p w:rsidRPr="00E24289" w:rsidR="000E0AB6" w:rsidP="00E16187" w:rsidRDefault="000E0AB6" w14:paraId="30D42B87" w14:textId="77777777">
      <w:pPr>
        <w:spacing w:line="240" w:lineRule="auto"/>
        <w:contextualSpacing/>
        <w:jc w:val="both"/>
        <w:rPr>
          <w:rFonts w:cs="Arial"/>
        </w:rPr>
      </w:pPr>
    </w:p>
    <w:p w:rsidRPr="00431DE1" w:rsidR="000E0AB6" w:rsidP="00E16187" w:rsidRDefault="000E0AB6" w14:paraId="5696B7B4" w14:textId="77777777">
      <w:pPr>
        <w:tabs>
          <w:tab w:val="left" w:pos="426"/>
        </w:tabs>
        <w:spacing w:line="240" w:lineRule="auto"/>
        <w:contextualSpacing/>
        <w:jc w:val="both"/>
        <w:rPr>
          <w:rFonts w:cs="Arial"/>
          <w:u w:val="single"/>
        </w:rPr>
      </w:pPr>
      <w:r w:rsidRPr="00E24289">
        <w:rPr>
          <w:rFonts w:cs="Arial"/>
        </w:rPr>
        <w:t>c)</w:t>
      </w:r>
      <w:r w:rsidRPr="00E24289">
        <w:rPr>
          <w:rFonts w:cs="Arial"/>
        </w:rPr>
        <w:tab/>
      </w:r>
      <w:r w:rsidRPr="00431DE1">
        <w:rPr>
          <w:rFonts w:cs="Arial"/>
          <w:u w:val="single"/>
        </w:rPr>
        <w:t xml:space="preserve">Course Transfers  </w:t>
      </w:r>
    </w:p>
    <w:p w:rsidRPr="00E24289" w:rsidR="000E0AB6" w:rsidP="00E16187" w:rsidRDefault="000E0AB6" w14:paraId="6F12502D" w14:textId="77777777">
      <w:pPr>
        <w:spacing w:line="240" w:lineRule="auto"/>
        <w:contextualSpacing/>
        <w:jc w:val="both"/>
        <w:rPr>
          <w:rFonts w:cs="Arial"/>
          <w:b/>
        </w:rPr>
      </w:pPr>
    </w:p>
    <w:p w:rsidRPr="00E24289" w:rsidR="000E0AB6" w:rsidP="00E16187" w:rsidRDefault="000E0AB6" w14:paraId="2C9ABBBF" w14:textId="77777777">
      <w:pPr>
        <w:spacing w:line="240" w:lineRule="auto"/>
        <w:ind w:left="426"/>
        <w:contextualSpacing/>
        <w:jc w:val="both"/>
        <w:rPr>
          <w:rFonts w:cs="Arial"/>
        </w:rPr>
      </w:pPr>
      <w:r w:rsidRPr="00E24289">
        <w:rPr>
          <w:rFonts w:cs="Arial"/>
        </w:rPr>
        <w:t>Students who wish to transfer their programme of study whilst at the University will be assessed for admission in relation to the receiving programme and RPL credit previously awarded will be re</w:t>
      </w:r>
      <w:r>
        <w:rPr>
          <w:rFonts w:cs="Arial"/>
        </w:rPr>
        <w:t>-</w:t>
      </w:r>
      <w:r w:rsidRPr="00E24289">
        <w:rPr>
          <w:rFonts w:cs="Arial"/>
        </w:rPr>
        <w:t>assessed.</w:t>
      </w:r>
    </w:p>
    <w:p w:rsidRPr="00E24289" w:rsidR="000E0AB6" w:rsidP="00E16187" w:rsidRDefault="000E0AB6" w14:paraId="4721495B" w14:textId="77777777">
      <w:pPr>
        <w:spacing w:line="240" w:lineRule="auto"/>
        <w:contextualSpacing/>
        <w:jc w:val="both"/>
        <w:rPr>
          <w:rFonts w:cs="Arial"/>
        </w:rPr>
      </w:pPr>
    </w:p>
    <w:p w:rsidRPr="00E24289" w:rsidR="000E0AB6" w:rsidP="00E16187" w:rsidRDefault="000E0AB6" w14:paraId="63080006" w14:textId="77777777">
      <w:pPr>
        <w:tabs>
          <w:tab w:val="left" w:pos="426"/>
        </w:tabs>
        <w:spacing w:line="240" w:lineRule="auto"/>
        <w:contextualSpacing/>
        <w:jc w:val="both"/>
        <w:rPr>
          <w:rFonts w:cs="Arial"/>
        </w:rPr>
      </w:pPr>
      <w:r w:rsidRPr="00E24289">
        <w:rPr>
          <w:rFonts w:cs="Arial"/>
        </w:rPr>
        <w:t>d)</w:t>
      </w:r>
      <w:r w:rsidRPr="00E24289">
        <w:rPr>
          <w:rFonts w:cs="Arial"/>
        </w:rPr>
        <w:tab/>
      </w:r>
      <w:r w:rsidRPr="00431DE1">
        <w:rPr>
          <w:rFonts w:cs="Arial"/>
          <w:u w:val="single"/>
        </w:rPr>
        <w:t>RPL credit within programmes</w:t>
      </w:r>
      <w:r w:rsidRPr="00E24289">
        <w:rPr>
          <w:rFonts w:cs="Arial"/>
        </w:rPr>
        <w:t xml:space="preserve"> </w:t>
      </w:r>
    </w:p>
    <w:p w:rsidRPr="00E24289" w:rsidR="000E0AB6" w:rsidP="00E16187" w:rsidRDefault="000E0AB6" w14:paraId="44F5C976" w14:textId="77777777">
      <w:pPr>
        <w:spacing w:line="240" w:lineRule="auto"/>
        <w:ind w:hanging="720"/>
        <w:contextualSpacing/>
        <w:jc w:val="both"/>
        <w:rPr>
          <w:rFonts w:cs="Arial"/>
        </w:rPr>
      </w:pPr>
    </w:p>
    <w:p w:rsidRPr="00E24289" w:rsidR="000E0AB6" w:rsidP="00E16187" w:rsidRDefault="000E0AB6" w14:paraId="243E8132" w14:textId="77777777">
      <w:pPr>
        <w:spacing w:line="240" w:lineRule="auto"/>
        <w:ind w:left="426"/>
        <w:contextualSpacing/>
        <w:jc w:val="both"/>
        <w:rPr>
          <w:rFonts w:cs="Arial"/>
        </w:rPr>
      </w:pPr>
      <w:r w:rsidRPr="00E24289">
        <w:rPr>
          <w:rFonts w:cs="Arial"/>
        </w:rPr>
        <w:t>Students seeking RPL credit for individual modules once they have been accepted on</w:t>
      </w:r>
      <w:r>
        <w:rPr>
          <w:rFonts w:cs="Arial"/>
        </w:rPr>
        <w:t xml:space="preserve"> </w:t>
      </w:r>
      <w:r w:rsidRPr="00E24289">
        <w:rPr>
          <w:rFonts w:cs="Arial"/>
        </w:rPr>
        <w:t>to a programme apply using processes outlined in the Faculty Protocol document.  Decisions will be reported to the appropriate Progression/</w:t>
      </w:r>
      <w:r>
        <w:rPr>
          <w:rFonts w:cs="Arial"/>
        </w:rPr>
        <w:t xml:space="preserve"> </w:t>
      </w:r>
      <w:r w:rsidRPr="00E24289">
        <w:rPr>
          <w:rFonts w:cs="Arial"/>
        </w:rPr>
        <w:t xml:space="preserve">Award Board and may be subject to scrutiny by external examiners where the credit awarded is above level 4. </w:t>
      </w:r>
    </w:p>
    <w:p w:rsidRPr="00E24289" w:rsidR="000E0AB6" w:rsidP="00E16187" w:rsidRDefault="000E0AB6" w14:paraId="0CEF2007" w14:textId="77777777">
      <w:pPr>
        <w:spacing w:line="240" w:lineRule="auto"/>
        <w:ind w:left="2160"/>
        <w:contextualSpacing/>
        <w:jc w:val="both"/>
        <w:rPr>
          <w:rFonts w:cs="Arial"/>
        </w:rPr>
      </w:pPr>
      <w:r w:rsidRPr="00E24289">
        <w:rPr>
          <w:rFonts w:cs="Arial"/>
        </w:rPr>
        <w:t xml:space="preserve"> </w:t>
      </w:r>
    </w:p>
    <w:p w:rsidRPr="00E24289" w:rsidR="000E0AB6" w:rsidP="00E16187" w:rsidRDefault="000E0AB6" w14:paraId="0B821647" w14:textId="77777777">
      <w:pPr>
        <w:pStyle w:val="Heading2"/>
        <w:spacing w:line="240" w:lineRule="auto"/>
        <w:contextualSpacing/>
      </w:pPr>
      <w:bookmarkStart w:name="_Toc15387158" w:id="11"/>
      <w:r>
        <w:t>Complaints and Appeals</w:t>
      </w:r>
      <w:bookmarkEnd w:id="11"/>
    </w:p>
    <w:p w:rsidRPr="00E24289" w:rsidR="000E0AB6" w:rsidP="00E16187" w:rsidRDefault="000E0AB6" w14:paraId="189D53D9" w14:textId="77777777">
      <w:pPr>
        <w:spacing w:line="240" w:lineRule="auto"/>
        <w:ind w:left="720" w:hanging="720"/>
        <w:contextualSpacing/>
        <w:jc w:val="both"/>
        <w:rPr>
          <w:rFonts w:cs="Arial"/>
        </w:rPr>
      </w:pPr>
    </w:p>
    <w:p w:rsidR="000E0AB6" w:rsidP="00E16187" w:rsidRDefault="000E0AB6" w14:paraId="66A66C32" w14:textId="379BC7DD">
      <w:pPr>
        <w:spacing w:line="240" w:lineRule="auto"/>
        <w:contextualSpacing/>
        <w:jc w:val="both"/>
        <w:rPr>
          <w:rFonts w:cs="Arial"/>
        </w:rPr>
      </w:pPr>
      <w:r w:rsidRPr="00E24289">
        <w:rPr>
          <w:rFonts w:cs="Arial"/>
        </w:rPr>
        <w:t>RPL decisions are matters of academic judgement. Students have a right to receive feedback on their submission and may use the complaints and appeals processes as appropriate in relation to the RPL process.</w:t>
      </w:r>
    </w:p>
    <w:p w:rsidRPr="00E24289" w:rsidR="00974B0B" w:rsidP="00E16187" w:rsidRDefault="00974B0B" w14:paraId="75C3B129" w14:textId="74E1BE3A">
      <w:pPr>
        <w:spacing w:line="240" w:lineRule="auto"/>
        <w:contextualSpacing/>
        <w:jc w:val="both"/>
        <w:rPr>
          <w:rFonts w:cs="Arial"/>
        </w:rPr>
      </w:pPr>
    </w:p>
    <w:p w:rsidR="00974B0B" w:rsidP="00974B0B" w:rsidRDefault="00974B0B" w14:paraId="0E0D1DDF" w14:textId="4BAE2981">
      <w:pPr>
        <w:pStyle w:val="Heading1"/>
      </w:pPr>
      <w:bookmarkStart w:name="_Toc2346349" w:id="12"/>
      <w:bookmarkStart w:name="_Toc15387159" w:id="13"/>
      <w:r w:rsidRPr="00072B12">
        <w:t>Key to Relevant Documents</w:t>
      </w:r>
      <w:bookmarkEnd w:id="12"/>
      <w:bookmarkEnd w:id="13"/>
      <w:r>
        <w:t xml:space="preserve"> </w:t>
      </w:r>
    </w:p>
    <w:p w:rsidR="00072B12" w:rsidP="00CF458F" w:rsidRDefault="00072B12" w14:paraId="431A7627" w14:textId="77777777">
      <w:pPr>
        <w:spacing w:after="0" w:line="240" w:lineRule="auto"/>
      </w:pPr>
    </w:p>
    <w:p w:rsidR="00CF458F" w:rsidP="00CF458F" w:rsidRDefault="00CF458F" w14:paraId="18836910" w14:textId="18A312F1">
      <w:pPr>
        <w:spacing w:after="0" w:line="240" w:lineRule="auto"/>
        <w:rPr>
          <w:sz w:val="23"/>
          <w:szCs w:val="23"/>
        </w:rPr>
      </w:pPr>
      <w:r w:rsidRPr="00095C4D">
        <w:t>This policy refers to the following documents, which you may find useful.</w:t>
      </w:r>
      <w:r w:rsidRPr="00095C4D">
        <w:rPr>
          <w:sz w:val="23"/>
          <w:szCs w:val="23"/>
        </w:rPr>
        <w:t xml:space="preserve"> </w:t>
      </w:r>
    </w:p>
    <w:p w:rsidRPr="0060046E" w:rsidR="001A7848" w:rsidP="00072B12" w:rsidRDefault="00B041FB" w14:paraId="48267CC0" w14:textId="3206B36D">
      <w:pPr>
        <w:pStyle w:val="Heading1"/>
        <w:numPr>
          <w:ilvl w:val="0"/>
          <w:numId w:val="7"/>
        </w:numPr>
        <w:spacing w:line="240" w:lineRule="auto"/>
        <w:contextualSpacing/>
        <w:rPr>
          <w:rFonts w:ascii="Arial" w:hAnsi="Arial" w:cs="Arial"/>
          <w:bCs/>
          <w:color w:val="auto"/>
          <w:sz w:val="24"/>
          <w:szCs w:val="24"/>
        </w:rPr>
      </w:pPr>
      <w:hyperlink w:history="1" r:id="rId8">
        <w:bookmarkStart w:name="_Toc15387160" w:id="14"/>
        <w:r w:rsidRPr="0060046E" w:rsidR="00800348">
          <w:rPr>
            <w:rStyle w:val="Hyperlink"/>
            <w:rFonts w:ascii="Arial" w:hAnsi="Arial" w:cs="Arial"/>
            <w:bCs/>
            <w:color w:val="auto"/>
            <w:sz w:val="24"/>
            <w:szCs w:val="24"/>
          </w:rPr>
          <w:t xml:space="preserve">Higher </w:t>
        </w:r>
        <w:r w:rsidRPr="0060046E" w:rsidR="00072B12">
          <w:rPr>
            <w:rStyle w:val="Hyperlink"/>
            <w:rFonts w:ascii="Arial" w:hAnsi="Arial" w:cs="Arial"/>
            <w:bCs/>
            <w:color w:val="auto"/>
            <w:sz w:val="24"/>
            <w:szCs w:val="24"/>
          </w:rPr>
          <w:t xml:space="preserve">Education Credit Framework for </w:t>
        </w:r>
        <w:r w:rsidRPr="0060046E" w:rsidR="00800348">
          <w:rPr>
            <w:rStyle w:val="Hyperlink"/>
            <w:rFonts w:ascii="Arial" w:hAnsi="Arial" w:cs="Arial"/>
            <w:bCs/>
            <w:color w:val="auto"/>
            <w:sz w:val="24"/>
            <w:szCs w:val="24"/>
          </w:rPr>
          <w:t>England</w:t>
        </w:r>
        <w:r w:rsidRPr="0060046E" w:rsidR="00072B12">
          <w:rPr>
            <w:rStyle w:val="Hyperlink"/>
            <w:rFonts w:ascii="Arial" w:hAnsi="Arial" w:cs="Arial"/>
            <w:bCs/>
            <w:color w:val="auto"/>
            <w:sz w:val="24"/>
            <w:szCs w:val="24"/>
          </w:rPr>
          <w:t xml:space="preserve">: Guidance </w:t>
        </w:r>
        <w:r w:rsidRPr="0060046E" w:rsidR="00385626">
          <w:rPr>
            <w:rStyle w:val="Hyperlink"/>
            <w:rFonts w:ascii="Arial" w:hAnsi="Arial" w:cs="Arial"/>
            <w:bCs/>
            <w:color w:val="auto"/>
            <w:sz w:val="24"/>
            <w:szCs w:val="24"/>
          </w:rPr>
          <w:t>o</w:t>
        </w:r>
        <w:r w:rsidRPr="0060046E" w:rsidR="00072B12">
          <w:rPr>
            <w:rStyle w:val="Hyperlink"/>
            <w:rFonts w:ascii="Arial" w:hAnsi="Arial" w:cs="Arial"/>
            <w:bCs/>
            <w:color w:val="auto"/>
            <w:sz w:val="24"/>
            <w:szCs w:val="24"/>
          </w:rPr>
          <w:t xml:space="preserve">n Academic Credit Arrangements in Higher Education in </w:t>
        </w:r>
        <w:r w:rsidRPr="0060046E" w:rsidR="00800348">
          <w:rPr>
            <w:rStyle w:val="Hyperlink"/>
            <w:rFonts w:ascii="Arial" w:hAnsi="Arial" w:cs="Arial"/>
            <w:bCs/>
            <w:color w:val="auto"/>
            <w:sz w:val="24"/>
            <w:szCs w:val="24"/>
          </w:rPr>
          <w:t xml:space="preserve">England’ </w:t>
        </w:r>
        <w:r w:rsidRPr="0060046E" w:rsidR="00072B12">
          <w:rPr>
            <w:rStyle w:val="Hyperlink"/>
            <w:rFonts w:ascii="Arial" w:hAnsi="Arial" w:cs="Arial"/>
            <w:bCs/>
            <w:color w:val="auto"/>
            <w:sz w:val="24"/>
            <w:szCs w:val="24"/>
          </w:rPr>
          <w:t>(20</w:t>
        </w:r>
        <w:r w:rsidR="00E777F0">
          <w:rPr>
            <w:rStyle w:val="Hyperlink"/>
            <w:rFonts w:ascii="Arial" w:hAnsi="Arial" w:cs="Arial"/>
            <w:bCs/>
            <w:color w:val="auto"/>
            <w:sz w:val="24"/>
            <w:szCs w:val="24"/>
          </w:rPr>
          <w:t>21</w:t>
        </w:r>
        <w:r w:rsidRPr="0060046E" w:rsidR="00072B12">
          <w:rPr>
            <w:rStyle w:val="Hyperlink"/>
            <w:rFonts w:ascii="Arial" w:hAnsi="Arial" w:cs="Arial"/>
            <w:bCs/>
            <w:color w:val="auto"/>
            <w:sz w:val="24"/>
            <w:szCs w:val="24"/>
          </w:rPr>
          <w:t>)</w:t>
        </w:r>
        <w:bookmarkEnd w:id="14"/>
      </w:hyperlink>
    </w:p>
    <w:p w:rsidRPr="0060046E" w:rsidR="00072B12" w:rsidP="00072B12" w:rsidRDefault="00B041FB" w14:paraId="6837896D" w14:textId="08A77C88">
      <w:pPr>
        <w:pStyle w:val="Heading1"/>
        <w:numPr>
          <w:ilvl w:val="0"/>
          <w:numId w:val="7"/>
        </w:numPr>
        <w:rPr>
          <w:rStyle w:val="Hyperlink"/>
          <w:rFonts w:ascii="Arial" w:hAnsi="Arial" w:cs="Arial"/>
          <w:color w:val="auto"/>
          <w:sz w:val="24"/>
          <w:szCs w:val="24"/>
        </w:rPr>
      </w:pPr>
      <w:hyperlink w:history="1" r:id="rId9">
        <w:bookmarkStart w:name="_Toc15371969" w:id="15"/>
        <w:bookmarkStart w:name="_Toc15387161" w:id="16"/>
        <w:r w:rsidRPr="0060046E" w:rsidR="00072B12">
          <w:rPr>
            <w:rStyle w:val="Hyperlink"/>
            <w:rFonts w:ascii="Arial" w:hAnsi="Arial" w:cs="Arial"/>
            <w:color w:val="auto"/>
            <w:sz w:val="24"/>
            <w:szCs w:val="24"/>
          </w:rPr>
          <w:t>The Academic Regulations</w:t>
        </w:r>
        <w:bookmarkEnd w:id="15"/>
      </w:hyperlink>
      <w:r w:rsidRPr="0060046E" w:rsidR="00072B12">
        <w:rPr>
          <w:rStyle w:val="Hyperlink"/>
          <w:rFonts w:ascii="Arial" w:hAnsi="Arial" w:cs="Arial"/>
          <w:color w:val="auto"/>
          <w:sz w:val="24"/>
          <w:szCs w:val="24"/>
          <w:u w:val="none"/>
        </w:rPr>
        <w:t xml:space="preserve"> (C4.1)</w:t>
      </w:r>
      <w:bookmarkEnd w:id="16"/>
    </w:p>
    <w:p w:rsidRPr="0060046E" w:rsidR="001A7848" w:rsidP="001A7848" w:rsidRDefault="001A7848" w14:paraId="5683DDC3" w14:textId="77777777">
      <w:pPr>
        <w:pStyle w:val="FootnoteText"/>
        <w:rPr>
          <w:rFonts w:ascii="Arial" w:hAnsi="Arial" w:cs="Arial"/>
          <w:sz w:val="24"/>
          <w:szCs w:val="24"/>
        </w:rPr>
      </w:pPr>
    </w:p>
    <w:p w:rsidRPr="0060046E" w:rsidR="001A7848" w:rsidP="00072B12" w:rsidRDefault="00B041FB" w14:paraId="31F8FBC4" w14:textId="4A58D6EC">
      <w:pPr>
        <w:pStyle w:val="FootnoteText"/>
        <w:numPr>
          <w:ilvl w:val="0"/>
          <w:numId w:val="7"/>
        </w:numPr>
        <w:rPr>
          <w:rFonts w:ascii="Arial" w:hAnsi="Arial" w:cs="Arial"/>
          <w:bCs/>
          <w:sz w:val="24"/>
          <w:szCs w:val="24"/>
        </w:rPr>
      </w:pPr>
      <w:hyperlink w:history="1" r:id="rId10">
        <w:r w:rsidRPr="0060046E" w:rsidR="001A7848">
          <w:rPr>
            <w:rStyle w:val="Hyperlink"/>
            <w:rFonts w:ascii="Arial" w:hAnsi="Arial" w:cs="Arial"/>
            <w:bCs/>
            <w:color w:val="auto"/>
            <w:sz w:val="24"/>
            <w:szCs w:val="24"/>
          </w:rPr>
          <w:t>European Credit Transfer and Accumulation System (ECTS)</w:t>
        </w:r>
      </w:hyperlink>
    </w:p>
    <w:p w:rsidRPr="0060046E" w:rsidR="00B8301B" w:rsidP="00B8301B" w:rsidRDefault="00B041FB" w14:paraId="0B45DD58" w14:textId="2B9BB0B5">
      <w:pPr>
        <w:pStyle w:val="Heading1"/>
        <w:numPr>
          <w:ilvl w:val="0"/>
          <w:numId w:val="9"/>
        </w:numPr>
        <w:rPr>
          <w:rStyle w:val="Hyperlink"/>
          <w:rFonts w:ascii="Arial" w:hAnsi="Arial" w:cs="Arial"/>
          <w:color w:val="auto"/>
          <w:sz w:val="24"/>
          <w:szCs w:val="24"/>
        </w:rPr>
      </w:pPr>
      <w:hyperlink w:history="1" r:id="rId11">
        <w:bookmarkStart w:name="_Toc15387162" w:id="17"/>
        <w:r w:rsidRPr="0060046E" w:rsidR="001A7848">
          <w:rPr>
            <w:rStyle w:val="Hyperlink"/>
            <w:rFonts w:ascii="Arial" w:hAnsi="Arial" w:cs="Arial"/>
            <w:color w:val="auto"/>
            <w:sz w:val="24"/>
            <w:szCs w:val="24"/>
          </w:rPr>
          <w:t>Quality Code for Higher Education (QAA)</w:t>
        </w:r>
        <w:bookmarkEnd w:id="17"/>
      </w:hyperlink>
    </w:p>
    <w:p w:rsidR="00B8301B" w:rsidP="00B8301B" w:rsidRDefault="00B8301B" w14:paraId="0ED6E088" w14:textId="64706D8A"/>
    <w:p w:rsidR="00B8301B" w:rsidP="00B8301B" w:rsidRDefault="00B8301B" w14:paraId="2014A309" w14:textId="77777777">
      <w:pPr>
        <w:pStyle w:val="Heading1"/>
      </w:pPr>
      <w:bookmarkStart w:name="_Toc15371972" w:id="18"/>
      <w:bookmarkStart w:name="_Toc15387163" w:id="19"/>
      <w:r>
        <w:t>Annexes</w:t>
      </w:r>
      <w:bookmarkEnd w:id="18"/>
      <w:bookmarkEnd w:id="19"/>
    </w:p>
    <w:p w:rsidR="00B8301B" w:rsidP="00B8301B" w:rsidRDefault="00B8301B" w14:paraId="52BF6024" w14:textId="77777777">
      <w:r>
        <w:t>There are no annexes to this policy.</w:t>
      </w:r>
    </w:p>
    <w:p w:rsidRPr="00B8301B" w:rsidR="00B8301B" w:rsidP="00B8301B" w:rsidRDefault="00B8301B" w14:paraId="48272072" w14:textId="77777777"/>
    <w:p w:rsidR="00CF458F" w:rsidP="001A7848" w:rsidRDefault="00CF458F" w14:paraId="1C10C974" w14:textId="50D7DDF0">
      <w:pPr>
        <w:pStyle w:val="FootnoteText"/>
        <w:rPr>
          <w:rStyle w:val="Hyperlink"/>
          <w:rFonts w:ascii="Arial" w:hAnsi="Arial" w:cs="Arial"/>
          <w:sz w:val="24"/>
          <w:szCs w:val="24"/>
          <w:highlight w:val="green"/>
        </w:rPr>
      </w:pPr>
    </w:p>
    <w:p w:rsidRPr="006A5B50" w:rsidR="006A5B50" w:rsidP="00E16187" w:rsidRDefault="000D23AF" w14:paraId="1264D09D" w14:textId="76F24AA4">
      <w:pPr>
        <w:pStyle w:val="Heading1"/>
        <w:spacing w:line="240" w:lineRule="auto"/>
        <w:contextualSpacing/>
      </w:pPr>
      <w:r>
        <w:br w:type="page"/>
      </w:r>
      <w:bookmarkStart w:name="_Toc15387164" w:id="20"/>
      <w:r w:rsidR="009C4F34">
        <w:t>E</w:t>
      </w:r>
      <w:r w:rsidRPr="000D23AF" w:rsidR="009C4F34">
        <w:t>nd matter</w:t>
      </w:r>
      <w:bookmarkEnd w:id="20"/>
    </w:p>
    <w:tbl>
      <w:tblPr>
        <w:tblStyle w:val="TableGrid"/>
        <w:tblW w:w="0" w:type="auto"/>
        <w:tblLook w:val="04A0" w:firstRow="1" w:lastRow="0" w:firstColumn="1" w:lastColumn="0" w:noHBand="0" w:noVBand="1"/>
      </w:tblPr>
      <w:tblGrid>
        <w:gridCol w:w="2758"/>
        <w:gridCol w:w="6258"/>
      </w:tblGrid>
      <w:tr w:rsidR="00C40AB0" w:rsidTr="00B041FB" w14:paraId="233EE9E6" w14:textId="77777777">
        <w:trPr>
          <w:tblHeader/>
        </w:trPr>
        <w:tc>
          <w:tcPr>
            <w:tcW w:w="2758" w:type="dxa"/>
          </w:tcPr>
          <w:p w:rsidR="00C40AB0" w:rsidP="00E16187" w:rsidRDefault="00C40AB0" w14:paraId="40A3DFA4" w14:textId="77777777">
            <w:pPr>
              <w:contextualSpacing/>
            </w:pPr>
            <w:r>
              <w:t>Title</w:t>
            </w:r>
          </w:p>
        </w:tc>
        <w:tc>
          <w:tcPr>
            <w:tcW w:w="6258" w:type="dxa"/>
          </w:tcPr>
          <w:p w:rsidR="00C40AB0" w:rsidP="00E16187" w:rsidRDefault="00C40AB0" w14:paraId="69C770CA" w14:textId="2C382A4B">
            <w:pPr>
              <w:contextualSpacing/>
            </w:pPr>
            <w:r>
              <w:t xml:space="preserve">Appendix </w:t>
            </w:r>
            <w:r w:rsidR="00795FB4">
              <w:t>4</w:t>
            </w:r>
            <w:r w:rsidR="008E2043">
              <w:t>:</w:t>
            </w:r>
            <w:r>
              <w:t xml:space="preserve"> </w:t>
            </w:r>
            <w:r w:rsidRPr="00795FB4" w:rsidR="00795FB4">
              <w:t>Credit Use and Transfer Including Recognition of Prior Learning Policy (RPL)</w:t>
            </w:r>
          </w:p>
        </w:tc>
      </w:tr>
      <w:tr w:rsidR="00C40AB0" w:rsidTr="00C40AB0" w14:paraId="266657E6" w14:textId="77777777">
        <w:tc>
          <w:tcPr>
            <w:tcW w:w="2758" w:type="dxa"/>
          </w:tcPr>
          <w:p w:rsidR="00C40AB0" w:rsidP="00E16187" w:rsidRDefault="00C40AB0" w14:paraId="3F9FE157" w14:textId="77777777">
            <w:pPr>
              <w:contextualSpacing/>
            </w:pPr>
            <w:r>
              <w:t>Policy Owner</w:t>
            </w:r>
          </w:p>
        </w:tc>
        <w:tc>
          <w:tcPr>
            <w:tcW w:w="6258" w:type="dxa"/>
          </w:tcPr>
          <w:p w:rsidR="00C40AB0" w:rsidP="00E16187" w:rsidRDefault="00795FB4" w14:paraId="739496B3" w14:textId="5A11961A">
            <w:pPr>
              <w:contextualSpacing/>
            </w:pPr>
            <w:r>
              <w:t>Dean of Teaching and Learning Development</w:t>
            </w:r>
          </w:p>
        </w:tc>
      </w:tr>
      <w:tr w:rsidR="00ED4C32" w:rsidTr="00C40AB0" w14:paraId="21458245" w14:textId="77777777">
        <w:tc>
          <w:tcPr>
            <w:tcW w:w="2758" w:type="dxa"/>
          </w:tcPr>
          <w:p w:rsidR="00ED4C32" w:rsidP="00ED4C32" w:rsidRDefault="00ED4C32" w14:paraId="1FFC1AFC" w14:textId="3074ED5C">
            <w:pPr>
              <w:contextualSpacing/>
            </w:pPr>
            <w:r>
              <w:t>Policy Manager</w:t>
            </w:r>
          </w:p>
        </w:tc>
        <w:tc>
          <w:tcPr>
            <w:tcW w:w="6258" w:type="dxa"/>
          </w:tcPr>
          <w:p w:rsidR="00ED4C32" w:rsidP="00ED4C32" w:rsidRDefault="00ED4C32" w14:paraId="25A40AF8" w14:textId="2178BC5C">
            <w:pPr>
              <w:contextualSpacing/>
            </w:pPr>
            <w:r>
              <w:t>Dean of Teaching and Learning Development</w:t>
            </w:r>
          </w:p>
        </w:tc>
      </w:tr>
      <w:tr w:rsidR="00ED4C32" w:rsidTr="00C40AB0" w14:paraId="62CBCBCC" w14:textId="77777777">
        <w:tc>
          <w:tcPr>
            <w:tcW w:w="2758" w:type="dxa"/>
          </w:tcPr>
          <w:p w:rsidR="00ED4C32" w:rsidP="00ED4C32" w:rsidRDefault="00ED4C32" w14:paraId="3F46EA99" w14:textId="77777777">
            <w:pPr>
              <w:contextualSpacing/>
            </w:pPr>
            <w:r>
              <w:t>Approved by</w:t>
            </w:r>
          </w:p>
        </w:tc>
        <w:tc>
          <w:tcPr>
            <w:tcW w:w="6258" w:type="dxa"/>
          </w:tcPr>
          <w:p w:rsidR="00ED4C32" w:rsidP="00ED4C32" w:rsidRDefault="00ED4C32" w14:paraId="1EA2B378" w14:textId="7D834EDE">
            <w:pPr>
              <w:contextualSpacing/>
            </w:pPr>
            <w:r>
              <w:t>Regulations Review Sub-Committee</w:t>
            </w:r>
          </w:p>
        </w:tc>
      </w:tr>
      <w:tr w:rsidR="00ED4C32" w:rsidTr="00C40AB0" w14:paraId="0FAEB4C2" w14:textId="77777777">
        <w:tc>
          <w:tcPr>
            <w:tcW w:w="2758" w:type="dxa"/>
          </w:tcPr>
          <w:p w:rsidRPr="003E607C" w:rsidR="00ED4C32" w:rsidP="00ED4C32" w:rsidRDefault="00ED4C32" w14:paraId="3F563CB5" w14:textId="77777777">
            <w:pPr>
              <w:contextualSpacing/>
            </w:pPr>
            <w:r w:rsidRPr="003E607C">
              <w:t>Date of Approval</w:t>
            </w:r>
          </w:p>
        </w:tc>
        <w:tc>
          <w:tcPr>
            <w:tcW w:w="6258" w:type="dxa"/>
          </w:tcPr>
          <w:p w:rsidRPr="000110EB" w:rsidR="00ED4C32" w:rsidP="00ED4C32" w:rsidRDefault="007902E6" w14:paraId="6A63BF4C" w14:textId="617A2E0F">
            <w:pPr>
              <w:contextualSpacing/>
            </w:pPr>
            <w:r>
              <w:t>August 2016</w:t>
            </w:r>
          </w:p>
        </w:tc>
      </w:tr>
      <w:tr w:rsidR="00ED4C32" w:rsidTr="00C40AB0" w14:paraId="32821CCC" w14:textId="77777777">
        <w:tc>
          <w:tcPr>
            <w:tcW w:w="2758" w:type="dxa"/>
          </w:tcPr>
          <w:p w:rsidRPr="00D25EA5" w:rsidR="00ED4C32" w:rsidP="00ED4C32" w:rsidRDefault="00ED4C32" w14:paraId="3C592A67" w14:textId="577CA414">
            <w:pPr>
              <w:contextualSpacing/>
              <w:rPr>
                <w:highlight w:val="yellow"/>
              </w:rPr>
            </w:pPr>
            <w:r w:rsidRPr="003E1B9A">
              <w:t xml:space="preserve">Date for Review </w:t>
            </w:r>
          </w:p>
        </w:tc>
        <w:tc>
          <w:tcPr>
            <w:tcW w:w="6258" w:type="dxa"/>
          </w:tcPr>
          <w:p w:rsidRPr="000110EB" w:rsidR="00ED4C32" w:rsidP="00ED4C32" w:rsidRDefault="00ED4C32" w14:paraId="43BC8689" w14:textId="38A5DC97">
            <w:pPr>
              <w:contextualSpacing/>
            </w:pPr>
            <w:r>
              <w:t>July 202</w:t>
            </w:r>
            <w:r w:rsidR="00E777F0">
              <w:t>3</w:t>
            </w:r>
          </w:p>
        </w:tc>
      </w:tr>
    </w:tbl>
    <w:p w:rsidR="00C625B0" w:rsidP="00E16187" w:rsidRDefault="00C625B0" w14:paraId="44978E95" w14:textId="77777777">
      <w:pPr>
        <w:spacing w:line="240" w:lineRule="auto"/>
        <w:contextualSpacing/>
      </w:pPr>
    </w:p>
    <w:sectPr w:rsidR="00C625B0" w:rsidSect="006A5B50">
      <w:footerReference w:type="default" r:id="rId12"/>
      <w:footerReference w:type="first" r:id="rId13"/>
      <w:pgSz w:w="11906" w:h="16838" w:orient="portrait"/>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5B50" w:rsidP="006A5B50" w:rsidRDefault="006A5B50" w14:paraId="001C31F5" w14:textId="77777777">
      <w:pPr>
        <w:spacing w:after="0" w:line="240" w:lineRule="auto"/>
      </w:pPr>
      <w:r>
        <w:separator/>
      </w:r>
    </w:p>
  </w:endnote>
  <w:endnote w:type="continuationSeparator" w:id="0">
    <w:p w:rsidR="006A5B50" w:rsidP="006A5B50" w:rsidRDefault="006A5B50" w14:paraId="44B9F6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rsidR="007F06C7" w:rsidRDefault="007F06C7" w14:paraId="531994FB" w14:textId="77777777">
        <w:pPr>
          <w:pStyle w:val="Footer"/>
          <w:jc w:val="center"/>
        </w:pPr>
        <w:r>
          <w:fldChar w:fldCharType="begin"/>
        </w:r>
        <w:r>
          <w:instrText xml:space="preserve"> PAGE   \* MERGEFORMAT </w:instrText>
        </w:r>
        <w:r>
          <w:fldChar w:fldCharType="separate"/>
        </w:r>
        <w:r w:rsidR="00016690">
          <w:rPr>
            <w:noProof/>
          </w:rPr>
          <w:t>4</w:t>
        </w:r>
        <w:r>
          <w:rPr>
            <w:noProof/>
          </w:rPr>
          <w:fldChar w:fldCharType="end"/>
        </w:r>
      </w:p>
    </w:sdtContent>
  </w:sdt>
  <w:p w:rsidR="006A5B50" w:rsidRDefault="006A5B50" w14:paraId="177550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A5B50" w:rsidP="007F06C7" w:rsidRDefault="006A5B50" w14:paraId="15DE0935" w14:textId="77777777">
    <w:pPr>
      <w:pStyle w:val="Footer"/>
      <w:tabs>
        <w:tab w:val="clear" w:pos="4513"/>
        <w:tab w:val="clear" w:pos="9026"/>
        <w:tab w:val="left" w:pos="1155"/>
      </w:tabs>
      <w:jc w:val="right"/>
    </w:pPr>
    <w:r>
      <w:tab/>
    </w:r>
    <w:r>
      <w:rPr>
        <w:noProof/>
        <w:lang w:eastAsia="en-GB"/>
      </w:rPr>
      <w:drawing>
        <wp:inline distT="0" distB="0" distL="0" distR="0" wp14:anchorId="7AF503B5" wp14:editId="249C2F2A">
          <wp:extent cx="1832968" cy="23824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Logo 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5B50" w:rsidP="006A5B50" w:rsidRDefault="006A5B50" w14:paraId="20DEE201" w14:textId="77777777">
      <w:pPr>
        <w:spacing w:after="0" w:line="240" w:lineRule="auto"/>
      </w:pPr>
      <w:r>
        <w:separator/>
      </w:r>
    </w:p>
  </w:footnote>
  <w:footnote w:type="continuationSeparator" w:id="0">
    <w:p w:rsidR="006A5B50" w:rsidP="006A5B50" w:rsidRDefault="006A5B50" w14:paraId="518569AA" w14:textId="77777777">
      <w:pPr>
        <w:spacing w:after="0" w:line="240" w:lineRule="auto"/>
      </w:pPr>
      <w:r>
        <w:continuationSeparator/>
      </w:r>
    </w:p>
  </w:footnote>
  <w:footnote w:id="1">
    <w:p w:rsidRPr="00B8301B" w:rsidR="000E0AB6" w:rsidP="000E0AB6" w:rsidRDefault="000E0AB6" w14:paraId="19919521" w14:textId="14F853C8">
      <w:pPr>
        <w:pStyle w:val="FootnoteText"/>
        <w:rPr>
          <w:rFonts w:ascii="Arial" w:hAnsi="Arial" w:cs="Arial"/>
          <w:sz w:val="24"/>
          <w:szCs w:val="24"/>
        </w:rPr>
      </w:pPr>
      <w:r>
        <w:rPr>
          <w:rStyle w:val="FootnoteReference"/>
        </w:rPr>
        <w:footnoteRef/>
      </w:r>
      <w:r>
        <w:t xml:space="preserve"> </w:t>
      </w:r>
      <w:hyperlink w:history="1" r:id="rId1">
        <w:r w:rsidRPr="00B8301B" w:rsidR="00B8301B">
          <w:rPr>
            <w:rStyle w:val="Hyperlink"/>
            <w:rFonts w:cs="Arial"/>
          </w:rPr>
          <w:t>https://www.qaa.ac.uk/quality-code/qualifications-and-credit-frameworks</w:t>
        </w:r>
      </w:hyperlink>
    </w:p>
  </w:footnote>
  <w:footnote w:id="2">
    <w:p w:rsidR="000E0AB6" w:rsidP="000E0AB6" w:rsidRDefault="000E0AB6" w14:paraId="0112DA19" w14:textId="77777777">
      <w:pPr>
        <w:pStyle w:val="FootnoteText"/>
      </w:pPr>
      <w:r>
        <w:rPr>
          <w:rStyle w:val="FootnoteReference"/>
        </w:rPr>
        <w:footnoteRef/>
      </w:r>
      <w:r>
        <w:t xml:space="preserve"> See Academic Regulations C4.1.</w:t>
      </w:r>
    </w:p>
  </w:footnote>
  <w:footnote w:id="3">
    <w:p w:rsidR="000E0AB6" w:rsidP="000E0AB6" w:rsidRDefault="000E0AB6" w14:paraId="4B45B305" w14:textId="77777777">
      <w:pPr>
        <w:pStyle w:val="FootnoteText"/>
      </w:pPr>
      <w:r>
        <w:rPr>
          <w:rStyle w:val="FootnoteReference"/>
        </w:rPr>
        <w:footnoteRef/>
      </w:r>
      <w:r>
        <w:t xml:space="preserve"> Where 2 UK credits equate to 1 ECTS credit at the same level.</w:t>
      </w:r>
    </w:p>
  </w:footnote>
  <w:footnote w:id="4">
    <w:p w:rsidRPr="00B8301B" w:rsidR="000E0AB6" w:rsidP="000E0AB6" w:rsidRDefault="000E0AB6" w14:paraId="4BF19AA9" w14:textId="660E6224">
      <w:pPr>
        <w:pStyle w:val="FootnoteText"/>
        <w:rPr>
          <w:rFonts w:ascii="Arial" w:hAnsi="Arial" w:cs="Arial"/>
          <w:color w:val="800080" w:themeColor="hyperlink"/>
          <w:sz w:val="24"/>
          <w:szCs w:val="24"/>
          <w:highlight w:val="green"/>
          <w:u w:val="single"/>
        </w:rPr>
      </w:pPr>
      <w:r>
        <w:rPr>
          <w:rStyle w:val="FootnoteReference"/>
        </w:rPr>
        <w:footnoteRef/>
      </w:r>
      <w:r>
        <w:t xml:space="preserve"> </w:t>
      </w:r>
      <w:hyperlink w:history="1" r:id="rId2">
        <w:r w:rsidRPr="00B8301B" w:rsidR="00B8301B">
          <w:rPr>
            <w:rStyle w:val="Hyperlink"/>
            <w:rFonts w:cs="Arial"/>
          </w:rPr>
          <w:t>https://www.qaa.ac.uk/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8399F"/>
    <w:multiLevelType w:val="hybridMultilevel"/>
    <w:tmpl w:val="831AE396"/>
    <w:lvl w:ilvl="0" w:tplc="E696A0DA">
      <w:start w:val="3"/>
      <w:numFmt w:val="bullet"/>
      <w:lvlText w:val="-"/>
      <w:lvlJc w:val="left"/>
      <w:pPr>
        <w:ind w:left="720" w:hanging="360"/>
      </w:pPr>
      <w:rPr>
        <w:rFonts w:hint="default" w:ascii="Cambria" w:hAnsi="Cambria" w:eastAsiaTheme="majorEastAsia" w:cstheme="majorBidi"/>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581232"/>
    <w:multiLevelType w:val="hybridMultilevel"/>
    <w:tmpl w:val="17B4C626"/>
    <w:lvl w:ilvl="0" w:tplc="E696A0DA">
      <w:start w:val="3"/>
      <w:numFmt w:val="bullet"/>
      <w:lvlText w:val="-"/>
      <w:lvlJc w:val="left"/>
      <w:pPr>
        <w:ind w:left="720" w:hanging="360"/>
      </w:pPr>
      <w:rPr>
        <w:rFonts w:hint="default" w:ascii="Cambria" w:hAnsi="Cambria" w:eastAsiaTheme="majorEastAsia" w:cstheme="majorBidi"/>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5664AD"/>
    <w:multiLevelType w:val="hybridMultilevel"/>
    <w:tmpl w:val="2A44EC82"/>
    <w:lvl w:ilvl="0" w:tplc="085289EE">
      <w:start w:val="3"/>
      <w:numFmt w:val="bullet"/>
      <w:lvlText w:val="-"/>
      <w:lvlJc w:val="left"/>
      <w:pPr>
        <w:ind w:left="720" w:hanging="360"/>
      </w:pPr>
      <w:rPr>
        <w:rFonts w:hint="default" w:ascii="Cambria" w:hAnsi="Cambria" w:eastAsiaTheme="majorEastAsia" w:cstheme="maj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B362412"/>
    <w:multiLevelType w:val="multilevel"/>
    <w:tmpl w:val="206C51E0"/>
    <w:lvl w:ilvl="0">
      <w:start w:val="1"/>
      <w:numFmt w:val="decimal"/>
      <w:lvlText w:val="%1"/>
      <w:lvlJc w:val="left"/>
      <w:pPr>
        <w:ind w:left="900" w:hanging="900"/>
      </w:pPr>
      <w:rPr>
        <w:rFonts w:hint="default"/>
      </w:rPr>
    </w:lvl>
    <w:lvl w:ilvl="1">
      <w:start w:val="1"/>
      <w:numFmt w:val="decimal"/>
      <w:lvlText w:val="%1.%2"/>
      <w:lvlJc w:val="left"/>
      <w:pPr>
        <w:ind w:left="720" w:hanging="900"/>
      </w:pPr>
      <w:rPr>
        <w:rFonts w:hint="default"/>
      </w:rPr>
    </w:lvl>
    <w:lvl w:ilvl="2">
      <w:start w:val="1"/>
      <w:numFmt w:val="decimal"/>
      <w:lvlText w:val="%1.%2.%3"/>
      <w:lvlJc w:val="left"/>
      <w:pPr>
        <w:ind w:left="540" w:hanging="900"/>
      </w:pPr>
      <w:rPr>
        <w:rFonts w:hint="default"/>
      </w:rPr>
    </w:lvl>
    <w:lvl w:ilvl="3">
      <w:start w:val="1"/>
      <w:numFmt w:val="decimal"/>
      <w:lvlText w:val="%1.%2.%3.%4"/>
      <w:lvlJc w:val="left"/>
      <w:pPr>
        <w:ind w:left="360" w:hanging="90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5"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656F4B"/>
    <w:multiLevelType w:val="hybridMultilevel"/>
    <w:tmpl w:val="29E48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E03ADB"/>
    <w:multiLevelType w:val="multilevel"/>
    <w:tmpl w:val="84D8DB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63998025">
    <w:abstractNumId w:val="0"/>
  </w:num>
  <w:num w:numId="2" w16cid:durableId="621151180">
    <w:abstractNumId w:val="5"/>
  </w:num>
  <w:num w:numId="3" w16cid:durableId="1078014299">
    <w:abstractNumId w:val="7"/>
  </w:num>
  <w:num w:numId="4" w16cid:durableId="1261448501">
    <w:abstractNumId w:val="6"/>
  </w:num>
  <w:num w:numId="5" w16cid:durableId="605773316">
    <w:abstractNumId w:val="4"/>
  </w:num>
  <w:num w:numId="6" w16cid:durableId="1039668776">
    <w:abstractNumId w:val="8"/>
  </w:num>
  <w:num w:numId="7" w16cid:durableId="210312402">
    <w:abstractNumId w:val="2"/>
  </w:num>
  <w:num w:numId="8" w16cid:durableId="753553905">
    <w:abstractNumId w:val="3"/>
  </w:num>
  <w:num w:numId="9" w16cid:durableId="108445294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06CDB"/>
    <w:rsid w:val="000110EB"/>
    <w:rsid w:val="00011709"/>
    <w:rsid w:val="00011F33"/>
    <w:rsid w:val="00016690"/>
    <w:rsid w:val="00072B12"/>
    <w:rsid w:val="000C164D"/>
    <w:rsid w:val="000D23AF"/>
    <w:rsid w:val="000E0AB6"/>
    <w:rsid w:val="000F3143"/>
    <w:rsid w:val="001005E0"/>
    <w:rsid w:val="0011421B"/>
    <w:rsid w:val="001174E6"/>
    <w:rsid w:val="001204EA"/>
    <w:rsid w:val="001563CE"/>
    <w:rsid w:val="001722B8"/>
    <w:rsid w:val="001A7848"/>
    <w:rsid w:val="001E7A0F"/>
    <w:rsid w:val="0028129D"/>
    <w:rsid w:val="00281531"/>
    <w:rsid w:val="00290206"/>
    <w:rsid w:val="0029043F"/>
    <w:rsid w:val="002D64D8"/>
    <w:rsid w:val="002D6920"/>
    <w:rsid w:val="00342060"/>
    <w:rsid w:val="00351BCA"/>
    <w:rsid w:val="003531FF"/>
    <w:rsid w:val="00385626"/>
    <w:rsid w:val="00387AF3"/>
    <w:rsid w:val="003C2457"/>
    <w:rsid w:val="003C6D37"/>
    <w:rsid w:val="003E052E"/>
    <w:rsid w:val="003E607C"/>
    <w:rsid w:val="003E7115"/>
    <w:rsid w:val="00401C70"/>
    <w:rsid w:val="00410816"/>
    <w:rsid w:val="0042261C"/>
    <w:rsid w:val="0044461E"/>
    <w:rsid w:val="004B3A59"/>
    <w:rsid w:val="004B5A71"/>
    <w:rsid w:val="004C41FC"/>
    <w:rsid w:val="004E0BB2"/>
    <w:rsid w:val="004F2C2F"/>
    <w:rsid w:val="005829AB"/>
    <w:rsid w:val="0060046E"/>
    <w:rsid w:val="00643339"/>
    <w:rsid w:val="006551BC"/>
    <w:rsid w:val="00675150"/>
    <w:rsid w:val="00683E10"/>
    <w:rsid w:val="006A5B50"/>
    <w:rsid w:val="006B36A1"/>
    <w:rsid w:val="006E2E28"/>
    <w:rsid w:val="006E435E"/>
    <w:rsid w:val="00722685"/>
    <w:rsid w:val="00740330"/>
    <w:rsid w:val="00742CC5"/>
    <w:rsid w:val="00745DC4"/>
    <w:rsid w:val="007902E6"/>
    <w:rsid w:val="00795FB4"/>
    <w:rsid w:val="007F06C7"/>
    <w:rsid w:val="00800348"/>
    <w:rsid w:val="00805720"/>
    <w:rsid w:val="00830F3E"/>
    <w:rsid w:val="00853025"/>
    <w:rsid w:val="0085730A"/>
    <w:rsid w:val="00872ED0"/>
    <w:rsid w:val="008921B1"/>
    <w:rsid w:val="008C1DB3"/>
    <w:rsid w:val="008E2043"/>
    <w:rsid w:val="008F1BE9"/>
    <w:rsid w:val="009218D3"/>
    <w:rsid w:val="00944336"/>
    <w:rsid w:val="00971F84"/>
    <w:rsid w:val="00974B0B"/>
    <w:rsid w:val="00992F42"/>
    <w:rsid w:val="009A28E9"/>
    <w:rsid w:val="009B1B7D"/>
    <w:rsid w:val="009C4F34"/>
    <w:rsid w:val="009D299E"/>
    <w:rsid w:val="009F0CF2"/>
    <w:rsid w:val="009F79BA"/>
    <w:rsid w:val="00A17894"/>
    <w:rsid w:val="00A3510F"/>
    <w:rsid w:val="00A6075B"/>
    <w:rsid w:val="00A73C4D"/>
    <w:rsid w:val="00AF2AAD"/>
    <w:rsid w:val="00B041FB"/>
    <w:rsid w:val="00B10DDC"/>
    <w:rsid w:val="00B44135"/>
    <w:rsid w:val="00B445F5"/>
    <w:rsid w:val="00B56E19"/>
    <w:rsid w:val="00B660DD"/>
    <w:rsid w:val="00B8301B"/>
    <w:rsid w:val="00B833EB"/>
    <w:rsid w:val="00B86B25"/>
    <w:rsid w:val="00C021B6"/>
    <w:rsid w:val="00C2739B"/>
    <w:rsid w:val="00C40AB0"/>
    <w:rsid w:val="00C47966"/>
    <w:rsid w:val="00C625B0"/>
    <w:rsid w:val="00C65918"/>
    <w:rsid w:val="00C84118"/>
    <w:rsid w:val="00CF458F"/>
    <w:rsid w:val="00CF75EE"/>
    <w:rsid w:val="00D25EA5"/>
    <w:rsid w:val="00D73F68"/>
    <w:rsid w:val="00D84C7A"/>
    <w:rsid w:val="00D872A1"/>
    <w:rsid w:val="00D96F43"/>
    <w:rsid w:val="00DE1CEC"/>
    <w:rsid w:val="00DF40FF"/>
    <w:rsid w:val="00E07040"/>
    <w:rsid w:val="00E12F84"/>
    <w:rsid w:val="00E16187"/>
    <w:rsid w:val="00E21F75"/>
    <w:rsid w:val="00E469B7"/>
    <w:rsid w:val="00E5137F"/>
    <w:rsid w:val="00E777F0"/>
    <w:rsid w:val="00ED4C32"/>
    <w:rsid w:val="00EE3C71"/>
    <w:rsid w:val="00F25DF4"/>
    <w:rsid w:val="00F81881"/>
    <w:rsid w:val="00F83FE7"/>
    <w:rsid w:val="00FC4EC5"/>
    <w:rsid w:val="00FF10BA"/>
    <w:rsid w:val="18AC5CCA"/>
    <w:rsid w:val="3D5F79BF"/>
    <w:rsid w:val="7F0AE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6416F7A"/>
  <w15:chartTrackingRefBased/>
  <w15:docId w15:val="{2A15133F-20AB-481E-99EA-F15B6166CC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hAnsiTheme="majorHAnsi" w:eastAsiaTheme="majorEastAsia"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hAnsiTheme="majorHAnsi" w:eastAsiaTheme="majorEastAsia" w:cstheme="majorBidi"/>
      <w:color w:val="5F005F"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86B25"/>
    <w:rPr>
      <w:rFonts w:asciiTheme="majorHAnsi" w:hAnsiTheme="majorHAnsi" w:eastAsiaTheme="majorEastAsia" w:cstheme="majorBidi"/>
      <w:color w:val="5F005F" w:themeColor="accent1" w:themeShade="BF"/>
      <w:sz w:val="32"/>
      <w:szCs w:val="32"/>
    </w:rPr>
  </w:style>
  <w:style w:type="character" w:styleId="Heading2Char" w:customStyle="1">
    <w:name w:val="Heading 2 Char"/>
    <w:basedOn w:val="DefaultParagraphFont"/>
    <w:link w:val="Heading2"/>
    <w:uiPriority w:val="9"/>
    <w:rsid w:val="00D84C7A"/>
    <w:rPr>
      <w:rFonts w:asciiTheme="majorHAnsi" w:hAnsiTheme="majorHAnsi" w:eastAsiaTheme="majorEastAsia"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B50"/>
    <w:rPr>
      <w:rFonts w:ascii="Arial" w:hAnsi="Arial"/>
      <w:sz w:val="24"/>
    </w:rPr>
  </w:style>
  <w:style w:type="paragraph" w:styleId="FootnoteText">
    <w:name w:val="footnote text"/>
    <w:basedOn w:val="Normal"/>
    <w:link w:val="FootnoteTextChar"/>
    <w:rsid w:val="00853025"/>
    <w:pPr>
      <w:spacing w:after="0" w:line="240" w:lineRule="auto"/>
    </w:pPr>
    <w:rPr>
      <w:rFonts w:ascii="Arial Narrow" w:hAnsi="Arial Narrow" w:eastAsia="Times New Roman" w:cs="Times New Roman"/>
      <w:sz w:val="20"/>
      <w:szCs w:val="20"/>
    </w:rPr>
  </w:style>
  <w:style w:type="character" w:styleId="FootnoteTextChar" w:customStyle="1">
    <w:name w:val="Footnote Text Char"/>
    <w:basedOn w:val="DefaultParagraphFont"/>
    <w:link w:val="FootnoteText"/>
    <w:rsid w:val="00853025"/>
    <w:rPr>
      <w:rFonts w:ascii="Arial Narrow" w:hAnsi="Arial Narrow" w:eastAsia="Times New Roman" w:cs="Times New Roman"/>
      <w:sz w:val="20"/>
      <w:szCs w:val="20"/>
    </w:rPr>
  </w:style>
  <w:style w:type="character" w:styleId="FootnoteReference">
    <w:name w:val="footnote reference"/>
    <w:rsid w:val="00853025"/>
    <w:rPr>
      <w:vertAlign w:val="superscript"/>
    </w:rPr>
  </w:style>
  <w:style w:type="paragraph" w:styleId="Default" w:customStyle="1">
    <w:name w:val="Default"/>
    <w:rsid w:val="004E0BB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F458F"/>
    <w:rPr>
      <w:color w:val="605E5C"/>
      <w:shd w:val="clear" w:color="auto" w:fill="E1DFDD"/>
    </w:rPr>
  </w:style>
  <w:style w:type="character" w:styleId="FollowedHyperlink">
    <w:name w:val="FollowedHyperlink"/>
    <w:basedOn w:val="DefaultParagraphFont"/>
    <w:uiPriority w:val="99"/>
    <w:semiHidden/>
    <w:unhideWhenUsed/>
    <w:rsid w:val="00CF458F"/>
    <w:rPr>
      <w:color w:val="800080" w:themeColor="followedHyperlink"/>
      <w:u w:val="single"/>
    </w:rPr>
  </w:style>
  <w:style w:type="paragraph" w:styleId="BalloonText">
    <w:name w:val="Balloon Text"/>
    <w:basedOn w:val="Normal"/>
    <w:link w:val="BalloonTextChar"/>
    <w:uiPriority w:val="99"/>
    <w:semiHidden/>
    <w:unhideWhenUsed/>
    <w:rsid w:val="009D299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D2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qaa.ac.uk/quality-code/qualifications-and-credit-frameworks"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qaa.ac.uk/"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ec.europa.eu/education/resources-and-tools/european-credit-transfer-and-accumulation-system-ects_en" TargetMode="External" Id="rId10" /><Relationship Type="http://schemas.openxmlformats.org/officeDocument/2006/relationships/settings" Target="settings.xml" Id="rId4" /><Relationship Type="http://schemas.openxmlformats.org/officeDocument/2006/relationships/hyperlink" Target="https://www.edgehill.ac.uk/corporate-information/strategies-policies/" TargetMode="External" Id="rId9" /><Relationship Type="http://schemas.openxmlformats.org/officeDocument/2006/relationships/fontTable" Target="fontTable.xml" Id="rId14" /><Relationship Type="http://schemas.openxmlformats.org/officeDocument/2006/relationships/glossaryDocument" Target="glossary/document.xml" Id="R9e332ed650204b8c"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qaa.ac.uk/" TargetMode="External"/><Relationship Id="rId1" Type="http://schemas.openxmlformats.org/officeDocument/2006/relationships/hyperlink" Target="https://www.qaa.ac.uk/quality-code/qualifications-and-credit-frameworks"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f0cd19e-7221-4217-9eb1-928bfca6cebe}"/>
      </w:docPartPr>
      <w:docPartBody>
        <w:p w14:paraId="09F6A84A">
          <w:r>
            <w:rPr>
              <w:rStyle w:val="PlaceholderText"/>
            </w:rPr>
            <w:t/>
          </w:r>
        </w:p>
      </w:docPartBody>
    </w:docPart>
  </w:docParts>
</w:glossaryDocument>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FF0C6-BFEA-41B2-9451-91462CFF67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Roy Bayfield</dc:creator>
  <keywords/>
  <dc:description/>
  <lastModifiedBy>Jayne Kelly</lastModifiedBy>
  <revision>5</revision>
  <lastPrinted>2020-02-03T14:13:00.0000000Z</lastPrinted>
  <dcterms:created xsi:type="dcterms:W3CDTF">2023-09-12T12:28:00.0000000Z</dcterms:created>
  <dcterms:modified xsi:type="dcterms:W3CDTF">2024-04-16T13:41:49.8461199Z</dcterms:modified>
</coreProperties>
</file>