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23"/>
        <w:tblOverlap w:val="never"/>
        <w:tblW w:w="8965" w:type="dxa"/>
        <w:tblInd w:w="0" w:type="dxa"/>
        <w:tblCellMar>
          <w:left w:w="113" w:type="dxa"/>
          <w:bottom w:w="36" w:type="dxa"/>
          <w:right w:w="115" w:type="dxa"/>
        </w:tblCellMar>
        <w:tblLook w:val="04A0" w:firstRow="1" w:lastRow="0" w:firstColumn="1" w:lastColumn="0" w:noHBand="0" w:noVBand="1"/>
      </w:tblPr>
      <w:tblGrid>
        <w:gridCol w:w="8965"/>
      </w:tblGrid>
      <w:tr w:rsidR="00E32AC1" w14:paraId="1BEE825A" w14:textId="77777777">
        <w:trPr>
          <w:trHeight w:val="5520"/>
        </w:trPr>
        <w:tc>
          <w:tcPr>
            <w:tcW w:w="8965" w:type="dxa"/>
            <w:tcBorders>
              <w:top w:val="single" w:sz="24" w:space="0" w:color="C00000"/>
              <w:left w:val="single" w:sz="24" w:space="0" w:color="C00000"/>
              <w:bottom w:val="single" w:sz="24" w:space="0" w:color="C00000"/>
              <w:right w:val="single" w:sz="24" w:space="0" w:color="C00000"/>
            </w:tcBorders>
            <w:vAlign w:val="bottom"/>
          </w:tcPr>
          <w:p w14:paraId="7BF020CB" w14:textId="77777777" w:rsidR="00E32AC1" w:rsidRDefault="00D624CD">
            <w:pPr>
              <w:spacing w:after="0" w:line="259" w:lineRule="auto"/>
              <w:ind w:left="1" w:firstLine="0"/>
            </w:pPr>
            <w:r>
              <w:rPr>
                <w:rFonts w:ascii="Georgia" w:eastAsia="Georgia" w:hAnsi="Georgia" w:cs="Georgia"/>
                <w:sz w:val="96"/>
              </w:rPr>
              <w:t xml:space="preserve">The Academic </w:t>
            </w:r>
          </w:p>
          <w:p w14:paraId="4627013C" w14:textId="77777777" w:rsidR="00E32AC1" w:rsidRDefault="00D624CD">
            <w:pPr>
              <w:spacing w:after="0" w:line="259" w:lineRule="auto"/>
              <w:ind w:left="1" w:firstLine="0"/>
            </w:pPr>
            <w:r>
              <w:rPr>
                <w:rFonts w:ascii="Georgia" w:eastAsia="Georgia" w:hAnsi="Georgia" w:cs="Georgia"/>
                <w:sz w:val="96"/>
              </w:rPr>
              <w:t xml:space="preserve">Regulations </w:t>
            </w:r>
          </w:p>
          <w:p w14:paraId="61672D71" w14:textId="77777777" w:rsidR="00E32AC1" w:rsidRDefault="00D624CD">
            <w:pPr>
              <w:spacing w:after="0" w:line="259" w:lineRule="auto"/>
              <w:ind w:left="1" w:firstLine="0"/>
            </w:pPr>
            <w:r>
              <w:rPr>
                <w:rFonts w:ascii="Georgia" w:eastAsia="Georgia" w:hAnsi="Georgia" w:cs="Georgia"/>
                <w:sz w:val="96"/>
              </w:rPr>
              <w:t xml:space="preserve">Appendix 24: The </w:t>
            </w:r>
          </w:p>
          <w:p w14:paraId="4E472F4D" w14:textId="77777777" w:rsidR="00E32AC1" w:rsidRDefault="00D624CD">
            <w:pPr>
              <w:spacing w:after="0" w:line="259" w:lineRule="auto"/>
              <w:ind w:left="1" w:hanging="1"/>
            </w:pPr>
            <w:r>
              <w:rPr>
                <w:rFonts w:ascii="Georgia" w:eastAsia="Georgia" w:hAnsi="Georgia" w:cs="Georgia"/>
                <w:sz w:val="96"/>
              </w:rPr>
              <w:t>Revocation of Awards</w:t>
            </w:r>
          </w:p>
        </w:tc>
      </w:tr>
      <w:tr w:rsidR="00E32AC1" w14:paraId="5D531959" w14:textId="77777777">
        <w:trPr>
          <w:trHeight w:val="873"/>
        </w:trPr>
        <w:tc>
          <w:tcPr>
            <w:tcW w:w="8965" w:type="dxa"/>
            <w:tcBorders>
              <w:top w:val="single" w:sz="24" w:space="0" w:color="C00000"/>
              <w:left w:val="nil"/>
              <w:bottom w:val="single" w:sz="24" w:space="0" w:color="C00000"/>
              <w:right w:val="single" w:sz="24" w:space="0" w:color="C00000"/>
            </w:tcBorders>
            <w:shd w:val="clear" w:color="auto" w:fill="C00000"/>
            <w:vAlign w:val="center"/>
          </w:tcPr>
          <w:p w14:paraId="280B8752" w14:textId="23909BD2" w:rsidR="00E32AC1" w:rsidRDefault="00D624CD">
            <w:pPr>
              <w:spacing w:after="0" w:line="259" w:lineRule="auto"/>
              <w:ind w:left="1" w:firstLine="0"/>
            </w:pPr>
            <w:r>
              <w:rPr>
                <w:b/>
                <w:color w:val="FFFFFF"/>
              </w:rPr>
              <w:t>202</w:t>
            </w:r>
            <w:r w:rsidR="00C632A6">
              <w:rPr>
                <w:b/>
                <w:color w:val="FFFFFF"/>
              </w:rPr>
              <w:t>5</w:t>
            </w:r>
            <w:r>
              <w:rPr>
                <w:b/>
                <w:color w:val="FFFFFF"/>
              </w:rPr>
              <w:t>-202</w:t>
            </w:r>
            <w:r w:rsidR="00C632A6">
              <w:rPr>
                <w:b/>
                <w:color w:val="FFFFFF"/>
              </w:rPr>
              <w:t>6</w:t>
            </w:r>
            <w:r>
              <w:rPr>
                <w:b/>
                <w:color w:val="FFFFFF"/>
              </w:rPr>
              <w:t xml:space="preserve"> </w:t>
            </w:r>
          </w:p>
        </w:tc>
      </w:tr>
    </w:tbl>
    <w:p w14:paraId="58004CE3" w14:textId="77777777" w:rsidR="00E32AC1" w:rsidRDefault="00D624CD">
      <w:pPr>
        <w:spacing w:after="0" w:line="259" w:lineRule="auto"/>
        <w:ind w:left="-1440" w:right="81" w:firstLine="0"/>
      </w:pPr>
      <w:r>
        <w:rPr>
          <w:noProof/>
        </w:rPr>
        <w:drawing>
          <wp:anchor distT="0" distB="0" distL="114300" distR="114300" simplePos="0" relativeHeight="251658240" behindDoc="0" locked="0" layoutInCell="1" allowOverlap="0" wp14:anchorId="530B3DC4" wp14:editId="1774AC2B">
            <wp:simplePos x="0" y="0"/>
            <wp:positionH relativeFrom="page">
              <wp:posOffset>4813303</wp:posOffset>
            </wp:positionH>
            <wp:positionV relativeFrom="page">
              <wp:posOffset>7861936</wp:posOffset>
            </wp:positionV>
            <wp:extent cx="1832499" cy="2381885"/>
            <wp:effectExtent l="0" t="0" r="0" b="0"/>
            <wp:wrapTopAndBottom/>
            <wp:docPr id="7" name="Picture 7" descr="EHU Crest"/>
            <wp:cNvGraphicFramePr/>
            <a:graphic xmlns:a="http://schemas.openxmlformats.org/drawingml/2006/main">
              <a:graphicData uri="http://schemas.openxmlformats.org/drawingml/2006/picture">
                <pic:pic xmlns:pic="http://schemas.openxmlformats.org/drawingml/2006/picture">
                  <pic:nvPicPr>
                    <pic:cNvPr id="7" name="Picture 7" descr="EHU Crest"/>
                    <pic:cNvPicPr/>
                  </pic:nvPicPr>
                  <pic:blipFill>
                    <a:blip r:embed="rId7"/>
                    <a:stretch>
                      <a:fillRect/>
                    </a:stretch>
                  </pic:blipFill>
                  <pic:spPr>
                    <a:xfrm>
                      <a:off x="0" y="0"/>
                      <a:ext cx="1832499" cy="2381885"/>
                    </a:xfrm>
                    <a:prstGeom prst="rect">
                      <a:avLst/>
                    </a:prstGeom>
                  </pic:spPr>
                </pic:pic>
              </a:graphicData>
            </a:graphic>
          </wp:anchor>
        </w:drawing>
      </w:r>
      <w:r>
        <w:br w:type="page"/>
      </w:r>
    </w:p>
    <w:p w14:paraId="1E928D57" w14:textId="77777777" w:rsidR="00E32AC1" w:rsidRDefault="00D624CD">
      <w:pPr>
        <w:spacing w:after="270" w:line="259" w:lineRule="auto"/>
        <w:ind w:left="-5"/>
      </w:pPr>
      <w:r>
        <w:rPr>
          <w:b/>
          <w:sz w:val="36"/>
        </w:rPr>
        <w:lastRenderedPageBreak/>
        <w:t xml:space="preserve">The Academic Regulations </w:t>
      </w:r>
    </w:p>
    <w:p w14:paraId="7744F328" w14:textId="77777777" w:rsidR="00E32AC1" w:rsidRDefault="00D624CD">
      <w:pPr>
        <w:spacing w:after="203" w:line="259" w:lineRule="auto"/>
        <w:ind w:left="-5"/>
      </w:pPr>
      <w:r>
        <w:rPr>
          <w:b/>
          <w:sz w:val="36"/>
        </w:rPr>
        <w:t xml:space="preserve">Appendix 24: The Revocation of Awards </w:t>
      </w:r>
    </w:p>
    <w:sdt>
      <w:sdtPr>
        <w:rPr>
          <w:rFonts w:ascii="Arial" w:eastAsia="Arial" w:hAnsi="Arial" w:cs="Arial"/>
          <w:color w:val="000000"/>
          <w:sz w:val="24"/>
        </w:rPr>
        <w:id w:val="1542483414"/>
        <w:docPartObj>
          <w:docPartGallery w:val="Table of Contents"/>
        </w:docPartObj>
      </w:sdtPr>
      <w:sdtEndPr/>
      <w:sdtContent>
        <w:p w14:paraId="2B313A59" w14:textId="77777777" w:rsidR="00E32AC1" w:rsidRDefault="00D624CD">
          <w:pPr>
            <w:pStyle w:val="Heading2"/>
            <w:ind w:left="-5"/>
          </w:pPr>
          <w:r>
            <w:t xml:space="preserve">Contents </w:t>
          </w:r>
        </w:p>
        <w:p w14:paraId="04BF0804" w14:textId="4D32855D" w:rsidR="00C632A6" w:rsidRDefault="00D624CD">
          <w:pPr>
            <w:pStyle w:val="TOC1"/>
            <w:tabs>
              <w:tab w:val="right" w:leader="dot" w:pos="9058"/>
            </w:tabs>
            <w:rPr>
              <w:rFonts w:asciiTheme="minorHAnsi" w:eastAsiaTheme="minorEastAsia" w:hAnsiTheme="minorHAnsi" w:cstheme="minorBidi"/>
              <w:noProof/>
              <w:color w:val="auto"/>
            </w:rPr>
          </w:pPr>
          <w:r>
            <w:fldChar w:fldCharType="begin"/>
          </w:r>
          <w:r>
            <w:instrText xml:space="preserve"> TOC \o "1-1" \h \z \u </w:instrText>
          </w:r>
          <w:r>
            <w:fldChar w:fldCharType="separate"/>
          </w:r>
          <w:hyperlink w:anchor="_Toc202882735" w:history="1">
            <w:r w:rsidR="00C632A6" w:rsidRPr="009441BB">
              <w:rPr>
                <w:rStyle w:val="Hyperlink"/>
                <w:noProof/>
              </w:rPr>
              <w:t>Summary</w:t>
            </w:r>
            <w:r w:rsidR="00C632A6">
              <w:rPr>
                <w:noProof/>
                <w:webHidden/>
              </w:rPr>
              <w:tab/>
            </w:r>
            <w:r w:rsidR="00C632A6">
              <w:rPr>
                <w:noProof/>
                <w:webHidden/>
              </w:rPr>
              <w:fldChar w:fldCharType="begin"/>
            </w:r>
            <w:r w:rsidR="00C632A6">
              <w:rPr>
                <w:noProof/>
                <w:webHidden/>
              </w:rPr>
              <w:instrText xml:space="preserve"> PAGEREF _Toc202882735 \h </w:instrText>
            </w:r>
            <w:r w:rsidR="00C632A6">
              <w:rPr>
                <w:noProof/>
                <w:webHidden/>
              </w:rPr>
            </w:r>
            <w:r w:rsidR="00C632A6">
              <w:rPr>
                <w:noProof/>
                <w:webHidden/>
              </w:rPr>
              <w:fldChar w:fldCharType="separate"/>
            </w:r>
            <w:r w:rsidR="00C632A6">
              <w:rPr>
                <w:noProof/>
                <w:webHidden/>
              </w:rPr>
              <w:t>3</w:t>
            </w:r>
            <w:r w:rsidR="00C632A6">
              <w:rPr>
                <w:noProof/>
                <w:webHidden/>
              </w:rPr>
              <w:fldChar w:fldCharType="end"/>
            </w:r>
          </w:hyperlink>
        </w:p>
        <w:p w14:paraId="2FA3360E" w14:textId="03E48FD2" w:rsidR="00C632A6" w:rsidRDefault="00C632A6">
          <w:pPr>
            <w:pStyle w:val="TOC1"/>
            <w:tabs>
              <w:tab w:val="right" w:leader="dot" w:pos="9058"/>
            </w:tabs>
            <w:rPr>
              <w:rFonts w:asciiTheme="minorHAnsi" w:eastAsiaTheme="minorEastAsia" w:hAnsiTheme="minorHAnsi" w:cstheme="minorBidi"/>
              <w:noProof/>
              <w:color w:val="auto"/>
            </w:rPr>
          </w:pPr>
          <w:hyperlink w:anchor="_Toc202882736" w:history="1">
            <w:r w:rsidRPr="009441BB">
              <w:rPr>
                <w:rStyle w:val="Hyperlink"/>
                <w:noProof/>
              </w:rPr>
              <w:t>Glossary of Terms</w:t>
            </w:r>
            <w:r>
              <w:rPr>
                <w:noProof/>
                <w:webHidden/>
              </w:rPr>
              <w:tab/>
            </w:r>
            <w:r>
              <w:rPr>
                <w:noProof/>
                <w:webHidden/>
              </w:rPr>
              <w:fldChar w:fldCharType="begin"/>
            </w:r>
            <w:r>
              <w:rPr>
                <w:noProof/>
                <w:webHidden/>
              </w:rPr>
              <w:instrText xml:space="preserve"> PAGEREF _Toc202882736 \h </w:instrText>
            </w:r>
            <w:r>
              <w:rPr>
                <w:noProof/>
                <w:webHidden/>
              </w:rPr>
            </w:r>
            <w:r>
              <w:rPr>
                <w:noProof/>
                <w:webHidden/>
              </w:rPr>
              <w:fldChar w:fldCharType="separate"/>
            </w:r>
            <w:r>
              <w:rPr>
                <w:noProof/>
                <w:webHidden/>
              </w:rPr>
              <w:t>3</w:t>
            </w:r>
            <w:r>
              <w:rPr>
                <w:noProof/>
                <w:webHidden/>
              </w:rPr>
              <w:fldChar w:fldCharType="end"/>
            </w:r>
          </w:hyperlink>
        </w:p>
        <w:p w14:paraId="235D7E32" w14:textId="494F6C5A" w:rsidR="00C632A6" w:rsidRDefault="00C632A6">
          <w:pPr>
            <w:pStyle w:val="TOC1"/>
            <w:tabs>
              <w:tab w:val="right" w:leader="dot" w:pos="9058"/>
            </w:tabs>
            <w:rPr>
              <w:rFonts w:asciiTheme="minorHAnsi" w:eastAsiaTheme="minorEastAsia" w:hAnsiTheme="minorHAnsi" w:cstheme="minorBidi"/>
              <w:noProof/>
              <w:color w:val="auto"/>
            </w:rPr>
          </w:pPr>
          <w:hyperlink w:anchor="_Toc202882737" w:history="1">
            <w:r w:rsidRPr="009441BB">
              <w:rPr>
                <w:rStyle w:val="Hyperlink"/>
                <w:noProof/>
              </w:rPr>
              <w:t>Purpose</w:t>
            </w:r>
            <w:r>
              <w:rPr>
                <w:noProof/>
                <w:webHidden/>
              </w:rPr>
              <w:tab/>
            </w:r>
            <w:r>
              <w:rPr>
                <w:noProof/>
                <w:webHidden/>
              </w:rPr>
              <w:fldChar w:fldCharType="begin"/>
            </w:r>
            <w:r>
              <w:rPr>
                <w:noProof/>
                <w:webHidden/>
              </w:rPr>
              <w:instrText xml:space="preserve"> PAGEREF _Toc202882737 \h </w:instrText>
            </w:r>
            <w:r>
              <w:rPr>
                <w:noProof/>
                <w:webHidden/>
              </w:rPr>
            </w:r>
            <w:r>
              <w:rPr>
                <w:noProof/>
                <w:webHidden/>
              </w:rPr>
              <w:fldChar w:fldCharType="separate"/>
            </w:r>
            <w:r>
              <w:rPr>
                <w:noProof/>
                <w:webHidden/>
              </w:rPr>
              <w:t>3</w:t>
            </w:r>
            <w:r>
              <w:rPr>
                <w:noProof/>
                <w:webHidden/>
              </w:rPr>
              <w:fldChar w:fldCharType="end"/>
            </w:r>
          </w:hyperlink>
        </w:p>
        <w:p w14:paraId="54BF061A" w14:textId="41A9F3CD" w:rsidR="00C632A6" w:rsidRDefault="00C632A6">
          <w:pPr>
            <w:pStyle w:val="TOC1"/>
            <w:tabs>
              <w:tab w:val="right" w:leader="dot" w:pos="9058"/>
            </w:tabs>
            <w:rPr>
              <w:rFonts w:asciiTheme="minorHAnsi" w:eastAsiaTheme="minorEastAsia" w:hAnsiTheme="minorHAnsi" w:cstheme="minorBidi"/>
              <w:noProof/>
              <w:color w:val="auto"/>
            </w:rPr>
          </w:pPr>
          <w:hyperlink w:anchor="_Toc202882738" w:history="1">
            <w:r w:rsidRPr="009441BB">
              <w:rPr>
                <w:rStyle w:val="Hyperlink"/>
                <w:noProof/>
              </w:rPr>
              <w:t>Regulations</w:t>
            </w:r>
            <w:r>
              <w:rPr>
                <w:noProof/>
                <w:webHidden/>
              </w:rPr>
              <w:tab/>
            </w:r>
            <w:r>
              <w:rPr>
                <w:noProof/>
                <w:webHidden/>
              </w:rPr>
              <w:fldChar w:fldCharType="begin"/>
            </w:r>
            <w:r>
              <w:rPr>
                <w:noProof/>
                <w:webHidden/>
              </w:rPr>
              <w:instrText xml:space="preserve"> PAGEREF _Toc202882738 \h </w:instrText>
            </w:r>
            <w:r>
              <w:rPr>
                <w:noProof/>
                <w:webHidden/>
              </w:rPr>
            </w:r>
            <w:r>
              <w:rPr>
                <w:noProof/>
                <w:webHidden/>
              </w:rPr>
              <w:fldChar w:fldCharType="separate"/>
            </w:r>
            <w:r>
              <w:rPr>
                <w:noProof/>
                <w:webHidden/>
              </w:rPr>
              <w:t>4</w:t>
            </w:r>
            <w:r>
              <w:rPr>
                <w:noProof/>
                <w:webHidden/>
              </w:rPr>
              <w:fldChar w:fldCharType="end"/>
            </w:r>
          </w:hyperlink>
        </w:p>
        <w:p w14:paraId="3F59E74A" w14:textId="70E8256E" w:rsidR="00C632A6" w:rsidRDefault="00C632A6">
          <w:pPr>
            <w:pStyle w:val="TOC1"/>
            <w:tabs>
              <w:tab w:val="right" w:leader="dot" w:pos="9058"/>
            </w:tabs>
            <w:rPr>
              <w:rFonts w:asciiTheme="minorHAnsi" w:eastAsiaTheme="minorEastAsia" w:hAnsiTheme="minorHAnsi" w:cstheme="minorBidi"/>
              <w:noProof/>
              <w:color w:val="auto"/>
            </w:rPr>
          </w:pPr>
          <w:hyperlink w:anchor="_Toc202882739" w:history="1">
            <w:r w:rsidRPr="009441BB">
              <w:rPr>
                <w:rStyle w:val="Hyperlink"/>
                <w:noProof/>
              </w:rPr>
              <w:t>Key to Relevant Documents</w:t>
            </w:r>
            <w:r>
              <w:rPr>
                <w:noProof/>
                <w:webHidden/>
              </w:rPr>
              <w:tab/>
            </w:r>
            <w:r>
              <w:rPr>
                <w:noProof/>
                <w:webHidden/>
              </w:rPr>
              <w:fldChar w:fldCharType="begin"/>
            </w:r>
            <w:r>
              <w:rPr>
                <w:noProof/>
                <w:webHidden/>
              </w:rPr>
              <w:instrText xml:space="preserve"> PAGEREF _Toc202882739 \h </w:instrText>
            </w:r>
            <w:r>
              <w:rPr>
                <w:noProof/>
                <w:webHidden/>
              </w:rPr>
            </w:r>
            <w:r>
              <w:rPr>
                <w:noProof/>
                <w:webHidden/>
              </w:rPr>
              <w:fldChar w:fldCharType="separate"/>
            </w:r>
            <w:r>
              <w:rPr>
                <w:noProof/>
                <w:webHidden/>
              </w:rPr>
              <w:t>5</w:t>
            </w:r>
            <w:r>
              <w:rPr>
                <w:noProof/>
                <w:webHidden/>
              </w:rPr>
              <w:fldChar w:fldCharType="end"/>
            </w:r>
          </w:hyperlink>
        </w:p>
        <w:p w14:paraId="770AE589" w14:textId="6498FB8D" w:rsidR="00C632A6" w:rsidRDefault="00C632A6">
          <w:pPr>
            <w:pStyle w:val="TOC1"/>
            <w:tabs>
              <w:tab w:val="right" w:leader="dot" w:pos="9058"/>
            </w:tabs>
            <w:rPr>
              <w:rFonts w:asciiTheme="minorHAnsi" w:eastAsiaTheme="minorEastAsia" w:hAnsiTheme="minorHAnsi" w:cstheme="minorBidi"/>
              <w:noProof/>
              <w:color w:val="auto"/>
            </w:rPr>
          </w:pPr>
          <w:hyperlink w:anchor="_Toc202882740" w:history="1">
            <w:r w:rsidRPr="009441BB">
              <w:rPr>
                <w:rStyle w:val="Hyperlink"/>
                <w:noProof/>
              </w:rPr>
              <w:t>Annexes</w:t>
            </w:r>
            <w:r>
              <w:rPr>
                <w:noProof/>
                <w:webHidden/>
              </w:rPr>
              <w:tab/>
            </w:r>
            <w:r>
              <w:rPr>
                <w:noProof/>
                <w:webHidden/>
              </w:rPr>
              <w:fldChar w:fldCharType="begin"/>
            </w:r>
            <w:r>
              <w:rPr>
                <w:noProof/>
                <w:webHidden/>
              </w:rPr>
              <w:instrText xml:space="preserve"> PAGEREF _Toc202882740 \h </w:instrText>
            </w:r>
            <w:r>
              <w:rPr>
                <w:noProof/>
                <w:webHidden/>
              </w:rPr>
            </w:r>
            <w:r>
              <w:rPr>
                <w:noProof/>
                <w:webHidden/>
              </w:rPr>
              <w:fldChar w:fldCharType="separate"/>
            </w:r>
            <w:r>
              <w:rPr>
                <w:noProof/>
                <w:webHidden/>
              </w:rPr>
              <w:t>5</w:t>
            </w:r>
            <w:r>
              <w:rPr>
                <w:noProof/>
                <w:webHidden/>
              </w:rPr>
              <w:fldChar w:fldCharType="end"/>
            </w:r>
          </w:hyperlink>
        </w:p>
        <w:p w14:paraId="7814A8EF" w14:textId="3E7DF3B1" w:rsidR="00C632A6" w:rsidRDefault="00C632A6">
          <w:pPr>
            <w:pStyle w:val="TOC1"/>
            <w:tabs>
              <w:tab w:val="right" w:leader="dot" w:pos="9058"/>
            </w:tabs>
            <w:rPr>
              <w:rFonts w:asciiTheme="minorHAnsi" w:eastAsiaTheme="minorEastAsia" w:hAnsiTheme="minorHAnsi" w:cstheme="minorBidi"/>
              <w:noProof/>
              <w:color w:val="auto"/>
            </w:rPr>
          </w:pPr>
          <w:hyperlink w:anchor="_Toc202882741" w:history="1">
            <w:r w:rsidRPr="009441BB">
              <w:rPr>
                <w:rStyle w:val="Hyperlink"/>
                <w:noProof/>
              </w:rPr>
              <w:t>End matter</w:t>
            </w:r>
            <w:r>
              <w:rPr>
                <w:noProof/>
                <w:webHidden/>
              </w:rPr>
              <w:tab/>
            </w:r>
            <w:r>
              <w:rPr>
                <w:noProof/>
                <w:webHidden/>
              </w:rPr>
              <w:fldChar w:fldCharType="begin"/>
            </w:r>
            <w:r>
              <w:rPr>
                <w:noProof/>
                <w:webHidden/>
              </w:rPr>
              <w:instrText xml:space="preserve"> PAGEREF _Toc202882741 \h </w:instrText>
            </w:r>
            <w:r>
              <w:rPr>
                <w:noProof/>
                <w:webHidden/>
              </w:rPr>
            </w:r>
            <w:r>
              <w:rPr>
                <w:noProof/>
                <w:webHidden/>
              </w:rPr>
              <w:fldChar w:fldCharType="separate"/>
            </w:r>
            <w:r>
              <w:rPr>
                <w:noProof/>
                <w:webHidden/>
              </w:rPr>
              <w:t>6</w:t>
            </w:r>
            <w:r>
              <w:rPr>
                <w:noProof/>
                <w:webHidden/>
              </w:rPr>
              <w:fldChar w:fldCharType="end"/>
            </w:r>
          </w:hyperlink>
        </w:p>
        <w:p w14:paraId="6F67E533" w14:textId="4BA1D5E1" w:rsidR="00E32AC1" w:rsidRDefault="00D624CD">
          <w:r>
            <w:fldChar w:fldCharType="end"/>
          </w:r>
        </w:p>
      </w:sdtContent>
    </w:sdt>
    <w:p w14:paraId="7FD0CF48" w14:textId="77777777" w:rsidR="00E32AC1" w:rsidRDefault="00D624CD">
      <w:pPr>
        <w:spacing w:line="371" w:lineRule="auto"/>
        <w:ind w:left="-5"/>
      </w:pPr>
      <w:r>
        <w:br w:type="page"/>
      </w:r>
    </w:p>
    <w:p w14:paraId="08AD03CE" w14:textId="77777777" w:rsidR="00E32AC1" w:rsidRDefault="00D624CD">
      <w:pPr>
        <w:pStyle w:val="Heading1"/>
        <w:spacing w:after="454"/>
        <w:ind w:left="-5"/>
      </w:pPr>
      <w:bookmarkStart w:id="0" w:name="_Toc202882735"/>
      <w:r>
        <w:lastRenderedPageBreak/>
        <w:t>Summary</w:t>
      </w:r>
      <w:bookmarkEnd w:id="0"/>
      <w:r>
        <w:t xml:space="preserve"> </w:t>
      </w:r>
    </w:p>
    <w:p w14:paraId="7077B90B" w14:textId="77777777" w:rsidR="00E32AC1" w:rsidRDefault="00D624CD">
      <w:pPr>
        <w:spacing w:after="996"/>
        <w:ind w:left="-5"/>
      </w:pPr>
      <w:r>
        <w:t xml:space="preserve">The University may, for good reason, deprive any person of a University award (or, in the case of a joint or dual award, may do so jointly with the other institution[s]) or may recommend revocation to an appropriate awarding body. Good reason shall include academic fraud. Appendix 24 details the process to be followed for the consideration of revocation of awards. </w:t>
      </w:r>
    </w:p>
    <w:p w14:paraId="3C02D894" w14:textId="77777777" w:rsidR="00E32AC1" w:rsidRDefault="00D624CD">
      <w:pPr>
        <w:pStyle w:val="Heading1"/>
        <w:spacing w:after="166"/>
        <w:ind w:left="-5"/>
      </w:pPr>
      <w:bookmarkStart w:id="1" w:name="_Toc202882736"/>
      <w:r>
        <w:t>Glossary of Terms</w:t>
      </w:r>
      <w:bookmarkEnd w:id="1"/>
      <w:r>
        <w:t xml:space="preserve"> </w:t>
      </w:r>
    </w:p>
    <w:tbl>
      <w:tblPr>
        <w:tblStyle w:val="TableGrid"/>
        <w:tblW w:w="8152" w:type="dxa"/>
        <w:tblInd w:w="6" w:type="dxa"/>
        <w:tblCellMar>
          <w:top w:w="54" w:type="dxa"/>
          <w:left w:w="107" w:type="dxa"/>
          <w:right w:w="115" w:type="dxa"/>
        </w:tblCellMar>
        <w:tblLook w:val="04A0" w:firstRow="1" w:lastRow="0" w:firstColumn="1" w:lastColumn="0" w:noHBand="0" w:noVBand="1"/>
      </w:tblPr>
      <w:tblGrid>
        <w:gridCol w:w="3788"/>
        <w:gridCol w:w="4364"/>
      </w:tblGrid>
      <w:tr w:rsidR="00E32AC1" w14:paraId="59156480" w14:textId="77777777">
        <w:trPr>
          <w:trHeight w:val="396"/>
        </w:trPr>
        <w:tc>
          <w:tcPr>
            <w:tcW w:w="3788" w:type="dxa"/>
            <w:tcBorders>
              <w:top w:val="single" w:sz="4" w:space="0" w:color="BFBFBF"/>
              <w:left w:val="single" w:sz="4" w:space="0" w:color="BFBFBF"/>
              <w:bottom w:val="single" w:sz="4" w:space="0" w:color="BFBFBF"/>
              <w:right w:val="single" w:sz="4" w:space="0" w:color="BFBFBF"/>
            </w:tcBorders>
            <w:shd w:val="clear" w:color="auto" w:fill="F2F2F2"/>
          </w:tcPr>
          <w:p w14:paraId="543B69BA" w14:textId="77777777" w:rsidR="00E32AC1" w:rsidRDefault="00D624CD">
            <w:pPr>
              <w:spacing w:after="0" w:line="259" w:lineRule="auto"/>
              <w:ind w:left="0" w:firstLine="0"/>
            </w:pPr>
            <w:r>
              <w:rPr>
                <w:b/>
              </w:rPr>
              <w:t>Term</w:t>
            </w:r>
            <w:r>
              <w:t xml:space="preserve"> </w:t>
            </w:r>
          </w:p>
        </w:tc>
        <w:tc>
          <w:tcPr>
            <w:tcW w:w="4363" w:type="dxa"/>
            <w:tcBorders>
              <w:top w:val="single" w:sz="4" w:space="0" w:color="BFBFBF"/>
              <w:left w:val="single" w:sz="4" w:space="0" w:color="BFBFBF"/>
              <w:bottom w:val="single" w:sz="4" w:space="0" w:color="BFBFBF"/>
              <w:right w:val="single" w:sz="4" w:space="0" w:color="BFBFBF"/>
            </w:tcBorders>
          </w:tcPr>
          <w:p w14:paraId="0653D4BF" w14:textId="77777777" w:rsidR="00E32AC1" w:rsidRDefault="00D624CD">
            <w:pPr>
              <w:spacing w:after="0" w:line="259" w:lineRule="auto"/>
              <w:ind w:left="1" w:firstLine="0"/>
            </w:pPr>
            <w:r>
              <w:rPr>
                <w:b/>
              </w:rPr>
              <w:t>Meaning</w:t>
            </w:r>
            <w:r>
              <w:t xml:space="preserve"> </w:t>
            </w:r>
          </w:p>
        </w:tc>
      </w:tr>
      <w:tr w:rsidR="00E32AC1" w14:paraId="0BDC9AD3" w14:textId="77777777">
        <w:trPr>
          <w:trHeight w:val="838"/>
        </w:trPr>
        <w:tc>
          <w:tcPr>
            <w:tcW w:w="3788" w:type="dxa"/>
            <w:tcBorders>
              <w:top w:val="single" w:sz="4" w:space="0" w:color="BFBFBF"/>
              <w:left w:val="single" w:sz="4" w:space="0" w:color="BFBFBF"/>
              <w:bottom w:val="single" w:sz="4" w:space="0" w:color="BFBFBF"/>
              <w:right w:val="single" w:sz="4" w:space="0" w:color="BFBFBF"/>
            </w:tcBorders>
            <w:shd w:val="clear" w:color="auto" w:fill="F2F2F2"/>
          </w:tcPr>
          <w:p w14:paraId="24BD566C" w14:textId="77777777" w:rsidR="00E32AC1" w:rsidRDefault="00D624CD">
            <w:pPr>
              <w:spacing w:after="0" w:line="259" w:lineRule="auto"/>
              <w:ind w:left="0" w:firstLine="0"/>
            </w:pPr>
            <w:r>
              <w:t xml:space="preserve">Assessment Board </w:t>
            </w:r>
          </w:p>
        </w:tc>
        <w:tc>
          <w:tcPr>
            <w:tcW w:w="4363" w:type="dxa"/>
            <w:tcBorders>
              <w:top w:val="single" w:sz="4" w:space="0" w:color="BFBFBF"/>
              <w:left w:val="single" w:sz="4" w:space="0" w:color="BFBFBF"/>
              <w:bottom w:val="single" w:sz="4" w:space="0" w:color="BFBFBF"/>
              <w:right w:val="single" w:sz="4" w:space="0" w:color="BFBFBF"/>
            </w:tcBorders>
            <w:shd w:val="clear" w:color="auto" w:fill="F2F2F2"/>
          </w:tcPr>
          <w:p w14:paraId="0EA9317F" w14:textId="77777777" w:rsidR="00E32AC1" w:rsidRDefault="00D624CD">
            <w:pPr>
              <w:spacing w:after="0" w:line="259" w:lineRule="auto"/>
              <w:ind w:left="1" w:firstLine="0"/>
            </w:pPr>
            <w:r>
              <w:t xml:space="preserve">The name given to the meeting that confirms student’s results and overall progression. </w:t>
            </w:r>
          </w:p>
        </w:tc>
      </w:tr>
    </w:tbl>
    <w:p w14:paraId="61FA048A" w14:textId="77777777" w:rsidR="00C632A6" w:rsidRDefault="00C632A6">
      <w:pPr>
        <w:pStyle w:val="Heading1"/>
        <w:spacing w:after="454"/>
        <w:ind w:left="-5"/>
      </w:pPr>
    </w:p>
    <w:p w14:paraId="292C4148" w14:textId="7DB69EE0" w:rsidR="00E32AC1" w:rsidRDefault="00D624CD">
      <w:pPr>
        <w:pStyle w:val="Heading1"/>
        <w:spacing w:after="454"/>
        <w:ind w:left="-5"/>
      </w:pPr>
      <w:bookmarkStart w:id="2" w:name="_Toc202882737"/>
      <w:r>
        <w:t>Purpose</w:t>
      </w:r>
      <w:bookmarkEnd w:id="2"/>
      <w:r>
        <w:t xml:space="preserve"> </w:t>
      </w:r>
    </w:p>
    <w:p w14:paraId="21D13C94" w14:textId="77777777" w:rsidR="00E32AC1" w:rsidRDefault="00D624CD">
      <w:pPr>
        <w:ind w:left="-5"/>
      </w:pPr>
      <w:r>
        <w:t xml:space="preserve">Appendix 24 details the process to be followed for the consideration of revocation of awards. </w:t>
      </w:r>
    </w:p>
    <w:p w14:paraId="6FE1C329" w14:textId="77777777" w:rsidR="00C632A6" w:rsidRDefault="00C632A6">
      <w:pPr>
        <w:spacing w:after="160" w:line="278" w:lineRule="auto"/>
        <w:ind w:left="0" w:firstLine="0"/>
        <w:rPr>
          <w:rFonts w:ascii="Cambria" w:eastAsia="Cambria" w:hAnsi="Cambria" w:cs="Cambria"/>
          <w:color w:val="5F005F"/>
          <w:sz w:val="32"/>
        </w:rPr>
      </w:pPr>
      <w:r>
        <w:br w:type="page"/>
      </w:r>
    </w:p>
    <w:p w14:paraId="730DAFF0" w14:textId="4F8D0410" w:rsidR="00E32AC1" w:rsidRDefault="00D624CD">
      <w:pPr>
        <w:pStyle w:val="Heading1"/>
        <w:spacing w:after="235"/>
        <w:ind w:left="-5"/>
      </w:pPr>
      <w:bookmarkStart w:id="3" w:name="_Toc202882738"/>
      <w:r>
        <w:lastRenderedPageBreak/>
        <w:t>Regulations</w:t>
      </w:r>
      <w:bookmarkEnd w:id="3"/>
      <w:r>
        <w:t xml:space="preserve"> </w:t>
      </w:r>
    </w:p>
    <w:p w14:paraId="6F237089" w14:textId="77777777" w:rsidR="00E32AC1" w:rsidRDefault="00D624CD">
      <w:pPr>
        <w:numPr>
          <w:ilvl w:val="0"/>
          <w:numId w:val="1"/>
        </w:numPr>
        <w:spacing w:after="345"/>
        <w:ind w:hanging="361"/>
      </w:pPr>
      <w:r>
        <w:t xml:space="preserve">Awards made by Edge Hill University are conferred in good faith. Allegations of misconduct relating to an award, which are made </w:t>
      </w:r>
      <w:proofErr w:type="gramStart"/>
      <w:r>
        <w:t>subsequent to</w:t>
      </w:r>
      <w:proofErr w:type="gramEnd"/>
      <w:r>
        <w:t xml:space="preserve"> conferment, will be investigated and, if proven, may lead to the revocation or re-classification of the award. Evidence of falsification of material factors concerned with student registration or improper use of any award conferred will be similarly investigated.  The standard procedures for misconduct will apply in determining whether a case is substantiated.</w:t>
      </w:r>
    </w:p>
    <w:p w14:paraId="3DA13CC5" w14:textId="77777777" w:rsidR="00E32AC1" w:rsidRDefault="00D624CD">
      <w:pPr>
        <w:numPr>
          <w:ilvl w:val="0"/>
          <w:numId w:val="1"/>
        </w:numPr>
        <w:spacing w:after="342"/>
        <w:ind w:hanging="361"/>
      </w:pPr>
      <w:r>
        <w:t>Recommendations for revocation or reclassification of an award will be referred to the appropriate Assessment Board for confirmation.</w:t>
      </w:r>
    </w:p>
    <w:p w14:paraId="6DA514ED" w14:textId="77777777" w:rsidR="00E32AC1" w:rsidRDefault="00D624CD">
      <w:pPr>
        <w:numPr>
          <w:ilvl w:val="0"/>
          <w:numId w:val="1"/>
        </w:numPr>
        <w:spacing w:after="16"/>
        <w:ind w:hanging="361"/>
      </w:pPr>
      <w:r>
        <w:t xml:space="preserve">Where a recommendation for revocation of an award is confirmed by an </w:t>
      </w:r>
    </w:p>
    <w:p w14:paraId="7120AD40" w14:textId="77777777" w:rsidR="00E32AC1" w:rsidRDefault="00D624CD">
      <w:pPr>
        <w:spacing w:after="343"/>
        <w:ind w:left="730"/>
      </w:pPr>
      <w:r>
        <w:t>Assessment Board, an application for revocation will be made to the Edge Hill Academic Board. Procedures for confirming revocation will be determined by the University as appropriate with respect to each case as it occurs but provision will be made for the award-holder to present any mitigating circumstances and to be represented.</w:t>
      </w:r>
    </w:p>
    <w:p w14:paraId="0DA3527C" w14:textId="77777777" w:rsidR="00E32AC1" w:rsidRDefault="00D624CD">
      <w:pPr>
        <w:numPr>
          <w:ilvl w:val="0"/>
          <w:numId w:val="1"/>
        </w:numPr>
        <w:spacing w:after="344"/>
        <w:ind w:hanging="361"/>
      </w:pPr>
      <w:r>
        <w:t>Appeal against revocation will be to the Vice-Chancellor, or nominee.  This appeal will be final.</w:t>
      </w:r>
    </w:p>
    <w:p w14:paraId="4DA0179E" w14:textId="77777777" w:rsidR="00E32AC1" w:rsidRDefault="00D624CD">
      <w:pPr>
        <w:numPr>
          <w:ilvl w:val="0"/>
          <w:numId w:val="1"/>
        </w:numPr>
        <w:spacing w:after="345"/>
        <w:ind w:hanging="361"/>
      </w:pPr>
      <w:r>
        <w:t>Any cases relating to awards conferred by Lancaster University under previously extant accreditation arrangements will be investigated and reported to Lancaster University for appropriate action.</w:t>
      </w:r>
    </w:p>
    <w:p w14:paraId="11B6E78F" w14:textId="77777777" w:rsidR="00E32AC1" w:rsidRDefault="00D624CD">
      <w:pPr>
        <w:numPr>
          <w:ilvl w:val="0"/>
          <w:numId w:val="1"/>
        </w:numPr>
        <w:ind w:hanging="361"/>
      </w:pPr>
      <w:r>
        <w:t>The revocation of any award which also carries professional registration/recognition will be reported to the appropriate professional body.</w:t>
      </w:r>
    </w:p>
    <w:p w14:paraId="30DE26A7" w14:textId="77777777" w:rsidR="00E32AC1" w:rsidRDefault="00D624CD">
      <w:pPr>
        <w:pStyle w:val="Heading1"/>
        <w:spacing w:after="454"/>
        <w:ind w:left="-5"/>
      </w:pPr>
      <w:bookmarkStart w:id="4" w:name="_Toc202882739"/>
      <w:r>
        <w:lastRenderedPageBreak/>
        <w:t>Key to Relevant Documents</w:t>
      </w:r>
      <w:bookmarkEnd w:id="4"/>
      <w:r>
        <w:t xml:space="preserve"> </w:t>
      </w:r>
    </w:p>
    <w:p w14:paraId="557D9601" w14:textId="77777777" w:rsidR="00E32AC1" w:rsidRDefault="00D624CD">
      <w:pPr>
        <w:spacing w:after="230"/>
        <w:ind w:left="-5"/>
      </w:pPr>
      <w:r>
        <w:t>This policy refers to the following documents, which you may find useful.</w:t>
      </w:r>
      <w:r>
        <w:rPr>
          <w:sz w:val="23"/>
        </w:rPr>
        <w:t xml:space="preserve"> </w:t>
      </w:r>
    </w:p>
    <w:p w14:paraId="4DF08D30" w14:textId="19ED3943" w:rsidR="00E32AC1" w:rsidRDefault="00D624CD">
      <w:pPr>
        <w:numPr>
          <w:ilvl w:val="0"/>
          <w:numId w:val="2"/>
        </w:numPr>
        <w:spacing w:after="333" w:line="282" w:lineRule="auto"/>
        <w:ind w:hanging="360"/>
      </w:pPr>
      <w:hyperlink r:id="rId8">
        <w:r>
          <w:rPr>
            <w:color w:val="800080"/>
            <w:u w:val="single" w:color="800080"/>
          </w:rPr>
          <w:t>The Academic Regulations Appendix 8: Procedures Relating to Academic</w:t>
        </w:r>
      </w:hyperlink>
      <w:r>
        <w:rPr>
          <w:color w:val="800080"/>
        </w:rPr>
        <w:t xml:space="preserve"> </w:t>
      </w:r>
      <w:hyperlink r:id="rId9">
        <w:r>
          <w:rPr>
            <w:color w:val="800080"/>
            <w:u w:val="single" w:color="800080"/>
          </w:rPr>
          <w:t>M</w:t>
        </w:r>
      </w:hyperlink>
      <w:hyperlink r:id="rId10">
        <w:r>
          <w:rPr>
            <w:color w:val="800080"/>
            <w:u w:val="single" w:color="800080"/>
          </w:rPr>
          <w:t>isconduct</w:t>
        </w:r>
      </w:hyperlink>
    </w:p>
    <w:p w14:paraId="206548B3" w14:textId="6E1A77C4" w:rsidR="00E32AC1" w:rsidRDefault="00D624CD">
      <w:pPr>
        <w:numPr>
          <w:ilvl w:val="0"/>
          <w:numId w:val="2"/>
        </w:numPr>
        <w:spacing w:after="995" w:line="282" w:lineRule="auto"/>
        <w:ind w:hanging="360"/>
      </w:pPr>
      <w:hyperlink r:id="rId11">
        <w:r>
          <w:rPr>
            <w:color w:val="800080"/>
            <w:u w:val="single" w:color="800080"/>
          </w:rPr>
          <w:t>The Academic Regulations Appendix 20: Certification of Awards</w:t>
        </w:r>
      </w:hyperlink>
    </w:p>
    <w:p w14:paraId="68A2C1D5" w14:textId="77777777" w:rsidR="00E32AC1" w:rsidRDefault="00D624CD">
      <w:pPr>
        <w:pStyle w:val="Heading1"/>
        <w:ind w:left="-5"/>
      </w:pPr>
      <w:bookmarkStart w:id="5" w:name="_Toc202882740"/>
      <w:r>
        <w:t>Annexes</w:t>
      </w:r>
      <w:bookmarkEnd w:id="5"/>
      <w:r>
        <w:t xml:space="preserve"> </w:t>
      </w:r>
    </w:p>
    <w:p w14:paraId="46F2FB2B" w14:textId="77777777" w:rsidR="00E32AC1" w:rsidRDefault="00D624CD">
      <w:pPr>
        <w:ind w:left="-5"/>
      </w:pPr>
      <w:r>
        <w:t xml:space="preserve">There are no annexes to this policy. </w:t>
      </w:r>
      <w:r>
        <w:br w:type="page"/>
      </w:r>
    </w:p>
    <w:p w14:paraId="729A84F3" w14:textId="77777777" w:rsidR="00E32AC1" w:rsidRDefault="00D624CD">
      <w:pPr>
        <w:pStyle w:val="Heading1"/>
        <w:ind w:left="-5"/>
      </w:pPr>
      <w:bookmarkStart w:id="6" w:name="_Toc202882741"/>
      <w:r>
        <w:lastRenderedPageBreak/>
        <w:t>End matter</w:t>
      </w:r>
      <w:bookmarkEnd w:id="6"/>
      <w:r>
        <w:t xml:space="preserve"> </w:t>
      </w:r>
    </w:p>
    <w:tbl>
      <w:tblPr>
        <w:tblStyle w:val="TableGrid"/>
        <w:tblW w:w="9017" w:type="dxa"/>
        <w:tblInd w:w="5" w:type="dxa"/>
        <w:tblCellMar>
          <w:top w:w="56" w:type="dxa"/>
          <w:left w:w="108" w:type="dxa"/>
          <w:right w:w="115" w:type="dxa"/>
        </w:tblCellMar>
        <w:tblLook w:val="04A0" w:firstRow="1" w:lastRow="0" w:firstColumn="1" w:lastColumn="0" w:noHBand="0" w:noVBand="1"/>
      </w:tblPr>
      <w:tblGrid>
        <w:gridCol w:w="2758"/>
        <w:gridCol w:w="6259"/>
      </w:tblGrid>
      <w:tr w:rsidR="00E32AC1" w14:paraId="07E16C0A" w14:textId="77777777" w:rsidTr="00873DBF">
        <w:trPr>
          <w:trHeight w:val="286"/>
          <w:tblHeader/>
        </w:trPr>
        <w:tc>
          <w:tcPr>
            <w:tcW w:w="2758" w:type="dxa"/>
            <w:tcBorders>
              <w:top w:val="single" w:sz="4" w:space="0" w:color="000000"/>
              <w:left w:val="single" w:sz="4" w:space="0" w:color="000000"/>
              <w:bottom w:val="single" w:sz="4" w:space="0" w:color="000000"/>
              <w:right w:val="single" w:sz="4" w:space="0" w:color="000000"/>
            </w:tcBorders>
          </w:tcPr>
          <w:p w14:paraId="2CEB406F" w14:textId="77777777" w:rsidR="00E32AC1" w:rsidRDefault="00D624CD">
            <w:pPr>
              <w:spacing w:after="0" w:line="259" w:lineRule="auto"/>
              <w:ind w:left="0" w:firstLine="0"/>
            </w:pPr>
            <w:r>
              <w:t xml:space="preserve">Title </w:t>
            </w:r>
          </w:p>
        </w:tc>
        <w:tc>
          <w:tcPr>
            <w:tcW w:w="6259" w:type="dxa"/>
            <w:tcBorders>
              <w:top w:val="single" w:sz="4" w:space="0" w:color="000000"/>
              <w:left w:val="single" w:sz="4" w:space="0" w:color="000000"/>
              <w:bottom w:val="single" w:sz="4" w:space="0" w:color="000000"/>
              <w:right w:val="single" w:sz="4" w:space="0" w:color="000000"/>
            </w:tcBorders>
          </w:tcPr>
          <w:p w14:paraId="5813BA5D" w14:textId="77777777" w:rsidR="00E32AC1" w:rsidRDefault="00D624CD">
            <w:pPr>
              <w:spacing w:after="0" w:line="259" w:lineRule="auto"/>
              <w:ind w:left="0" w:firstLine="0"/>
            </w:pPr>
            <w:r>
              <w:t xml:space="preserve">Appendix 24: The Revocation of Awards </w:t>
            </w:r>
          </w:p>
        </w:tc>
      </w:tr>
      <w:tr w:rsidR="00E32AC1" w14:paraId="6451A221" w14:textId="77777777">
        <w:trPr>
          <w:trHeight w:val="286"/>
        </w:trPr>
        <w:tc>
          <w:tcPr>
            <w:tcW w:w="2758" w:type="dxa"/>
            <w:tcBorders>
              <w:top w:val="single" w:sz="4" w:space="0" w:color="000000"/>
              <w:left w:val="single" w:sz="4" w:space="0" w:color="000000"/>
              <w:bottom w:val="single" w:sz="4" w:space="0" w:color="000000"/>
              <w:right w:val="single" w:sz="4" w:space="0" w:color="000000"/>
            </w:tcBorders>
          </w:tcPr>
          <w:p w14:paraId="6DFA5E79" w14:textId="77777777" w:rsidR="00E32AC1" w:rsidRDefault="00D624CD">
            <w:pPr>
              <w:spacing w:after="0" w:line="259" w:lineRule="auto"/>
              <w:ind w:left="0" w:firstLine="0"/>
            </w:pPr>
            <w:r>
              <w:t xml:space="preserve">Policy Owner </w:t>
            </w:r>
          </w:p>
        </w:tc>
        <w:tc>
          <w:tcPr>
            <w:tcW w:w="6259" w:type="dxa"/>
            <w:tcBorders>
              <w:top w:val="single" w:sz="4" w:space="0" w:color="000000"/>
              <w:left w:val="single" w:sz="4" w:space="0" w:color="000000"/>
              <w:bottom w:val="single" w:sz="4" w:space="0" w:color="000000"/>
              <w:right w:val="single" w:sz="4" w:space="0" w:color="000000"/>
            </w:tcBorders>
          </w:tcPr>
          <w:p w14:paraId="3907338E" w14:textId="77777777" w:rsidR="00E32AC1" w:rsidRDefault="00D624CD">
            <w:pPr>
              <w:spacing w:after="0" w:line="259" w:lineRule="auto"/>
              <w:ind w:left="0" w:firstLine="0"/>
            </w:pPr>
            <w:r>
              <w:t xml:space="preserve">Head of Academic Registry </w:t>
            </w:r>
          </w:p>
        </w:tc>
      </w:tr>
      <w:tr w:rsidR="00E32AC1" w14:paraId="70275CB2" w14:textId="77777777">
        <w:trPr>
          <w:trHeight w:val="286"/>
        </w:trPr>
        <w:tc>
          <w:tcPr>
            <w:tcW w:w="2758" w:type="dxa"/>
            <w:tcBorders>
              <w:top w:val="single" w:sz="4" w:space="0" w:color="000000"/>
              <w:left w:val="single" w:sz="4" w:space="0" w:color="000000"/>
              <w:bottom w:val="single" w:sz="4" w:space="0" w:color="000000"/>
              <w:right w:val="single" w:sz="4" w:space="0" w:color="000000"/>
            </w:tcBorders>
          </w:tcPr>
          <w:p w14:paraId="2AC5BA22" w14:textId="77777777" w:rsidR="00E32AC1" w:rsidRDefault="00D624CD">
            <w:pPr>
              <w:spacing w:after="0" w:line="259" w:lineRule="auto"/>
              <w:ind w:left="0" w:firstLine="0"/>
            </w:pPr>
            <w:r>
              <w:t xml:space="preserve">Policy Manager </w:t>
            </w:r>
          </w:p>
        </w:tc>
        <w:tc>
          <w:tcPr>
            <w:tcW w:w="6259" w:type="dxa"/>
            <w:tcBorders>
              <w:top w:val="single" w:sz="4" w:space="0" w:color="000000"/>
              <w:left w:val="single" w:sz="4" w:space="0" w:color="000000"/>
              <w:bottom w:val="single" w:sz="4" w:space="0" w:color="000000"/>
              <w:right w:val="single" w:sz="4" w:space="0" w:color="000000"/>
            </w:tcBorders>
          </w:tcPr>
          <w:p w14:paraId="7E8284A3" w14:textId="77777777" w:rsidR="00E32AC1" w:rsidRDefault="00D624CD">
            <w:pPr>
              <w:spacing w:after="0" w:line="259" w:lineRule="auto"/>
              <w:ind w:left="0" w:firstLine="0"/>
            </w:pPr>
            <w:r>
              <w:t xml:space="preserve">Senior Registrar: Records, Assessment and Awards </w:t>
            </w:r>
          </w:p>
        </w:tc>
      </w:tr>
      <w:tr w:rsidR="00E32AC1" w14:paraId="4A79DDC9" w14:textId="77777777">
        <w:trPr>
          <w:trHeight w:val="286"/>
        </w:trPr>
        <w:tc>
          <w:tcPr>
            <w:tcW w:w="2758" w:type="dxa"/>
            <w:tcBorders>
              <w:top w:val="single" w:sz="4" w:space="0" w:color="000000"/>
              <w:left w:val="single" w:sz="4" w:space="0" w:color="000000"/>
              <w:bottom w:val="single" w:sz="4" w:space="0" w:color="000000"/>
              <w:right w:val="single" w:sz="4" w:space="0" w:color="000000"/>
            </w:tcBorders>
          </w:tcPr>
          <w:p w14:paraId="311BFFB1" w14:textId="77777777" w:rsidR="00E32AC1" w:rsidRDefault="00D624CD">
            <w:pPr>
              <w:spacing w:after="0" w:line="259" w:lineRule="auto"/>
              <w:ind w:left="0" w:firstLine="0"/>
            </w:pPr>
            <w:r>
              <w:t xml:space="preserve">Approved by </w:t>
            </w:r>
          </w:p>
        </w:tc>
        <w:tc>
          <w:tcPr>
            <w:tcW w:w="6259" w:type="dxa"/>
            <w:tcBorders>
              <w:top w:val="single" w:sz="4" w:space="0" w:color="000000"/>
              <w:left w:val="single" w:sz="4" w:space="0" w:color="000000"/>
              <w:bottom w:val="single" w:sz="4" w:space="0" w:color="000000"/>
              <w:right w:val="single" w:sz="4" w:space="0" w:color="000000"/>
            </w:tcBorders>
          </w:tcPr>
          <w:p w14:paraId="1A2CF9DA" w14:textId="77777777" w:rsidR="00E32AC1" w:rsidRDefault="00D624CD">
            <w:pPr>
              <w:spacing w:after="0" w:line="259" w:lineRule="auto"/>
              <w:ind w:left="0" w:firstLine="0"/>
            </w:pPr>
            <w:r>
              <w:t xml:space="preserve">Regulations Review Sub-Committee </w:t>
            </w:r>
          </w:p>
        </w:tc>
      </w:tr>
      <w:tr w:rsidR="00E32AC1" w14:paraId="3BEF0955" w14:textId="77777777">
        <w:trPr>
          <w:trHeight w:val="288"/>
        </w:trPr>
        <w:tc>
          <w:tcPr>
            <w:tcW w:w="2758" w:type="dxa"/>
            <w:tcBorders>
              <w:top w:val="single" w:sz="4" w:space="0" w:color="000000"/>
              <w:left w:val="single" w:sz="4" w:space="0" w:color="000000"/>
              <w:bottom w:val="single" w:sz="4" w:space="0" w:color="000000"/>
              <w:right w:val="single" w:sz="4" w:space="0" w:color="000000"/>
            </w:tcBorders>
          </w:tcPr>
          <w:p w14:paraId="403E4DB3" w14:textId="77777777" w:rsidR="00E32AC1" w:rsidRDefault="00D624CD">
            <w:pPr>
              <w:spacing w:after="0" w:line="259" w:lineRule="auto"/>
              <w:ind w:left="0" w:firstLine="0"/>
            </w:pPr>
            <w:r>
              <w:t xml:space="preserve">Date of Approval </w:t>
            </w:r>
          </w:p>
        </w:tc>
        <w:tc>
          <w:tcPr>
            <w:tcW w:w="6259" w:type="dxa"/>
            <w:tcBorders>
              <w:top w:val="single" w:sz="4" w:space="0" w:color="000000"/>
              <w:left w:val="single" w:sz="4" w:space="0" w:color="000000"/>
              <w:bottom w:val="single" w:sz="4" w:space="0" w:color="000000"/>
              <w:right w:val="single" w:sz="4" w:space="0" w:color="000000"/>
            </w:tcBorders>
          </w:tcPr>
          <w:p w14:paraId="31379229" w14:textId="77777777" w:rsidR="00E32AC1" w:rsidRDefault="00D624CD">
            <w:pPr>
              <w:spacing w:after="0" w:line="259" w:lineRule="auto"/>
              <w:ind w:left="0" w:firstLine="0"/>
            </w:pPr>
            <w:r>
              <w:t xml:space="preserve">February 2008 </w:t>
            </w:r>
          </w:p>
        </w:tc>
      </w:tr>
      <w:tr w:rsidR="00E32AC1" w14:paraId="5E01C8E5" w14:textId="77777777">
        <w:trPr>
          <w:trHeight w:val="286"/>
        </w:trPr>
        <w:tc>
          <w:tcPr>
            <w:tcW w:w="2758" w:type="dxa"/>
            <w:tcBorders>
              <w:top w:val="single" w:sz="4" w:space="0" w:color="000000"/>
              <w:left w:val="single" w:sz="4" w:space="0" w:color="000000"/>
              <w:bottom w:val="single" w:sz="4" w:space="0" w:color="000000"/>
              <w:right w:val="single" w:sz="4" w:space="0" w:color="000000"/>
            </w:tcBorders>
          </w:tcPr>
          <w:p w14:paraId="5C45E4EF" w14:textId="77777777" w:rsidR="00E32AC1" w:rsidRDefault="00D624CD">
            <w:pPr>
              <w:spacing w:after="0" w:line="259" w:lineRule="auto"/>
              <w:ind w:left="0" w:firstLine="0"/>
            </w:pPr>
            <w:r>
              <w:t xml:space="preserve">Date for Review </w:t>
            </w:r>
          </w:p>
        </w:tc>
        <w:tc>
          <w:tcPr>
            <w:tcW w:w="6259" w:type="dxa"/>
            <w:tcBorders>
              <w:top w:val="single" w:sz="4" w:space="0" w:color="000000"/>
              <w:left w:val="single" w:sz="4" w:space="0" w:color="000000"/>
              <w:bottom w:val="single" w:sz="4" w:space="0" w:color="000000"/>
              <w:right w:val="single" w:sz="4" w:space="0" w:color="000000"/>
            </w:tcBorders>
          </w:tcPr>
          <w:p w14:paraId="006C839D" w14:textId="4B54E8A0" w:rsidR="00E32AC1" w:rsidRDefault="00D624CD">
            <w:pPr>
              <w:spacing w:after="0" w:line="259" w:lineRule="auto"/>
              <w:ind w:left="0" w:firstLine="0"/>
            </w:pPr>
            <w:r>
              <w:t>June 202</w:t>
            </w:r>
            <w:r w:rsidR="0072139A">
              <w:t>6</w:t>
            </w:r>
            <w:r>
              <w:t xml:space="preserve"> (last reviewed June 202</w:t>
            </w:r>
            <w:r w:rsidR="0072139A">
              <w:t>5</w:t>
            </w:r>
            <w:r>
              <w:t xml:space="preserve">) </w:t>
            </w:r>
          </w:p>
        </w:tc>
      </w:tr>
    </w:tbl>
    <w:p w14:paraId="0584CF24" w14:textId="77777777" w:rsidR="00D624CD" w:rsidRDefault="00D624CD"/>
    <w:sectPr w:rsidR="00D624CD">
      <w:footerReference w:type="even" r:id="rId12"/>
      <w:footerReference w:type="default" r:id="rId13"/>
      <w:footerReference w:type="first" r:id="rId14"/>
      <w:pgSz w:w="11906" w:h="16838"/>
      <w:pgMar w:top="1470" w:right="1398" w:bottom="6163"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ABF93" w14:textId="77777777" w:rsidR="00D624CD" w:rsidRDefault="00D624CD">
      <w:pPr>
        <w:spacing w:after="0" w:line="240" w:lineRule="auto"/>
      </w:pPr>
      <w:r>
        <w:separator/>
      </w:r>
    </w:p>
  </w:endnote>
  <w:endnote w:type="continuationSeparator" w:id="0">
    <w:p w14:paraId="2C3251B1" w14:textId="77777777" w:rsidR="00D624CD" w:rsidRDefault="00D6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BC2B" w14:textId="77777777" w:rsidR="00E32AC1" w:rsidRDefault="00D624CD">
    <w:pPr>
      <w:spacing w:after="0" w:line="259" w:lineRule="auto"/>
      <w:ind w:left="0" w:right="45"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49D6" w14:textId="77777777" w:rsidR="00E32AC1" w:rsidRDefault="00D624CD">
    <w:pPr>
      <w:spacing w:after="0" w:line="259" w:lineRule="auto"/>
      <w:ind w:left="0" w:right="45" w:firstLine="0"/>
      <w:jc w:val="center"/>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3851" w14:textId="77777777" w:rsidR="00E32AC1" w:rsidRDefault="00E32AC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D0023" w14:textId="77777777" w:rsidR="00D624CD" w:rsidRDefault="00D624CD">
      <w:pPr>
        <w:spacing w:after="0" w:line="240" w:lineRule="auto"/>
      </w:pPr>
      <w:r>
        <w:separator/>
      </w:r>
    </w:p>
  </w:footnote>
  <w:footnote w:type="continuationSeparator" w:id="0">
    <w:p w14:paraId="57978292" w14:textId="77777777" w:rsidR="00D624CD" w:rsidRDefault="00D62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654D9"/>
    <w:multiLevelType w:val="hybridMultilevel"/>
    <w:tmpl w:val="8BC6B8D8"/>
    <w:lvl w:ilvl="0" w:tplc="C0D08D7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42B9CA">
      <w:start w:val="1"/>
      <w:numFmt w:val="lowerLetter"/>
      <w:lvlText w:val="%2"/>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D2FE1A">
      <w:start w:val="1"/>
      <w:numFmt w:val="lowerRoman"/>
      <w:lvlText w:val="%3"/>
      <w:lvlJc w:val="left"/>
      <w:pPr>
        <w:ind w:left="2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F8F424">
      <w:start w:val="1"/>
      <w:numFmt w:val="decimal"/>
      <w:lvlText w:val="%4"/>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58699C">
      <w:start w:val="1"/>
      <w:numFmt w:val="lowerLetter"/>
      <w:lvlText w:val="%5"/>
      <w:lvlJc w:val="left"/>
      <w:pPr>
        <w:ind w:left="3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966A4E">
      <w:start w:val="1"/>
      <w:numFmt w:val="lowerRoman"/>
      <w:lvlText w:val="%6"/>
      <w:lvlJc w:val="left"/>
      <w:pPr>
        <w:ind w:left="4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A63DBA">
      <w:start w:val="1"/>
      <w:numFmt w:val="decimal"/>
      <w:lvlText w:val="%7"/>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5C9A3C">
      <w:start w:val="1"/>
      <w:numFmt w:val="lowerLetter"/>
      <w:lvlText w:val="%8"/>
      <w:lvlJc w:val="left"/>
      <w:pPr>
        <w:ind w:left="5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503E4C">
      <w:start w:val="1"/>
      <w:numFmt w:val="lowerRoman"/>
      <w:lvlText w:val="%9"/>
      <w:lvlJc w:val="left"/>
      <w:pPr>
        <w:ind w:left="64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E0218D1"/>
    <w:multiLevelType w:val="hybridMultilevel"/>
    <w:tmpl w:val="850EDB04"/>
    <w:lvl w:ilvl="0" w:tplc="BF34AC66">
      <w:start w:val="1"/>
      <w:numFmt w:val="bullet"/>
      <w:lvlText w:val="-"/>
      <w:lvlJc w:val="left"/>
      <w:pPr>
        <w:ind w:left="705"/>
      </w:pPr>
      <w:rPr>
        <w:rFonts w:ascii="Arial" w:eastAsia="Arial" w:hAnsi="Arial" w:cs="Arial"/>
        <w:b w:val="0"/>
        <w:i w:val="0"/>
        <w:strike w:val="0"/>
        <w:dstrike w:val="0"/>
        <w:color w:val="800080"/>
        <w:sz w:val="24"/>
        <w:szCs w:val="24"/>
        <w:u w:val="none" w:color="000000"/>
        <w:bdr w:val="none" w:sz="0" w:space="0" w:color="auto"/>
        <w:shd w:val="clear" w:color="auto" w:fill="auto"/>
        <w:vertAlign w:val="baseline"/>
      </w:rPr>
    </w:lvl>
    <w:lvl w:ilvl="1" w:tplc="73AAE084">
      <w:start w:val="1"/>
      <w:numFmt w:val="bullet"/>
      <w:lvlText w:val="o"/>
      <w:lvlJc w:val="left"/>
      <w:pPr>
        <w:ind w:left="1440"/>
      </w:pPr>
      <w:rPr>
        <w:rFonts w:ascii="Arial" w:eastAsia="Arial" w:hAnsi="Arial" w:cs="Arial"/>
        <w:b w:val="0"/>
        <w:i w:val="0"/>
        <w:strike w:val="0"/>
        <w:dstrike w:val="0"/>
        <w:color w:val="800080"/>
        <w:sz w:val="24"/>
        <w:szCs w:val="24"/>
        <w:u w:val="none" w:color="000000"/>
        <w:bdr w:val="none" w:sz="0" w:space="0" w:color="auto"/>
        <w:shd w:val="clear" w:color="auto" w:fill="auto"/>
        <w:vertAlign w:val="baseline"/>
      </w:rPr>
    </w:lvl>
    <w:lvl w:ilvl="2" w:tplc="C82AA544">
      <w:start w:val="1"/>
      <w:numFmt w:val="bullet"/>
      <w:lvlText w:val="▪"/>
      <w:lvlJc w:val="left"/>
      <w:pPr>
        <w:ind w:left="2160"/>
      </w:pPr>
      <w:rPr>
        <w:rFonts w:ascii="Arial" w:eastAsia="Arial" w:hAnsi="Arial" w:cs="Arial"/>
        <w:b w:val="0"/>
        <w:i w:val="0"/>
        <w:strike w:val="0"/>
        <w:dstrike w:val="0"/>
        <w:color w:val="800080"/>
        <w:sz w:val="24"/>
        <w:szCs w:val="24"/>
        <w:u w:val="none" w:color="000000"/>
        <w:bdr w:val="none" w:sz="0" w:space="0" w:color="auto"/>
        <w:shd w:val="clear" w:color="auto" w:fill="auto"/>
        <w:vertAlign w:val="baseline"/>
      </w:rPr>
    </w:lvl>
    <w:lvl w:ilvl="3" w:tplc="8FF87E70">
      <w:start w:val="1"/>
      <w:numFmt w:val="bullet"/>
      <w:lvlText w:val="•"/>
      <w:lvlJc w:val="left"/>
      <w:pPr>
        <w:ind w:left="2880"/>
      </w:pPr>
      <w:rPr>
        <w:rFonts w:ascii="Arial" w:eastAsia="Arial" w:hAnsi="Arial" w:cs="Arial"/>
        <w:b w:val="0"/>
        <w:i w:val="0"/>
        <w:strike w:val="0"/>
        <w:dstrike w:val="0"/>
        <w:color w:val="800080"/>
        <w:sz w:val="24"/>
        <w:szCs w:val="24"/>
        <w:u w:val="none" w:color="000000"/>
        <w:bdr w:val="none" w:sz="0" w:space="0" w:color="auto"/>
        <w:shd w:val="clear" w:color="auto" w:fill="auto"/>
        <w:vertAlign w:val="baseline"/>
      </w:rPr>
    </w:lvl>
    <w:lvl w:ilvl="4" w:tplc="F1A4C76E">
      <w:start w:val="1"/>
      <w:numFmt w:val="bullet"/>
      <w:lvlText w:val="o"/>
      <w:lvlJc w:val="left"/>
      <w:pPr>
        <w:ind w:left="3600"/>
      </w:pPr>
      <w:rPr>
        <w:rFonts w:ascii="Arial" w:eastAsia="Arial" w:hAnsi="Arial" w:cs="Arial"/>
        <w:b w:val="0"/>
        <w:i w:val="0"/>
        <w:strike w:val="0"/>
        <w:dstrike w:val="0"/>
        <w:color w:val="800080"/>
        <w:sz w:val="24"/>
        <w:szCs w:val="24"/>
        <w:u w:val="none" w:color="000000"/>
        <w:bdr w:val="none" w:sz="0" w:space="0" w:color="auto"/>
        <w:shd w:val="clear" w:color="auto" w:fill="auto"/>
        <w:vertAlign w:val="baseline"/>
      </w:rPr>
    </w:lvl>
    <w:lvl w:ilvl="5" w:tplc="4ABA0ED0">
      <w:start w:val="1"/>
      <w:numFmt w:val="bullet"/>
      <w:lvlText w:val="▪"/>
      <w:lvlJc w:val="left"/>
      <w:pPr>
        <w:ind w:left="4320"/>
      </w:pPr>
      <w:rPr>
        <w:rFonts w:ascii="Arial" w:eastAsia="Arial" w:hAnsi="Arial" w:cs="Arial"/>
        <w:b w:val="0"/>
        <w:i w:val="0"/>
        <w:strike w:val="0"/>
        <w:dstrike w:val="0"/>
        <w:color w:val="800080"/>
        <w:sz w:val="24"/>
        <w:szCs w:val="24"/>
        <w:u w:val="none" w:color="000000"/>
        <w:bdr w:val="none" w:sz="0" w:space="0" w:color="auto"/>
        <w:shd w:val="clear" w:color="auto" w:fill="auto"/>
        <w:vertAlign w:val="baseline"/>
      </w:rPr>
    </w:lvl>
    <w:lvl w:ilvl="6" w:tplc="9BEEA476">
      <w:start w:val="1"/>
      <w:numFmt w:val="bullet"/>
      <w:lvlText w:val="•"/>
      <w:lvlJc w:val="left"/>
      <w:pPr>
        <w:ind w:left="5040"/>
      </w:pPr>
      <w:rPr>
        <w:rFonts w:ascii="Arial" w:eastAsia="Arial" w:hAnsi="Arial" w:cs="Arial"/>
        <w:b w:val="0"/>
        <w:i w:val="0"/>
        <w:strike w:val="0"/>
        <w:dstrike w:val="0"/>
        <w:color w:val="800080"/>
        <w:sz w:val="24"/>
        <w:szCs w:val="24"/>
        <w:u w:val="none" w:color="000000"/>
        <w:bdr w:val="none" w:sz="0" w:space="0" w:color="auto"/>
        <w:shd w:val="clear" w:color="auto" w:fill="auto"/>
        <w:vertAlign w:val="baseline"/>
      </w:rPr>
    </w:lvl>
    <w:lvl w:ilvl="7" w:tplc="D22C8480">
      <w:start w:val="1"/>
      <w:numFmt w:val="bullet"/>
      <w:lvlText w:val="o"/>
      <w:lvlJc w:val="left"/>
      <w:pPr>
        <w:ind w:left="5760"/>
      </w:pPr>
      <w:rPr>
        <w:rFonts w:ascii="Arial" w:eastAsia="Arial" w:hAnsi="Arial" w:cs="Arial"/>
        <w:b w:val="0"/>
        <w:i w:val="0"/>
        <w:strike w:val="0"/>
        <w:dstrike w:val="0"/>
        <w:color w:val="800080"/>
        <w:sz w:val="24"/>
        <w:szCs w:val="24"/>
        <w:u w:val="none" w:color="000000"/>
        <w:bdr w:val="none" w:sz="0" w:space="0" w:color="auto"/>
        <w:shd w:val="clear" w:color="auto" w:fill="auto"/>
        <w:vertAlign w:val="baseline"/>
      </w:rPr>
    </w:lvl>
    <w:lvl w:ilvl="8" w:tplc="92DC9B00">
      <w:start w:val="1"/>
      <w:numFmt w:val="bullet"/>
      <w:lvlText w:val="▪"/>
      <w:lvlJc w:val="left"/>
      <w:pPr>
        <w:ind w:left="6480"/>
      </w:pPr>
      <w:rPr>
        <w:rFonts w:ascii="Arial" w:eastAsia="Arial" w:hAnsi="Arial" w:cs="Arial"/>
        <w:b w:val="0"/>
        <w:i w:val="0"/>
        <w:strike w:val="0"/>
        <w:dstrike w:val="0"/>
        <w:color w:val="800080"/>
        <w:sz w:val="24"/>
        <w:szCs w:val="24"/>
        <w:u w:val="none" w:color="000000"/>
        <w:bdr w:val="none" w:sz="0" w:space="0" w:color="auto"/>
        <w:shd w:val="clear" w:color="auto" w:fill="auto"/>
        <w:vertAlign w:val="baseline"/>
      </w:rPr>
    </w:lvl>
  </w:abstractNum>
  <w:num w:numId="1" w16cid:durableId="96291071">
    <w:abstractNumId w:val="0"/>
  </w:num>
  <w:num w:numId="2" w16cid:durableId="2089766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AC1"/>
    <w:rsid w:val="003D712B"/>
    <w:rsid w:val="0072139A"/>
    <w:rsid w:val="00873DBF"/>
    <w:rsid w:val="00AC64B2"/>
    <w:rsid w:val="00AC7D2D"/>
    <w:rsid w:val="00BB3584"/>
    <w:rsid w:val="00BD0000"/>
    <w:rsid w:val="00C632A6"/>
    <w:rsid w:val="00D624CD"/>
    <w:rsid w:val="00DE3142"/>
    <w:rsid w:val="00DF0E28"/>
    <w:rsid w:val="00E32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319E"/>
  <w15:docId w15:val="{848A3213-996A-4FE7-AEED-C800C891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7" w:line="271"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65" w:lineRule="auto"/>
      <w:ind w:left="10" w:hanging="10"/>
      <w:outlineLvl w:val="0"/>
    </w:pPr>
    <w:rPr>
      <w:rFonts w:ascii="Cambria" w:eastAsia="Cambria" w:hAnsi="Cambria" w:cs="Cambria"/>
      <w:color w:val="5F005F"/>
      <w:sz w:val="32"/>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ambria" w:eastAsia="Cambria" w:hAnsi="Cambria" w:cs="Cambria"/>
      <w:color w:val="5F005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color w:val="5F005F"/>
      <w:sz w:val="32"/>
    </w:rPr>
  </w:style>
  <w:style w:type="character" w:customStyle="1" w:styleId="Heading1Char">
    <w:name w:val="Heading 1 Char"/>
    <w:link w:val="Heading1"/>
    <w:rPr>
      <w:rFonts w:ascii="Cambria" w:eastAsia="Cambria" w:hAnsi="Cambria" w:cs="Cambria"/>
      <w:color w:val="5F005F"/>
      <w:sz w:val="32"/>
    </w:rPr>
  </w:style>
  <w:style w:type="paragraph" w:styleId="TOC1">
    <w:name w:val="toc 1"/>
    <w:hidden/>
    <w:uiPriority w:val="39"/>
    <w:pPr>
      <w:spacing w:after="117" w:line="271" w:lineRule="auto"/>
      <w:ind w:left="25" w:right="23"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632A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dgehill.ac.uk/collection/academic-regulations-2025-2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gehill.ac.uk/collection/academic-regulations-2025-2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dgehill.ac.uk/document/academic-regulations-2024-2025/" TargetMode="External"/><Relationship Id="rId4" Type="http://schemas.openxmlformats.org/officeDocument/2006/relationships/webSettings" Target="webSettings.xml"/><Relationship Id="rId9" Type="http://schemas.openxmlformats.org/officeDocument/2006/relationships/hyperlink" Target="https://www.edgehill.ac.uk/document/academic-regulations-2024-2025/"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Academic Regulations Appendix 24 - The Revocation of Awards 24-25</vt:lpstr>
    </vt:vector>
  </TitlesOfParts>
  <Company>Edge Hill University</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Regulations Appendix 24 - The Revocation of Awards 24-25</dc:title>
  <dc:subject/>
  <dc:creator>Roy Bayfield</dc:creator>
  <cp:keywords/>
  <cp:lastModifiedBy>Christopher Bill</cp:lastModifiedBy>
  <cp:revision>6</cp:revision>
  <dcterms:created xsi:type="dcterms:W3CDTF">2025-07-08T14:58:00Z</dcterms:created>
  <dcterms:modified xsi:type="dcterms:W3CDTF">2025-10-22T09:54:00Z</dcterms:modified>
</cp:coreProperties>
</file>