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single" w:sz="24" w:space="0" w:color="C00000"/>
          <w:left w:val="single" w:sz="24" w:space="0" w:color="C00000"/>
          <w:bottom w:val="single" w:sz="24" w:space="0" w:color="C00000"/>
          <w:right w:val="single" w:sz="24" w:space="0" w:color="C00000"/>
          <w:insideH w:val="single" w:sz="24" w:space="0" w:color="C00000"/>
          <w:insideV w:val="single" w:sz="24" w:space="0" w:color="C00000"/>
        </w:tblBorders>
        <w:tblLook w:val="04A0" w:firstRow="1" w:lastRow="0" w:firstColumn="1" w:lastColumn="0" w:noHBand="0" w:noVBand="1"/>
      </w:tblPr>
      <w:tblGrid>
        <w:gridCol w:w="8966"/>
      </w:tblGrid>
      <w:tr w:rsidR="000D23AF" w14:paraId="066C4ACB" w14:textId="77777777" w:rsidTr="009A28E9">
        <w:tc>
          <w:tcPr>
            <w:tcW w:w="8966" w:type="dxa"/>
          </w:tcPr>
          <w:p w14:paraId="242FE11E" w14:textId="77777777" w:rsidR="008756C9" w:rsidRDefault="008756C9" w:rsidP="008756C9">
            <w:pPr>
              <w:pStyle w:val="NoSpacing"/>
              <w:rPr>
                <w:rFonts w:ascii="Georgia" w:hAnsi="Georgia"/>
                <w:sz w:val="96"/>
              </w:rPr>
            </w:pPr>
            <w:r>
              <w:rPr>
                <w:rFonts w:ascii="Georgia" w:hAnsi="Georgia"/>
                <w:sz w:val="96"/>
              </w:rPr>
              <w:t>The Academic Regulations</w:t>
            </w:r>
          </w:p>
          <w:p w14:paraId="369E2F6D" w14:textId="2C993903" w:rsidR="000D23AF" w:rsidRPr="007F06C7" w:rsidRDefault="008756C9" w:rsidP="0002664D">
            <w:pPr>
              <w:pStyle w:val="NoSpacing"/>
              <w:rPr>
                <w:rFonts w:ascii="Georgia" w:hAnsi="Georgia"/>
                <w:sz w:val="96"/>
              </w:rPr>
            </w:pPr>
            <w:r>
              <w:rPr>
                <w:rFonts w:ascii="Georgia" w:hAnsi="Georgia"/>
                <w:sz w:val="96"/>
              </w:rPr>
              <w:t>Appendix 10: Repeat Year Policy</w:t>
            </w:r>
          </w:p>
          <w:p w14:paraId="6D8E47FB" w14:textId="77777777" w:rsidR="000D23AF" w:rsidRPr="00C625B0" w:rsidRDefault="000D23AF" w:rsidP="0002664D">
            <w:pPr>
              <w:pStyle w:val="NoSpacing"/>
              <w:rPr>
                <w:rFonts w:ascii="Georgia" w:hAnsi="Georgia"/>
              </w:rPr>
            </w:pPr>
          </w:p>
        </w:tc>
      </w:tr>
      <w:tr w:rsidR="000D23AF" w14:paraId="48890DC5" w14:textId="77777777" w:rsidTr="009A28E9">
        <w:tc>
          <w:tcPr>
            <w:tcW w:w="8966" w:type="dxa"/>
            <w:shd w:val="clear" w:color="auto" w:fill="C00000"/>
          </w:tcPr>
          <w:p w14:paraId="037E02B9" w14:textId="77777777" w:rsidR="000D23AF" w:rsidRDefault="000D23AF" w:rsidP="0002664D">
            <w:pPr>
              <w:pStyle w:val="NoSpacing"/>
            </w:pPr>
          </w:p>
          <w:p w14:paraId="143B36CC" w14:textId="025EFF33" w:rsidR="000D23AF" w:rsidRPr="00C625B0" w:rsidRDefault="006A1740" w:rsidP="0002664D">
            <w:pPr>
              <w:pStyle w:val="NoSpacing"/>
              <w:rPr>
                <w:b/>
                <w:color w:val="FFFFFF" w:themeColor="background1"/>
              </w:rPr>
            </w:pPr>
            <w:r>
              <w:rPr>
                <w:b/>
                <w:color w:val="FFFFFF" w:themeColor="background1"/>
              </w:rPr>
              <w:t>202</w:t>
            </w:r>
            <w:r w:rsidR="00061D4D">
              <w:rPr>
                <w:b/>
                <w:color w:val="FFFFFF" w:themeColor="background1"/>
              </w:rPr>
              <w:t>4</w:t>
            </w:r>
            <w:r>
              <w:rPr>
                <w:b/>
                <w:color w:val="FFFFFF" w:themeColor="background1"/>
              </w:rPr>
              <w:t>-202</w:t>
            </w:r>
            <w:r w:rsidR="00061D4D">
              <w:rPr>
                <w:b/>
                <w:color w:val="FFFFFF" w:themeColor="background1"/>
              </w:rPr>
              <w:t>5</w:t>
            </w:r>
          </w:p>
          <w:p w14:paraId="3EB1DD71" w14:textId="77777777" w:rsidR="000D23AF" w:rsidRDefault="000D23AF" w:rsidP="0002664D">
            <w:pPr>
              <w:pStyle w:val="NoSpacing"/>
            </w:pPr>
          </w:p>
        </w:tc>
      </w:tr>
    </w:tbl>
    <w:p w14:paraId="4CE2109D" w14:textId="77777777" w:rsidR="00C625B0" w:rsidRDefault="00C625B0" w:rsidP="00722685">
      <w:pPr>
        <w:pStyle w:val="NoSpacing"/>
      </w:pPr>
    </w:p>
    <w:p w14:paraId="17A42CE8" w14:textId="77777777" w:rsidR="00C625B0" w:rsidRDefault="00C625B0" w:rsidP="00722685">
      <w:pPr>
        <w:pStyle w:val="NoSpacing"/>
      </w:pPr>
    </w:p>
    <w:p w14:paraId="105B79E8" w14:textId="77777777" w:rsidR="00C625B0" w:rsidRDefault="00C625B0" w:rsidP="00722685">
      <w:pPr>
        <w:pStyle w:val="NoSpacing"/>
      </w:pPr>
    </w:p>
    <w:p w14:paraId="2060608C" w14:textId="77777777" w:rsidR="00C625B0" w:rsidRDefault="00C625B0" w:rsidP="00722685">
      <w:pPr>
        <w:pStyle w:val="NoSpacing"/>
      </w:pPr>
    </w:p>
    <w:p w14:paraId="2C64953B" w14:textId="77777777" w:rsidR="00C625B0" w:rsidRDefault="00C625B0" w:rsidP="00722685">
      <w:pPr>
        <w:pStyle w:val="NoSpacing"/>
      </w:pPr>
    </w:p>
    <w:p w14:paraId="29BDBF05" w14:textId="77777777" w:rsidR="00C625B0" w:rsidRDefault="00C625B0" w:rsidP="00722685">
      <w:pPr>
        <w:pStyle w:val="NoSpacing"/>
      </w:pPr>
    </w:p>
    <w:p w14:paraId="6F55DA56" w14:textId="77777777" w:rsidR="00C625B0" w:rsidRDefault="00C625B0" w:rsidP="00722685">
      <w:pPr>
        <w:pStyle w:val="NoSpacing"/>
      </w:pPr>
    </w:p>
    <w:p w14:paraId="4BA605EF" w14:textId="77777777" w:rsidR="00C625B0" w:rsidRDefault="00C625B0" w:rsidP="00722685">
      <w:pPr>
        <w:pStyle w:val="NoSpacing"/>
      </w:pPr>
    </w:p>
    <w:p w14:paraId="3B3E82DB" w14:textId="77777777" w:rsidR="00C625B0" w:rsidRDefault="00C625B0" w:rsidP="00722685">
      <w:pPr>
        <w:pStyle w:val="NoSpacing"/>
      </w:pPr>
    </w:p>
    <w:p w14:paraId="682EEE03" w14:textId="77777777" w:rsidR="00C625B0" w:rsidRDefault="00C625B0" w:rsidP="00722685">
      <w:pPr>
        <w:pStyle w:val="NoSpacing"/>
      </w:pPr>
    </w:p>
    <w:p w14:paraId="6B6DDCDA" w14:textId="77777777" w:rsidR="000D23AF" w:rsidRDefault="000D23AF" w:rsidP="00722685">
      <w:pPr>
        <w:pStyle w:val="NoSpacing"/>
      </w:pPr>
    </w:p>
    <w:p w14:paraId="70BE8962" w14:textId="77777777" w:rsidR="00C625B0" w:rsidRDefault="00C625B0" w:rsidP="00722685">
      <w:pPr>
        <w:pStyle w:val="NoSpacing"/>
      </w:pPr>
    </w:p>
    <w:p w14:paraId="58A96DE9" w14:textId="77777777" w:rsidR="00C625B0" w:rsidRDefault="00C625B0" w:rsidP="00C625B0">
      <w:pPr>
        <w:pStyle w:val="NoSpacing"/>
        <w:jc w:val="right"/>
      </w:pPr>
    </w:p>
    <w:p w14:paraId="76EA607A" w14:textId="77777777" w:rsidR="006A5B50" w:rsidRDefault="006A5B50">
      <w:pPr>
        <w:rPr>
          <w:b/>
          <w:sz w:val="36"/>
        </w:rPr>
      </w:pPr>
      <w:r>
        <w:rPr>
          <w:b/>
          <w:sz w:val="36"/>
        </w:rPr>
        <w:br w:type="page"/>
      </w:r>
    </w:p>
    <w:p w14:paraId="55FF7094" w14:textId="77777777" w:rsidR="008756C9" w:rsidRDefault="008756C9" w:rsidP="008756C9">
      <w:pPr>
        <w:rPr>
          <w:b/>
          <w:sz w:val="36"/>
        </w:rPr>
      </w:pPr>
      <w:r>
        <w:rPr>
          <w:b/>
          <w:sz w:val="36"/>
        </w:rPr>
        <w:lastRenderedPageBreak/>
        <w:t>The Academic Regulations</w:t>
      </w:r>
    </w:p>
    <w:p w14:paraId="438EC671" w14:textId="439468BA" w:rsidR="008756C9" w:rsidRDefault="008756C9" w:rsidP="008756C9">
      <w:pPr>
        <w:rPr>
          <w:b/>
          <w:sz w:val="36"/>
        </w:rPr>
      </w:pPr>
      <w:r>
        <w:rPr>
          <w:b/>
          <w:sz w:val="36"/>
        </w:rPr>
        <w:t>Appendix 10: Repeat Year Policy</w:t>
      </w:r>
    </w:p>
    <w:sdt>
      <w:sdtPr>
        <w:rPr>
          <w:rFonts w:ascii="Arial" w:eastAsiaTheme="minorHAnsi" w:hAnsi="Arial" w:cstheme="minorBidi"/>
          <w:color w:val="auto"/>
          <w:sz w:val="24"/>
          <w:szCs w:val="22"/>
          <w:lang w:val="en-GB"/>
        </w:rPr>
        <w:id w:val="1745677943"/>
        <w:docPartObj>
          <w:docPartGallery w:val="Table of Contents"/>
          <w:docPartUnique/>
        </w:docPartObj>
      </w:sdtPr>
      <w:sdtEndPr>
        <w:rPr>
          <w:b/>
          <w:bCs/>
          <w:noProof/>
        </w:rPr>
      </w:sdtEndPr>
      <w:sdtContent>
        <w:p w14:paraId="22F036E0" w14:textId="77777777" w:rsidR="00351BCA" w:rsidRPr="0059366D" w:rsidRDefault="00351BCA">
          <w:pPr>
            <w:pStyle w:val="TOCHeading"/>
          </w:pPr>
          <w:r w:rsidRPr="0059366D">
            <w:t>Contents</w:t>
          </w:r>
        </w:p>
        <w:p w14:paraId="0C3FE9FA" w14:textId="0131475B" w:rsidR="006E7550" w:rsidRDefault="00351BCA">
          <w:pPr>
            <w:pStyle w:val="TOC1"/>
            <w:rPr>
              <w:rFonts w:asciiTheme="minorHAnsi" w:eastAsiaTheme="minorEastAsia" w:hAnsiTheme="minorHAnsi"/>
              <w:noProof/>
              <w:kern w:val="2"/>
              <w:sz w:val="22"/>
              <w:lang w:eastAsia="en-GB"/>
              <w14:ligatures w14:val="standardContextual"/>
            </w:rPr>
          </w:pPr>
          <w:r w:rsidRPr="0059366D">
            <w:fldChar w:fldCharType="begin"/>
          </w:r>
          <w:r w:rsidRPr="0059366D">
            <w:instrText xml:space="preserve"> TOC \o "1-3" \h \z \u </w:instrText>
          </w:r>
          <w:r w:rsidRPr="0059366D">
            <w:fldChar w:fldCharType="separate"/>
          </w:r>
          <w:hyperlink w:anchor="_Toc139362099" w:history="1">
            <w:r w:rsidR="006E7550" w:rsidRPr="004D3DA5">
              <w:rPr>
                <w:rStyle w:val="Hyperlink"/>
                <w:noProof/>
              </w:rPr>
              <w:t>Summary</w:t>
            </w:r>
            <w:r w:rsidR="006E7550">
              <w:rPr>
                <w:noProof/>
                <w:webHidden/>
              </w:rPr>
              <w:tab/>
            </w:r>
            <w:r w:rsidR="006E7550">
              <w:rPr>
                <w:noProof/>
                <w:webHidden/>
              </w:rPr>
              <w:fldChar w:fldCharType="begin"/>
            </w:r>
            <w:r w:rsidR="006E7550">
              <w:rPr>
                <w:noProof/>
                <w:webHidden/>
              </w:rPr>
              <w:instrText xml:space="preserve"> PAGEREF _Toc139362099 \h </w:instrText>
            </w:r>
            <w:r w:rsidR="006E7550">
              <w:rPr>
                <w:noProof/>
                <w:webHidden/>
              </w:rPr>
            </w:r>
            <w:r w:rsidR="006E7550">
              <w:rPr>
                <w:noProof/>
                <w:webHidden/>
              </w:rPr>
              <w:fldChar w:fldCharType="separate"/>
            </w:r>
            <w:r w:rsidR="007C51E9">
              <w:rPr>
                <w:noProof/>
                <w:webHidden/>
              </w:rPr>
              <w:t>3</w:t>
            </w:r>
            <w:r w:rsidR="006E7550">
              <w:rPr>
                <w:noProof/>
                <w:webHidden/>
              </w:rPr>
              <w:fldChar w:fldCharType="end"/>
            </w:r>
          </w:hyperlink>
        </w:p>
        <w:p w14:paraId="0AFFD991" w14:textId="0DB28AE7" w:rsidR="006E7550" w:rsidRDefault="001843B0">
          <w:pPr>
            <w:pStyle w:val="TOC1"/>
            <w:rPr>
              <w:rFonts w:asciiTheme="minorHAnsi" w:eastAsiaTheme="minorEastAsia" w:hAnsiTheme="minorHAnsi"/>
              <w:noProof/>
              <w:kern w:val="2"/>
              <w:sz w:val="22"/>
              <w:lang w:eastAsia="en-GB"/>
              <w14:ligatures w14:val="standardContextual"/>
            </w:rPr>
          </w:pPr>
          <w:hyperlink w:anchor="_Toc139362100" w:history="1">
            <w:r w:rsidR="006E7550" w:rsidRPr="004D3DA5">
              <w:rPr>
                <w:rStyle w:val="Hyperlink"/>
                <w:noProof/>
              </w:rPr>
              <w:t>Glossary of Terms</w:t>
            </w:r>
            <w:r w:rsidR="006E7550">
              <w:rPr>
                <w:noProof/>
                <w:webHidden/>
              </w:rPr>
              <w:tab/>
            </w:r>
            <w:r w:rsidR="006E7550">
              <w:rPr>
                <w:noProof/>
                <w:webHidden/>
              </w:rPr>
              <w:fldChar w:fldCharType="begin"/>
            </w:r>
            <w:r w:rsidR="006E7550">
              <w:rPr>
                <w:noProof/>
                <w:webHidden/>
              </w:rPr>
              <w:instrText xml:space="preserve"> PAGEREF _Toc139362100 \h </w:instrText>
            </w:r>
            <w:r w:rsidR="006E7550">
              <w:rPr>
                <w:noProof/>
                <w:webHidden/>
              </w:rPr>
            </w:r>
            <w:r w:rsidR="006E7550">
              <w:rPr>
                <w:noProof/>
                <w:webHidden/>
              </w:rPr>
              <w:fldChar w:fldCharType="separate"/>
            </w:r>
            <w:r w:rsidR="007C51E9">
              <w:rPr>
                <w:noProof/>
                <w:webHidden/>
              </w:rPr>
              <w:t>3</w:t>
            </w:r>
            <w:r w:rsidR="006E7550">
              <w:rPr>
                <w:noProof/>
                <w:webHidden/>
              </w:rPr>
              <w:fldChar w:fldCharType="end"/>
            </w:r>
          </w:hyperlink>
        </w:p>
        <w:p w14:paraId="144A3691" w14:textId="59AEF32C" w:rsidR="006E7550" w:rsidRDefault="001843B0">
          <w:pPr>
            <w:pStyle w:val="TOC1"/>
            <w:rPr>
              <w:rFonts w:asciiTheme="minorHAnsi" w:eastAsiaTheme="minorEastAsia" w:hAnsiTheme="minorHAnsi"/>
              <w:noProof/>
              <w:kern w:val="2"/>
              <w:sz w:val="22"/>
              <w:lang w:eastAsia="en-GB"/>
              <w14:ligatures w14:val="standardContextual"/>
            </w:rPr>
          </w:pPr>
          <w:hyperlink w:anchor="_Toc139362101" w:history="1">
            <w:r w:rsidR="006E7550" w:rsidRPr="004D3DA5">
              <w:rPr>
                <w:rStyle w:val="Hyperlink"/>
                <w:noProof/>
              </w:rPr>
              <w:t>Purpose</w:t>
            </w:r>
            <w:r w:rsidR="006E7550">
              <w:rPr>
                <w:noProof/>
                <w:webHidden/>
              </w:rPr>
              <w:tab/>
            </w:r>
            <w:r w:rsidR="006E7550">
              <w:rPr>
                <w:noProof/>
                <w:webHidden/>
              </w:rPr>
              <w:fldChar w:fldCharType="begin"/>
            </w:r>
            <w:r w:rsidR="006E7550">
              <w:rPr>
                <w:noProof/>
                <w:webHidden/>
              </w:rPr>
              <w:instrText xml:space="preserve"> PAGEREF _Toc139362101 \h </w:instrText>
            </w:r>
            <w:r w:rsidR="006E7550">
              <w:rPr>
                <w:noProof/>
                <w:webHidden/>
              </w:rPr>
            </w:r>
            <w:r w:rsidR="006E7550">
              <w:rPr>
                <w:noProof/>
                <w:webHidden/>
              </w:rPr>
              <w:fldChar w:fldCharType="separate"/>
            </w:r>
            <w:r w:rsidR="007C51E9">
              <w:rPr>
                <w:noProof/>
                <w:webHidden/>
              </w:rPr>
              <w:t>4</w:t>
            </w:r>
            <w:r w:rsidR="006E7550">
              <w:rPr>
                <w:noProof/>
                <w:webHidden/>
              </w:rPr>
              <w:fldChar w:fldCharType="end"/>
            </w:r>
          </w:hyperlink>
        </w:p>
        <w:p w14:paraId="7E1C1690" w14:textId="66917227" w:rsidR="006E7550" w:rsidRDefault="001843B0">
          <w:pPr>
            <w:pStyle w:val="TOC1"/>
            <w:rPr>
              <w:rFonts w:asciiTheme="minorHAnsi" w:eastAsiaTheme="minorEastAsia" w:hAnsiTheme="minorHAnsi"/>
              <w:noProof/>
              <w:kern w:val="2"/>
              <w:sz w:val="22"/>
              <w:lang w:eastAsia="en-GB"/>
              <w14:ligatures w14:val="standardContextual"/>
            </w:rPr>
          </w:pPr>
          <w:hyperlink w:anchor="_Toc139362102" w:history="1">
            <w:r w:rsidR="006E7550" w:rsidRPr="004D3DA5">
              <w:rPr>
                <w:rStyle w:val="Hyperlink"/>
                <w:noProof/>
              </w:rPr>
              <w:t>Regulations</w:t>
            </w:r>
            <w:r w:rsidR="006E7550">
              <w:rPr>
                <w:noProof/>
                <w:webHidden/>
              </w:rPr>
              <w:tab/>
            </w:r>
            <w:r w:rsidR="006E7550">
              <w:rPr>
                <w:noProof/>
                <w:webHidden/>
              </w:rPr>
              <w:fldChar w:fldCharType="begin"/>
            </w:r>
            <w:r w:rsidR="006E7550">
              <w:rPr>
                <w:noProof/>
                <w:webHidden/>
              </w:rPr>
              <w:instrText xml:space="preserve"> PAGEREF _Toc139362102 \h </w:instrText>
            </w:r>
            <w:r w:rsidR="006E7550">
              <w:rPr>
                <w:noProof/>
                <w:webHidden/>
              </w:rPr>
            </w:r>
            <w:r w:rsidR="006E7550">
              <w:rPr>
                <w:noProof/>
                <w:webHidden/>
              </w:rPr>
              <w:fldChar w:fldCharType="separate"/>
            </w:r>
            <w:r w:rsidR="007C51E9">
              <w:rPr>
                <w:noProof/>
                <w:webHidden/>
              </w:rPr>
              <w:t>4</w:t>
            </w:r>
            <w:r w:rsidR="006E7550">
              <w:rPr>
                <w:noProof/>
                <w:webHidden/>
              </w:rPr>
              <w:fldChar w:fldCharType="end"/>
            </w:r>
          </w:hyperlink>
        </w:p>
        <w:p w14:paraId="169A93DE" w14:textId="4AF94E88" w:rsidR="006E7550" w:rsidRDefault="001843B0" w:rsidP="002C38F5">
          <w:pPr>
            <w:pStyle w:val="TOC2"/>
            <w:rPr>
              <w:rFonts w:asciiTheme="minorHAnsi" w:eastAsiaTheme="minorEastAsia" w:hAnsiTheme="minorHAnsi"/>
              <w:noProof/>
              <w:kern w:val="2"/>
              <w:sz w:val="22"/>
              <w:lang w:eastAsia="en-GB"/>
              <w14:ligatures w14:val="standardContextual"/>
            </w:rPr>
          </w:pPr>
          <w:hyperlink w:anchor="_Toc139362103" w:history="1">
            <w:r w:rsidR="006E7550" w:rsidRPr="004D3DA5">
              <w:rPr>
                <w:rStyle w:val="Hyperlink"/>
                <w:noProof/>
              </w:rPr>
              <w:t>1.</w:t>
            </w:r>
            <w:r w:rsidR="006E7550">
              <w:rPr>
                <w:rFonts w:asciiTheme="minorHAnsi" w:eastAsiaTheme="minorEastAsia" w:hAnsiTheme="minorHAnsi"/>
                <w:noProof/>
                <w:kern w:val="2"/>
                <w:sz w:val="22"/>
                <w:lang w:eastAsia="en-GB"/>
                <w14:ligatures w14:val="standardContextual"/>
              </w:rPr>
              <w:tab/>
            </w:r>
            <w:r w:rsidR="006E7550" w:rsidRPr="004D3DA5">
              <w:rPr>
                <w:rStyle w:val="Hyperlink"/>
                <w:noProof/>
              </w:rPr>
              <w:t>Principles</w:t>
            </w:r>
            <w:r w:rsidR="006E7550">
              <w:rPr>
                <w:noProof/>
                <w:webHidden/>
              </w:rPr>
              <w:tab/>
            </w:r>
            <w:r w:rsidR="006E7550">
              <w:rPr>
                <w:noProof/>
                <w:webHidden/>
              </w:rPr>
              <w:fldChar w:fldCharType="begin"/>
            </w:r>
            <w:r w:rsidR="006E7550">
              <w:rPr>
                <w:noProof/>
                <w:webHidden/>
              </w:rPr>
              <w:instrText xml:space="preserve"> PAGEREF _Toc139362103 \h </w:instrText>
            </w:r>
            <w:r w:rsidR="006E7550">
              <w:rPr>
                <w:noProof/>
                <w:webHidden/>
              </w:rPr>
            </w:r>
            <w:r w:rsidR="006E7550">
              <w:rPr>
                <w:noProof/>
                <w:webHidden/>
              </w:rPr>
              <w:fldChar w:fldCharType="separate"/>
            </w:r>
            <w:r w:rsidR="007C51E9">
              <w:rPr>
                <w:noProof/>
                <w:webHidden/>
              </w:rPr>
              <w:t>4</w:t>
            </w:r>
            <w:r w:rsidR="006E7550">
              <w:rPr>
                <w:noProof/>
                <w:webHidden/>
              </w:rPr>
              <w:fldChar w:fldCharType="end"/>
            </w:r>
          </w:hyperlink>
        </w:p>
        <w:p w14:paraId="4327615F" w14:textId="3F99A1BD" w:rsidR="006E7550" w:rsidRDefault="001843B0" w:rsidP="002C38F5">
          <w:pPr>
            <w:pStyle w:val="TOC2"/>
            <w:rPr>
              <w:rFonts w:asciiTheme="minorHAnsi" w:eastAsiaTheme="minorEastAsia" w:hAnsiTheme="minorHAnsi"/>
              <w:noProof/>
              <w:kern w:val="2"/>
              <w:sz w:val="22"/>
              <w:lang w:eastAsia="en-GB"/>
              <w14:ligatures w14:val="standardContextual"/>
            </w:rPr>
          </w:pPr>
          <w:hyperlink w:anchor="_Toc139362104" w:history="1">
            <w:r w:rsidR="006E7550" w:rsidRPr="004D3DA5">
              <w:rPr>
                <w:rStyle w:val="Hyperlink"/>
                <w:noProof/>
              </w:rPr>
              <w:t>2.</w:t>
            </w:r>
            <w:r w:rsidR="006E7550">
              <w:rPr>
                <w:rFonts w:asciiTheme="minorHAnsi" w:eastAsiaTheme="minorEastAsia" w:hAnsiTheme="minorHAnsi"/>
                <w:noProof/>
                <w:kern w:val="2"/>
                <w:sz w:val="22"/>
                <w:lang w:eastAsia="en-GB"/>
                <w14:ligatures w14:val="standardContextual"/>
              </w:rPr>
              <w:tab/>
            </w:r>
            <w:r w:rsidR="006E7550" w:rsidRPr="004D3DA5">
              <w:rPr>
                <w:rStyle w:val="Hyperlink"/>
                <w:noProof/>
              </w:rPr>
              <w:t>Definition of a Repeat Year</w:t>
            </w:r>
            <w:r w:rsidR="006E7550">
              <w:rPr>
                <w:noProof/>
                <w:webHidden/>
              </w:rPr>
              <w:tab/>
            </w:r>
            <w:r w:rsidR="006E7550">
              <w:rPr>
                <w:noProof/>
                <w:webHidden/>
              </w:rPr>
              <w:fldChar w:fldCharType="begin"/>
            </w:r>
            <w:r w:rsidR="006E7550">
              <w:rPr>
                <w:noProof/>
                <w:webHidden/>
              </w:rPr>
              <w:instrText xml:space="preserve"> PAGEREF _Toc139362104 \h </w:instrText>
            </w:r>
            <w:r w:rsidR="006E7550">
              <w:rPr>
                <w:noProof/>
                <w:webHidden/>
              </w:rPr>
            </w:r>
            <w:r w:rsidR="006E7550">
              <w:rPr>
                <w:noProof/>
                <w:webHidden/>
              </w:rPr>
              <w:fldChar w:fldCharType="separate"/>
            </w:r>
            <w:r w:rsidR="007C51E9">
              <w:rPr>
                <w:noProof/>
                <w:webHidden/>
              </w:rPr>
              <w:t>5</w:t>
            </w:r>
            <w:r w:rsidR="006E7550">
              <w:rPr>
                <w:noProof/>
                <w:webHidden/>
              </w:rPr>
              <w:fldChar w:fldCharType="end"/>
            </w:r>
          </w:hyperlink>
        </w:p>
        <w:p w14:paraId="58CF5C6A" w14:textId="2988BC85" w:rsidR="006E7550" w:rsidRDefault="001843B0" w:rsidP="002C38F5">
          <w:pPr>
            <w:pStyle w:val="TOC2"/>
            <w:rPr>
              <w:rFonts w:asciiTheme="minorHAnsi" w:eastAsiaTheme="minorEastAsia" w:hAnsiTheme="minorHAnsi"/>
              <w:noProof/>
              <w:kern w:val="2"/>
              <w:sz w:val="22"/>
              <w:lang w:eastAsia="en-GB"/>
              <w14:ligatures w14:val="standardContextual"/>
            </w:rPr>
          </w:pPr>
          <w:hyperlink w:anchor="_Toc139362105" w:history="1">
            <w:r w:rsidR="006E7550" w:rsidRPr="004D3DA5">
              <w:rPr>
                <w:rStyle w:val="Hyperlink"/>
                <w:noProof/>
              </w:rPr>
              <w:t>3.</w:t>
            </w:r>
            <w:r w:rsidR="006E7550">
              <w:rPr>
                <w:rFonts w:asciiTheme="minorHAnsi" w:eastAsiaTheme="minorEastAsia" w:hAnsiTheme="minorHAnsi"/>
                <w:noProof/>
                <w:kern w:val="2"/>
                <w:sz w:val="22"/>
                <w:lang w:eastAsia="en-GB"/>
                <w14:ligatures w14:val="standardContextual"/>
              </w:rPr>
              <w:tab/>
            </w:r>
            <w:r w:rsidR="006E7550" w:rsidRPr="004D3DA5">
              <w:rPr>
                <w:rStyle w:val="Hyperlink"/>
                <w:noProof/>
              </w:rPr>
              <w:t>Application process</w:t>
            </w:r>
            <w:r w:rsidR="006E7550">
              <w:rPr>
                <w:noProof/>
                <w:webHidden/>
              </w:rPr>
              <w:tab/>
            </w:r>
            <w:r w:rsidR="006E7550">
              <w:rPr>
                <w:noProof/>
                <w:webHidden/>
              </w:rPr>
              <w:fldChar w:fldCharType="begin"/>
            </w:r>
            <w:r w:rsidR="006E7550">
              <w:rPr>
                <w:noProof/>
                <w:webHidden/>
              </w:rPr>
              <w:instrText xml:space="preserve"> PAGEREF _Toc139362105 \h </w:instrText>
            </w:r>
            <w:r w:rsidR="006E7550">
              <w:rPr>
                <w:noProof/>
                <w:webHidden/>
              </w:rPr>
            </w:r>
            <w:r w:rsidR="006E7550">
              <w:rPr>
                <w:noProof/>
                <w:webHidden/>
              </w:rPr>
              <w:fldChar w:fldCharType="separate"/>
            </w:r>
            <w:r w:rsidR="007C51E9">
              <w:rPr>
                <w:noProof/>
                <w:webHidden/>
              </w:rPr>
              <w:t>5</w:t>
            </w:r>
            <w:r w:rsidR="006E7550">
              <w:rPr>
                <w:noProof/>
                <w:webHidden/>
              </w:rPr>
              <w:fldChar w:fldCharType="end"/>
            </w:r>
          </w:hyperlink>
        </w:p>
        <w:p w14:paraId="261945B8" w14:textId="2EF32F3D" w:rsidR="006E7550" w:rsidRDefault="001843B0" w:rsidP="002C38F5">
          <w:pPr>
            <w:pStyle w:val="TOC2"/>
            <w:rPr>
              <w:rFonts w:asciiTheme="minorHAnsi" w:eastAsiaTheme="minorEastAsia" w:hAnsiTheme="minorHAnsi"/>
              <w:noProof/>
              <w:kern w:val="2"/>
              <w:sz w:val="22"/>
              <w:lang w:eastAsia="en-GB"/>
              <w14:ligatures w14:val="standardContextual"/>
            </w:rPr>
          </w:pPr>
          <w:hyperlink w:anchor="_Toc139362106" w:history="1">
            <w:r w:rsidR="006E7550" w:rsidRPr="004D3DA5">
              <w:rPr>
                <w:rStyle w:val="Hyperlink"/>
                <w:noProof/>
              </w:rPr>
              <w:t>4.</w:t>
            </w:r>
            <w:r w:rsidR="006E7550">
              <w:rPr>
                <w:rFonts w:asciiTheme="minorHAnsi" w:eastAsiaTheme="minorEastAsia" w:hAnsiTheme="minorHAnsi"/>
                <w:noProof/>
                <w:kern w:val="2"/>
                <w:sz w:val="22"/>
                <w:lang w:eastAsia="en-GB"/>
                <w14:ligatures w14:val="standardContextual"/>
              </w:rPr>
              <w:tab/>
            </w:r>
            <w:r w:rsidR="006E7550" w:rsidRPr="004D3DA5">
              <w:rPr>
                <w:rStyle w:val="Hyperlink"/>
                <w:noProof/>
              </w:rPr>
              <w:t>Repeat Year Conditions</w:t>
            </w:r>
            <w:r w:rsidR="006E7550">
              <w:rPr>
                <w:noProof/>
                <w:webHidden/>
              </w:rPr>
              <w:tab/>
            </w:r>
            <w:r w:rsidR="006E7550">
              <w:rPr>
                <w:noProof/>
                <w:webHidden/>
              </w:rPr>
              <w:fldChar w:fldCharType="begin"/>
            </w:r>
            <w:r w:rsidR="006E7550">
              <w:rPr>
                <w:noProof/>
                <w:webHidden/>
              </w:rPr>
              <w:instrText xml:space="preserve"> PAGEREF _Toc139362106 \h </w:instrText>
            </w:r>
            <w:r w:rsidR="006E7550">
              <w:rPr>
                <w:noProof/>
                <w:webHidden/>
              </w:rPr>
            </w:r>
            <w:r w:rsidR="006E7550">
              <w:rPr>
                <w:noProof/>
                <w:webHidden/>
              </w:rPr>
              <w:fldChar w:fldCharType="separate"/>
            </w:r>
            <w:r w:rsidR="007C51E9">
              <w:rPr>
                <w:noProof/>
                <w:webHidden/>
              </w:rPr>
              <w:t>6</w:t>
            </w:r>
            <w:r w:rsidR="006E7550">
              <w:rPr>
                <w:noProof/>
                <w:webHidden/>
              </w:rPr>
              <w:fldChar w:fldCharType="end"/>
            </w:r>
          </w:hyperlink>
        </w:p>
        <w:p w14:paraId="32947D4F" w14:textId="581B0EFA" w:rsidR="006E7550" w:rsidRDefault="001843B0" w:rsidP="002C38F5">
          <w:pPr>
            <w:pStyle w:val="TOC2"/>
            <w:rPr>
              <w:rFonts w:asciiTheme="minorHAnsi" w:eastAsiaTheme="minorEastAsia" w:hAnsiTheme="minorHAnsi"/>
              <w:noProof/>
              <w:kern w:val="2"/>
              <w:sz w:val="22"/>
              <w:lang w:eastAsia="en-GB"/>
              <w14:ligatures w14:val="standardContextual"/>
            </w:rPr>
          </w:pPr>
          <w:hyperlink w:anchor="_Toc139362107" w:history="1">
            <w:r w:rsidR="006E7550" w:rsidRPr="004D3DA5">
              <w:rPr>
                <w:rStyle w:val="Hyperlink"/>
                <w:noProof/>
              </w:rPr>
              <w:t>5.</w:t>
            </w:r>
            <w:r w:rsidR="006E7550">
              <w:rPr>
                <w:rFonts w:asciiTheme="minorHAnsi" w:eastAsiaTheme="minorEastAsia" w:hAnsiTheme="minorHAnsi"/>
                <w:noProof/>
                <w:kern w:val="2"/>
                <w:sz w:val="22"/>
                <w:lang w:eastAsia="en-GB"/>
                <w14:ligatures w14:val="standardContextual"/>
              </w:rPr>
              <w:tab/>
            </w:r>
            <w:r w:rsidR="006E7550" w:rsidRPr="004D3DA5">
              <w:rPr>
                <w:rStyle w:val="Hyperlink"/>
                <w:noProof/>
              </w:rPr>
              <w:t>Returning to Study</w:t>
            </w:r>
            <w:r w:rsidR="006E7550">
              <w:rPr>
                <w:noProof/>
                <w:webHidden/>
              </w:rPr>
              <w:tab/>
            </w:r>
            <w:r w:rsidR="006E7550">
              <w:rPr>
                <w:noProof/>
                <w:webHidden/>
              </w:rPr>
              <w:fldChar w:fldCharType="begin"/>
            </w:r>
            <w:r w:rsidR="006E7550">
              <w:rPr>
                <w:noProof/>
                <w:webHidden/>
              </w:rPr>
              <w:instrText xml:space="preserve"> PAGEREF _Toc139362107 \h </w:instrText>
            </w:r>
            <w:r w:rsidR="006E7550">
              <w:rPr>
                <w:noProof/>
                <w:webHidden/>
              </w:rPr>
            </w:r>
            <w:r w:rsidR="006E7550">
              <w:rPr>
                <w:noProof/>
                <w:webHidden/>
              </w:rPr>
              <w:fldChar w:fldCharType="separate"/>
            </w:r>
            <w:r w:rsidR="007C51E9">
              <w:rPr>
                <w:noProof/>
                <w:webHidden/>
              </w:rPr>
              <w:t>7</w:t>
            </w:r>
            <w:r w:rsidR="006E7550">
              <w:rPr>
                <w:noProof/>
                <w:webHidden/>
              </w:rPr>
              <w:fldChar w:fldCharType="end"/>
            </w:r>
          </w:hyperlink>
        </w:p>
        <w:p w14:paraId="059814E6" w14:textId="65E04A06" w:rsidR="006E7550" w:rsidRDefault="001843B0" w:rsidP="002C38F5">
          <w:pPr>
            <w:pStyle w:val="TOC2"/>
            <w:rPr>
              <w:rFonts w:asciiTheme="minorHAnsi" w:eastAsiaTheme="minorEastAsia" w:hAnsiTheme="minorHAnsi"/>
              <w:noProof/>
              <w:kern w:val="2"/>
              <w:sz w:val="22"/>
              <w:lang w:eastAsia="en-GB"/>
              <w14:ligatures w14:val="standardContextual"/>
            </w:rPr>
          </w:pPr>
          <w:hyperlink w:anchor="_Toc139362108" w:history="1">
            <w:r w:rsidR="006E7550" w:rsidRPr="004D3DA5">
              <w:rPr>
                <w:rStyle w:val="Hyperlink"/>
                <w:noProof/>
              </w:rPr>
              <w:t xml:space="preserve">6.  </w:t>
            </w:r>
            <w:r w:rsidR="002C38F5">
              <w:rPr>
                <w:rStyle w:val="Hyperlink"/>
                <w:noProof/>
              </w:rPr>
              <w:tab/>
            </w:r>
            <w:r w:rsidR="006E7550" w:rsidRPr="004D3DA5">
              <w:rPr>
                <w:rStyle w:val="Hyperlink"/>
                <w:noProof/>
              </w:rPr>
              <w:t>Links to other policies and procedures</w:t>
            </w:r>
            <w:r w:rsidR="006E7550">
              <w:rPr>
                <w:noProof/>
                <w:webHidden/>
              </w:rPr>
              <w:tab/>
            </w:r>
            <w:r w:rsidR="006E7550">
              <w:rPr>
                <w:noProof/>
                <w:webHidden/>
              </w:rPr>
              <w:fldChar w:fldCharType="begin"/>
            </w:r>
            <w:r w:rsidR="006E7550">
              <w:rPr>
                <w:noProof/>
                <w:webHidden/>
              </w:rPr>
              <w:instrText xml:space="preserve"> PAGEREF _Toc139362108 \h </w:instrText>
            </w:r>
            <w:r w:rsidR="006E7550">
              <w:rPr>
                <w:noProof/>
                <w:webHidden/>
              </w:rPr>
            </w:r>
            <w:r w:rsidR="006E7550">
              <w:rPr>
                <w:noProof/>
                <w:webHidden/>
              </w:rPr>
              <w:fldChar w:fldCharType="separate"/>
            </w:r>
            <w:r w:rsidR="007C51E9">
              <w:rPr>
                <w:noProof/>
                <w:webHidden/>
              </w:rPr>
              <w:t>8</w:t>
            </w:r>
            <w:r w:rsidR="006E7550">
              <w:rPr>
                <w:noProof/>
                <w:webHidden/>
              </w:rPr>
              <w:fldChar w:fldCharType="end"/>
            </w:r>
          </w:hyperlink>
        </w:p>
        <w:p w14:paraId="36665CD3" w14:textId="3FDA7BCA" w:rsidR="006E7550" w:rsidRDefault="001843B0" w:rsidP="002C38F5">
          <w:pPr>
            <w:pStyle w:val="TOC2"/>
            <w:rPr>
              <w:rFonts w:asciiTheme="minorHAnsi" w:eastAsiaTheme="minorEastAsia" w:hAnsiTheme="minorHAnsi"/>
              <w:noProof/>
              <w:kern w:val="2"/>
              <w:sz w:val="22"/>
              <w:lang w:eastAsia="en-GB"/>
              <w14:ligatures w14:val="standardContextual"/>
            </w:rPr>
          </w:pPr>
          <w:hyperlink w:anchor="_Toc139362109" w:history="1">
            <w:r w:rsidR="006E7550" w:rsidRPr="004D3DA5">
              <w:rPr>
                <w:rStyle w:val="Hyperlink"/>
                <w:noProof/>
              </w:rPr>
              <w:t xml:space="preserve">7.  </w:t>
            </w:r>
            <w:r w:rsidR="002C38F5">
              <w:rPr>
                <w:rStyle w:val="Hyperlink"/>
                <w:noProof/>
              </w:rPr>
              <w:tab/>
            </w:r>
            <w:r w:rsidR="006E7550" w:rsidRPr="004D3DA5">
              <w:rPr>
                <w:rStyle w:val="Hyperlink"/>
                <w:noProof/>
              </w:rPr>
              <w:t>Appeals Procedure</w:t>
            </w:r>
            <w:r w:rsidR="006E7550">
              <w:rPr>
                <w:noProof/>
                <w:webHidden/>
              </w:rPr>
              <w:tab/>
            </w:r>
            <w:r w:rsidR="006E7550">
              <w:rPr>
                <w:noProof/>
                <w:webHidden/>
              </w:rPr>
              <w:fldChar w:fldCharType="begin"/>
            </w:r>
            <w:r w:rsidR="006E7550">
              <w:rPr>
                <w:noProof/>
                <w:webHidden/>
              </w:rPr>
              <w:instrText xml:space="preserve"> PAGEREF _Toc139362109 \h </w:instrText>
            </w:r>
            <w:r w:rsidR="006E7550">
              <w:rPr>
                <w:noProof/>
                <w:webHidden/>
              </w:rPr>
            </w:r>
            <w:r w:rsidR="006E7550">
              <w:rPr>
                <w:noProof/>
                <w:webHidden/>
              </w:rPr>
              <w:fldChar w:fldCharType="separate"/>
            </w:r>
            <w:r w:rsidR="007C51E9">
              <w:rPr>
                <w:noProof/>
                <w:webHidden/>
              </w:rPr>
              <w:t>8</w:t>
            </w:r>
            <w:r w:rsidR="006E7550">
              <w:rPr>
                <w:noProof/>
                <w:webHidden/>
              </w:rPr>
              <w:fldChar w:fldCharType="end"/>
            </w:r>
          </w:hyperlink>
        </w:p>
        <w:p w14:paraId="1003D702" w14:textId="0CF72E50" w:rsidR="006E7550" w:rsidRDefault="001843B0">
          <w:pPr>
            <w:pStyle w:val="TOC1"/>
            <w:rPr>
              <w:rFonts w:asciiTheme="minorHAnsi" w:eastAsiaTheme="minorEastAsia" w:hAnsiTheme="minorHAnsi"/>
              <w:noProof/>
              <w:kern w:val="2"/>
              <w:sz w:val="22"/>
              <w:lang w:eastAsia="en-GB"/>
              <w14:ligatures w14:val="standardContextual"/>
            </w:rPr>
          </w:pPr>
          <w:hyperlink w:anchor="_Toc139362110" w:history="1">
            <w:r w:rsidR="006E7550" w:rsidRPr="004D3DA5">
              <w:rPr>
                <w:rStyle w:val="Hyperlink"/>
                <w:noProof/>
              </w:rPr>
              <w:t>Key to Relevant Documents</w:t>
            </w:r>
            <w:r w:rsidR="006E7550">
              <w:rPr>
                <w:noProof/>
                <w:webHidden/>
              </w:rPr>
              <w:tab/>
            </w:r>
            <w:r w:rsidR="006E7550">
              <w:rPr>
                <w:noProof/>
                <w:webHidden/>
              </w:rPr>
              <w:fldChar w:fldCharType="begin"/>
            </w:r>
            <w:r w:rsidR="006E7550">
              <w:rPr>
                <w:noProof/>
                <w:webHidden/>
              </w:rPr>
              <w:instrText xml:space="preserve"> PAGEREF _Toc139362110 \h </w:instrText>
            </w:r>
            <w:r w:rsidR="006E7550">
              <w:rPr>
                <w:noProof/>
                <w:webHidden/>
              </w:rPr>
            </w:r>
            <w:r w:rsidR="006E7550">
              <w:rPr>
                <w:noProof/>
                <w:webHidden/>
              </w:rPr>
              <w:fldChar w:fldCharType="separate"/>
            </w:r>
            <w:r w:rsidR="007C51E9">
              <w:rPr>
                <w:noProof/>
                <w:webHidden/>
              </w:rPr>
              <w:t>8</w:t>
            </w:r>
            <w:r w:rsidR="006E7550">
              <w:rPr>
                <w:noProof/>
                <w:webHidden/>
              </w:rPr>
              <w:fldChar w:fldCharType="end"/>
            </w:r>
          </w:hyperlink>
        </w:p>
        <w:p w14:paraId="7E5C1EB8" w14:textId="6884AF94" w:rsidR="006E7550" w:rsidRDefault="001843B0">
          <w:pPr>
            <w:pStyle w:val="TOC1"/>
            <w:rPr>
              <w:rFonts w:asciiTheme="minorHAnsi" w:eastAsiaTheme="minorEastAsia" w:hAnsiTheme="minorHAnsi"/>
              <w:noProof/>
              <w:kern w:val="2"/>
              <w:sz w:val="22"/>
              <w:lang w:eastAsia="en-GB"/>
              <w14:ligatures w14:val="standardContextual"/>
            </w:rPr>
          </w:pPr>
          <w:hyperlink w:anchor="_Toc139362111" w:history="1">
            <w:r w:rsidR="006E7550" w:rsidRPr="004D3DA5">
              <w:rPr>
                <w:rStyle w:val="Hyperlink"/>
                <w:noProof/>
              </w:rPr>
              <w:t>Annexes</w:t>
            </w:r>
            <w:r w:rsidR="006E7550">
              <w:rPr>
                <w:noProof/>
                <w:webHidden/>
              </w:rPr>
              <w:tab/>
            </w:r>
            <w:r w:rsidR="006E7550">
              <w:rPr>
                <w:noProof/>
                <w:webHidden/>
              </w:rPr>
              <w:fldChar w:fldCharType="begin"/>
            </w:r>
            <w:r w:rsidR="006E7550">
              <w:rPr>
                <w:noProof/>
                <w:webHidden/>
              </w:rPr>
              <w:instrText xml:space="preserve"> PAGEREF _Toc139362111 \h </w:instrText>
            </w:r>
            <w:r w:rsidR="006E7550">
              <w:rPr>
                <w:noProof/>
                <w:webHidden/>
              </w:rPr>
            </w:r>
            <w:r w:rsidR="006E7550">
              <w:rPr>
                <w:noProof/>
                <w:webHidden/>
              </w:rPr>
              <w:fldChar w:fldCharType="separate"/>
            </w:r>
            <w:r w:rsidR="007C51E9">
              <w:rPr>
                <w:noProof/>
                <w:webHidden/>
              </w:rPr>
              <w:t>9</w:t>
            </w:r>
            <w:r w:rsidR="006E7550">
              <w:rPr>
                <w:noProof/>
                <w:webHidden/>
              </w:rPr>
              <w:fldChar w:fldCharType="end"/>
            </w:r>
          </w:hyperlink>
        </w:p>
        <w:p w14:paraId="2F13857C" w14:textId="746A051E" w:rsidR="006E7550" w:rsidRDefault="001843B0">
          <w:pPr>
            <w:pStyle w:val="TOC1"/>
            <w:rPr>
              <w:rFonts w:asciiTheme="minorHAnsi" w:eastAsiaTheme="minorEastAsia" w:hAnsiTheme="minorHAnsi"/>
              <w:noProof/>
              <w:kern w:val="2"/>
              <w:sz w:val="22"/>
              <w:lang w:eastAsia="en-GB"/>
              <w14:ligatures w14:val="standardContextual"/>
            </w:rPr>
          </w:pPr>
          <w:hyperlink w:anchor="_Toc139362112" w:history="1">
            <w:r w:rsidR="006E7550" w:rsidRPr="004D3DA5">
              <w:rPr>
                <w:rStyle w:val="Hyperlink"/>
                <w:noProof/>
              </w:rPr>
              <w:t>Endmatter</w:t>
            </w:r>
            <w:r w:rsidR="006E7550">
              <w:rPr>
                <w:noProof/>
                <w:webHidden/>
              </w:rPr>
              <w:tab/>
            </w:r>
            <w:r w:rsidR="006E7550">
              <w:rPr>
                <w:noProof/>
                <w:webHidden/>
              </w:rPr>
              <w:fldChar w:fldCharType="begin"/>
            </w:r>
            <w:r w:rsidR="006E7550">
              <w:rPr>
                <w:noProof/>
                <w:webHidden/>
              </w:rPr>
              <w:instrText xml:space="preserve"> PAGEREF _Toc139362112 \h </w:instrText>
            </w:r>
            <w:r w:rsidR="006E7550">
              <w:rPr>
                <w:noProof/>
                <w:webHidden/>
              </w:rPr>
            </w:r>
            <w:r w:rsidR="006E7550">
              <w:rPr>
                <w:noProof/>
                <w:webHidden/>
              </w:rPr>
              <w:fldChar w:fldCharType="separate"/>
            </w:r>
            <w:r w:rsidR="007C51E9">
              <w:rPr>
                <w:noProof/>
                <w:webHidden/>
              </w:rPr>
              <w:t>9</w:t>
            </w:r>
            <w:r w:rsidR="006E7550">
              <w:rPr>
                <w:noProof/>
                <w:webHidden/>
              </w:rPr>
              <w:fldChar w:fldCharType="end"/>
            </w:r>
          </w:hyperlink>
        </w:p>
        <w:p w14:paraId="744D66E1" w14:textId="16ED1BFB" w:rsidR="00351BCA" w:rsidRDefault="00351BCA">
          <w:r w:rsidRPr="0059366D">
            <w:rPr>
              <w:b/>
              <w:bCs/>
              <w:noProof/>
            </w:rPr>
            <w:fldChar w:fldCharType="end"/>
          </w:r>
        </w:p>
      </w:sdtContent>
    </w:sdt>
    <w:p w14:paraId="5870C185" w14:textId="77777777" w:rsidR="00C625B0" w:rsidRDefault="00C625B0">
      <w:r>
        <w:br w:type="page"/>
      </w:r>
    </w:p>
    <w:p w14:paraId="78BCE7DA" w14:textId="77777777" w:rsidR="000D23AF" w:rsidRPr="00265985" w:rsidRDefault="000D23AF" w:rsidP="00D84C7A">
      <w:pPr>
        <w:pStyle w:val="Heading1"/>
      </w:pPr>
      <w:bookmarkStart w:id="0" w:name="_Toc139362099"/>
      <w:r w:rsidRPr="00265985">
        <w:lastRenderedPageBreak/>
        <w:t>Summary</w:t>
      </w:r>
      <w:bookmarkEnd w:id="0"/>
      <w:r w:rsidRPr="00265985">
        <w:t xml:space="preserve"> </w:t>
      </w:r>
    </w:p>
    <w:p w14:paraId="1C2A28F8" w14:textId="383DAB96" w:rsidR="00866C04" w:rsidRPr="009259D4" w:rsidRDefault="00866C04" w:rsidP="00866C04">
      <w:r w:rsidRPr="00265985">
        <w:t>This policy provides details of the process for students to follow if they wish to repeat a year of study. It explains the conditions that apply, steps to follow and gives details about what students can expect from the University when repeating</w:t>
      </w:r>
      <w:r w:rsidR="001869AB">
        <w:t xml:space="preserve"> the year</w:t>
      </w:r>
      <w:r w:rsidRPr="00265985">
        <w:t>.</w:t>
      </w:r>
      <w:r w:rsidRPr="009259D4">
        <w:t xml:space="preserve">  </w:t>
      </w:r>
    </w:p>
    <w:p w14:paraId="101F281E" w14:textId="77777777" w:rsidR="00962651" w:rsidRDefault="00962651" w:rsidP="00962651">
      <w:pPr>
        <w:pStyle w:val="Heading1"/>
      </w:pPr>
      <w:bookmarkStart w:id="1" w:name="_Toc12027822"/>
      <w:bookmarkStart w:id="2" w:name="_Toc75333231"/>
      <w:bookmarkStart w:id="3" w:name="_Toc139362100"/>
      <w:r w:rsidRPr="009259D4">
        <w:t>Glossary of Terms</w:t>
      </w:r>
      <w:bookmarkEnd w:id="1"/>
      <w:bookmarkEnd w:id="2"/>
      <w:bookmarkEnd w:id="3"/>
      <w:r w:rsidRPr="009259D4">
        <w:t xml:space="preserve"> </w:t>
      </w:r>
    </w:p>
    <w:p w14:paraId="7B04FB1B" w14:textId="77777777" w:rsidR="00785131" w:rsidRPr="00785131" w:rsidRDefault="00785131" w:rsidP="00785131"/>
    <w:tbl>
      <w:tblPr>
        <w:tblStyle w:val="PlainTable1"/>
        <w:tblW w:w="9317" w:type="dxa"/>
        <w:tblLayout w:type="fixed"/>
        <w:tblLook w:val="0020" w:firstRow="1" w:lastRow="0" w:firstColumn="0" w:lastColumn="0" w:noHBand="0" w:noVBand="0"/>
      </w:tblPr>
      <w:tblGrid>
        <w:gridCol w:w="3080"/>
        <w:gridCol w:w="6237"/>
      </w:tblGrid>
      <w:tr w:rsidR="00962651" w:rsidRPr="009259D4" w14:paraId="65DB8CB7" w14:textId="77777777" w:rsidTr="00785131">
        <w:trPr>
          <w:cnfStyle w:val="100000000000" w:firstRow="1" w:lastRow="0" w:firstColumn="0" w:lastColumn="0" w:oddVBand="0" w:evenVBand="0" w:oddHBand="0" w:evenHBand="0" w:firstRowFirstColumn="0" w:firstRowLastColumn="0" w:lastRowFirstColumn="0" w:lastRowLastColumn="0"/>
          <w:trHeight w:val="388"/>
          <w:tblHeader/>
        </w:trPr>
        <w:tc>
          <w:tcPr>
            <w:cnfStyle w:val="000010000000" w:firstRow="0" w:lastRow="0" w:firstColumn="0" w:lastColumn="0" w:oddVBand="1" w:evenVBand="0" w:oddHBand="0" w:evenHBand="0" w:firstRowFirstColumn="0" w:firstRowLastColumn="0" w:lastRowFirstColumn="0" w:lastRowLastColumn="0"/>
            <w:tcW w:w="3080" w:type="dxa"/>
          </w:tcPr>
          <w:p w14:paraId="1652BB6D" w14:textId="77777777" w:rsidR="00962651" w:rsidRPr="009259D4" w:rsidRDefault="00962651" w:rsidP="00A726CE">
            <w:pPr>
              <w:pStyle w:val="Default"/>
              <w:rPr>
                <w:b w:val="0"/>
              </w:rPr>
            </w:pPr>
            <w:r w:rsidRPr="009259D4">
              <w:t>Term</w:t>
            </w:r>
          </w:p>
        </w:tc>
        <w:tc>
          <w:tcPr>
            <w:tcW w:w="6237" w:type="dxa"/>
          </w:tcPr>
          <w:p w14:paraId="7EED04BC" w14:textId="77777777" w:rsidR="00962651" w:rsidRPr="009259D4" w:rsidRDefault="00962651" w:rsidP="00A726CE">
            <w:pPr>
              <w:pStyle w:val="Default"/>
              <w:cnfStyle w:val="100000000000" w:firstRow="1" w:lastRow="0" w:firstColumn="0" w:lastColumn="0" w:oddVBand="0" w:evenVBand="0" w:oddHBand="0" w:evenHBand="0" w:firstRowFirstColumn="0" w:firstRowLastColumn="0" w:lastRowFirstColumn="0" w:lastRowLastColumn="0"/>
              <w:rPr>
                <w:b w:val="0"/>
              </w:rPr>
            </w:pPr>
            <w:r w:rsidRPr="009259D4">
              <w:t>Meaning</w:t>
            </w:r>
          </w:p>
        </w:tc>
      </w:tr>
      <w:tr w:rsidR="00720042" w:rsidRPr="009259D4" w14:paraId="08E9FB36" w14:textId="77777777" w:rsidTr="00785131">
        <w:trPr>
          <w:cnfStyle w:val="000000100000" w:firstRow="0" w:lastRow="0" w:firstColumn="0" w:lastColumn="0" w:oddVBand="0" w:evenVBand="0" w:oddHBand="1" w:evenHBand="0" w:firstRowFirstColumn="0" w:firstRowLastColumn="0" w:lastRowFirstColumn="0" w:lastRowLastColumn="0"/>
          <w:trHeight w:val="388"/>
        </w:trPr>
        <w:tc>
          <w:tcPr>
            <w:cnfStyle w:val="000010000000" w:firstRow="0" w:lastRow="0" w:firstColumn="0" w:lastColumn="0" w:oddVBand="1" w:evenVBand="0" w:oddHBand="0" w:evenHBand="0" w:firstRowFirstColumn="0" w:firstRowLastColumn="0" w:lastRowFirstColumn="0" w:lastRowLastColumn="0"/>
            <w:tcW w:w="3080" w:type="dxa"/>
          </w:tcPr>
          <w:p w14:paraId="64CF09B1" w14:textId="0B269603" w:rsidR="00720042" w:rsidRPr="00457AFC" w:rsidRDefault="00720042" w:rsidP="00A726CE">
            <w:r w:rsidRPr="00457AFC">
              <w:t>Academic Registry</w:t>
            </w:r>
          </w:p>
        </w:tc>
        <w:tc>
          <w:tcPr>
            <w:tcW w:w="6237" w:type="dxa"/>
          </w:tcPr>
          <w:p w14:paraId="75B3AC68" w14:textId="536C1082" w:rsidR="00720042" w:rsidRDefault="00FE50F3" w:rsidP="00731A98">
            <w:pPr>
              <w:cnfStyle w:val="000000100000" w:firstRow="0" w:lastRow="0" w:firstColumn="0" w:lastColumn="0" w:oddVBand="0" w:evenVBand="0" w:oddHBand="1" w:evenHBand="0" w:firstRowFirstColumn="0" w:firstRowLastColumn="0" w:lastRowFirstColumn="0" w:lastRowLastColumn="0"/>
              <w:rPr>
                <w:rFonts w:cs="Arial"/>
                <w:szCs w:val="24"/>
              </w:rPr>
            </w:pPr>
            <w:r>
              <w:rPr>
                <w:bCs/>
              </w:rPr>
              <w:t>administrative department</w:t>
            </w:r>
            <w:r w:rsidR="00720042" w:rsidRPr="00FB2E77">
              <w:rPr>
                <w:bCs/>
              </w:rPr>
              <w:t xml:space="preserve"> that facilitates the student journey from enrolment to award conferral</w:t>
            </w:r>
          </w:p>
        </w:tc>
      </w:tr>
      <w:tr w:rsidR="00720042" w:rsidRPr="009259D4" w14:paraId="6A6F9246" w14:textId="77777777" w:rsidTr="00785131">
        <w:trPr>
          <w:trHeight w:val="388"/>
        </w:trPr>
        <w:tc>
          <w:tcPr>
            <w:cnfStyle w:val="000010000000" w:firstRow="0" w:lastRow="0" w:firstColumn="0" w:lastColumn="0" w:oddVBand="1" w:evenVBand="0" w:oddHBand="0" w:evenHBand="0" w:firstRowFirstColumn="0" w:firstRowLastColumn="0" w:lastRowFirstColumn="0" w:lastRowLastColumn="0"/>
            <w:tcW w:w="3080" w:type="dxa"/>
          </w:tcPr>
          <w:p w14:paraId="43E11C62" w14:textId="08775629" w:rsidR="00720042" w:rsidRPr="00457AFC" w:rsidRDefault="00720042" w:rsidP="00A726CE">
            <w:r w:rsidRPr="00457AFC">
              <w:t>Appeal</w:t>
            </w:r>
          </w:p>
        </w:tc>
        <w:tc>
          <w:tcPr>
            <w:tcW w:w="6237" w:type="dxa"/>
          </w:tcPr>
          <w:p w14:paraId="2E0AABDA" w14:textId="73C23DA4" w:rsidR="00720042" w:rsidRPr="00FB2E77" w:rsidRDefault="00720042" w:rsidP="00731A98">
            <w:pPr>
              <w:cnfStyle w:val="000000000000" w:firstRow="0" w:lastRow="0" w:firstColumn="0" w:lastColumn="0" w:oddVBand="0" w:evenVBand="0" w:oddHBand="0" w:evenHBand="0" w:firstRowFirstColumn="0" w:firstRowLastColumn="0" w:lastRowFirstColumn="0" w:lastRowLastColumn="0"/>
              <w:rPr>
                <w:bCs/>
              </w:rPr>
            </w:pPr>
            <w:r>
              <w:rPr>
                <w:szCs w:val="24"/>
              </w:rPr>
              <w:t>a procedure which allows a student, in certain circumstances, to ask for review of a decision</w:t>
            </w:r>
          </w:p>
        </w:tc>
      </w:tr>
      <w:tr w:rsidR="00720042" w:rsidRPr="009259D4" w14:paraId="13DD5189" w14:textId="77777777" w:rsidTr="00785131">
        <w:trPr>
          <w:cnfStyle w:val="000000100000" w:firstRow="0" w:lastRow="0" w:firstColumn="0" w:lastColumn="0" w:oddVBand="0" w:evenVBand="0" w:oddHBand="1" w:evenHBand="0" w:firstRowFirstColumn="0" w:firstRowLastColumn="0" w:lastRowFirstColumn="0" w:lastRowLastColumn="0"/>
          <w:trHeight w:val="388"/>
        </w:trPr>
        <w:tc>
          <w:tcPr>
            <w:cnfStyle w:val="000010000000" w:firstRow="0" w:lastRow="0" w:firstColumn="0" w:lastColumn="0" w:oddVBand="1" w:evenVBand="0" w:oddHBand="0" w:evenHBand="0" w:firstRowFirstColumn="0" w:firstRowLastColumn="0" w:lastRowFirstColumn="0" w:lastRowLastColumn="0"/>
            <w:tcW w:w="3080" w:type="dxa"/>
          </w:tcPr>
          <w:p w14:paraId="06F0C294" w14:textId="0E1DC768" w:rsidR="00720042" w:rsidRPr="00457AFC" w:rsidRDefault="00720042" w:rsidP="00720042">
            <w:r w:rsidRPr="00457AFC">
              <w:t xml:space="preserve">Interruption </w:t>
            </w:r>
          </w:p>
        </w:tc>
        <w:tc>
          <w:tcPr>
            <w:tcW w:w="6237" w:type="dxa"/>
          </w:tcPr>
          <w:p w14:paraId="5D655792" w14:textId="7DC3A46D" w:rsidR="00720042" w:rsidRPr="00FB2E77" w:rsidRDefault="00720042" w:rsidP="00731A98">
            <w:pPr>
              <w:cnfStyle w:val="000000100000" w:firstRow="0" w:lastRow="0" w:firstColumn="0" w:lastColumn="0" w:oddVBand="0" w:evenVBand="0" w:oddHBand="1" w:evenHBand="0" w:firstRowFirstColumn="0" w:firstRowLastColumn="0" w:lastRowFirstColumn="0" w:lastRowLastColumn="0"/>
              <w:rPr>
                <w:bCs/>
              </w:rPr>
            </w:pPr>
            <w:r>
              <w:rPr>
                <w:rFonts w:cs="Arial"/>
                <w:szCs w:val="24"/>
              </w:rPr>
              <w:t>an a</w:t>
            </w:r>
            <w:r w:rsidRPr="00F95BFF">
              <w:rPr>
                <w:rFonts w:cs="Arial"/>
                <w:szCs w:val="24"/>
              </w:rPr>
              <w:t xml:space="preserve">pproved </w:t>
            </w:r>
            <w:r w:rsidR="00FE50F3">
              <w:rPr>
                <w:rFonts w:cs="Arial"/>
                <w:szCs w:val="24"/>
              </w:rPr>
              <w:t>break in learning</w:t>
            </w:r>
            <w:r w:rsidR="00FE50F3" w:rsidRPr="00F95BFF">
              <w:rPr>
                <w:rFonts w:cs="Arial"/>
                <w:szCs w:val="24"/>
              </w:rPr>
              <w:t xml:space="preserve"> </w:t>
            </w:r>
            <w:r w:rsidRPr="00F95BFF">
              <w:rPr>
                <w:rFonts w:cs="Arial"/>
                <w:szCs w:val="24"/>
              </w:rPr>
              <w:t>during which a student’s studies are suspended and the student is not normally required to engage with their programme</w:t>
            </w:r>
          </w:p>
        </w:tc>
      </w:tr>
      <w:tr w:rsidR="00720042" w:rsidRPr="009259D4" w14:paraId="39EF1276" w14:textId="77777777" w:rsidTr="00785131">
        <w:trPr>
          <w:trHeight w:val="388"/>
        </w:trPr>
        <w:tc>
          <w:tcPr>
            <w:cnfStyle w:val="000010000000" w:firstRow="0" w:lastRow="0" w:firstColumn="0" w:lastColumn="0" w:oddVBand="1" w:evenVBand="0" w:oddHBand="0" w:evenHBand="0" w:firstRowFirstColumn="0" w:firstRowLastColumn="0" w:lastRowFirstColumn="0" w:lastRowLastColumn="0"/>
            <w:tcW w:w="3080" w:type="dxa"/>
          </w:tcPr>
          <w:p w14:paraId="32B24264" w14:textId="57247A7B" w:rsidR="00720042" w:rsidRPr="00457AFC" w:rsidRDefault="00720042" w:rsidP="00720042">
            <w:r w:rsidRPr="00457AFC">
              <w:t>Last date of engagement</w:t>
            </w:r>
          </w:p>
        </w:tc>
        <w:tc>
          <w:tcPr>
            <w:tcW w:w="6237" w:type="dxa"/>
          </w:tcPr>
          <w:p w14:paraId="7BA9BE1B" w14:textId="66F2A8D2" w:rsidR="00720042" w:rsidRPr="009259D4" w:rsidRDefault="00720042" w:rsidP="00731A98">
            <w:pPr>
              <w:cnfStyle w:val="000000000000" w:firstRow="0" w:lastRow="0" w:firstColumn="0" w:lastColumn="0" w:oddVBand="0" w:evenVBand="0" w:oddHBand="0" w:evenHBand="0" w:firstRowFirstColumn="0" w:firstRowLastColumn="0" w:lastRowFirstColumn="0" w:lastRowLastColumn="0"/>
            </w:pPr>
            <w:r>
              <w:rPr>
                <w:rFonts w:cs="Arial"/>
                <w:szCs w:val="24"/>
              </w:rPr>
              <w:t xml:space="preserve">this refers to the last date of active participation with a student’s academic programme and includes attendance at scheduled sessions, engagement with the virtual learning environment, submission of coursework and/or attendance at an examination.  This is the date used to calculate tuition fee liability </w:t>
            </w:r>
          </w:p>
        </w:tc>
      </w:tr>
      <w:tr w:rsidR="00720042" w:rsidRPr="009259D4" w14:paraId="5289BD6A" w14:textId="77777777" w:rsidTr="00785131">
        <w:trPr>
          <w:cnfStyle w:val="000000100000" w:firstRow="0" w:lastRow="0" w:firstColumn="0" w:lastColumn="0" w:oddVBand="0" w:evenVBand="0" w:oddHBand="1" w:evenHBand="0" w:firstRowFirstColumn="0" w:firstRowLastColumn="0" w:lastRowFirstColumn="0" w:lastRowLastColumn="0"/>
          <w:trHeight w:val="1091"/>
        </w:trPr>
        <w:tc>
          <w:tcPr>
            <w:cnfStyle w:val="000010000000" w:firstRow="0" w:lastRow="0" w:firstColumn="0" w:lastColumn="0" w:oddVBand="1" w:evenVBand="0" w:oddHBand="0" w:evenHBand="0" w:firstRowFirstColumn="0" w:firstRowLastColumn="0" w:lastRowFirstColumn="0" w:lastRowLastColumn="0"/>
            <w:tcW w:w="3080" w:type="dxa"/>
          </w:tcPr>
          <w:p w14:paraId="6865FC1F" w14:textId="6B647F2C" w:rsidR="00720042" w:rsidRPr="00457AFC" w:rsidRDefault="00720042" w:rsidP="00720042">
            <w:r w:rsidRPr="00457AFC">
              <w:t>Procedural error</w:t>
            </w:r>
          </w:p>
        </w:tc>
        <w:tc>
          <w:tcPr>
            <w:tcW w:w="6237" w:type="dxa"/>
          </w:tcPr>
          <w:p w14:paraId="2B86196A" w14:textId="4B2BD11A" w:rsidR="00720042" w:rsidRDefault="00720042" w:rsidP="00731A98">
            <w:pPr>
              <w:cnfStyle w:val="000000100000" w:firstRow="0" w:lastRow="0" w:firstColumn="0" w:lastColumn="0" w:oddVBand="0" w:evenVBand="0" w:oddHBand="1" w:evenHBand="0" w:firstRowFirstColumn="0" w:firstRowLastColumn="0" w:lastRowFirstColumn="0" w:lastRowLastColumn="0"/>
              <w:rPr>
                <w:rFonts w:cs="Arial"/>
                <w:szCs w:val="24"/>
              </w:rPr>
            </w:pPr>
            <w:r>
              <w:rPr>
                <w:szCs w:val="24"/>
              </w:rPr>
              <w:t>where the University has not followed its own procedures properly, and error or mistake has affected the outcome</w:t>
            </w:r>
          </w:p>
        </w:tc>
      </w:tr>
      <w:tr w:rsidR="00720042" w:rsidRPr="009259D4" w14:paraId="76818910" w14:textId="77777777" w:rsidTr="00785131">
        <w:trPr>
          <w:trHeight w:val="388"/>
        </w:trPr>
        <w:tc>
          <w:tcPr>
            <w:cnfStyle w:val="000010000000" w:firstRow="0" w:lastRow="0" w:firstColumn="0" w:lastColumn="0" w:oddVBand="1" w:evenVBand="0" w:oddHBand="0" w:evenHBand="0" w:firstRowFirstColumn="0" w:firstRowLastColumn="0" w:lastRowFirstColumn="0" w:lastRowLastColumn="0"/>
            <w:tcW w:w="3080" w:type="dxa"/>
          </w:tcPr>
          <w:p w14:paraId="446470FE" w14:textId="6036387B" w:rsidR="00720042" w:rsidRPr="00457AFC" w:rsidRDefault="00720042" w:rsidP="00720042">
            <w:r w:rsidRPr="00457AFC">
              <w:t xml:space="preserve">Repeat Year </w:t>
            </w:r>
          </w:p>
        </w:tc>
        <w:tc>
          <w:tcPr>
            <w:tcW w:w="6237" w:type="dxa"/>
          </w:tcPr>
          <w:p w14:paraId="242CE396" w14:textId="512B360C" w:rsidR="00112F92" w:rsidRDefault="005C57FD" w:rsidP="00731A98">
            <w:pPr>
              <w:pStyle w:val="BodyText"/>
              <w:spacing w:line="276" w:lineRule="auto"/>
              <w:jc w:val="both"/>
              <w:cnfStyle w:val="000000000000" w:firstRow="0" w:lastRow="0" w:firstColumn="0" w:lastColumn="0" w:oddVBand="0" w:evenVBand="0" w:oddHBand="0" w:evenHBand="0" w:firstRowFirstColumn="0" w:firstRowLastColumn="0" w:lastRowFirstColumn="0" w:lastRowLastColumn="0"/>
              <w:rPr>
                <w:i w:val="0"/>
                <w:iCs w:val="0"/>
                <w:sz w:val="24"/>
                <w:szCs w:val="24"/>
                <w:lang w:val="en-GB"/>
              </w:rPr>
            </w:pPr>
            <w:r>
              <w:rPr>
                <w:i w:val="0"/>
                <w:iCs w:val="0"/>
                <w:sz w:val="24"/>
                <w:szCs w:val="24"/>
                <w:lang w:val="en-GB"/>
              </w:rPr>
              <w:t>t</w:t>
            </w:r>
            <w:r w:rsidR="00720042" w:rsidRPr="002B0E73">
              <w:rPr>
                <w:i w:val="0"/>
                <w:iCs w:val="0"/>
                <w:sz w:val="24"/>
                <w:szCs w:val="24"/>
                <w:lang w:val="en-GB"/>
              </w:rPr>
              <w:t>he process by which a student is permitted to undertake a full year or level of study as if for the first time, despite having previously sat part or all of that year or level</w:t>
            </w:r>
          </w:p>
          <w:p w14:paraId="5C4FA533" w14:textId="67B3B75B" w:rsidR="00720042" w:rsidRPr="00112F92" w:rsidRDefault="00720042" w:rsidP="00731A98">
            <w:pPr>
              <w:pStyle w:val="BodyText"/>
              <w:spacing w:line="276" w:lineRule="auto"/>
              <w:jc w:val="both"/>
              <w:cnfStyle w:val="000000000000" w:firstRow="0" w:lastRow="0" w:firstColumn="0" w:lastColumn="0" w:oddVBand="0" w:evenVBand="0" w:oddHBand="0" w:evenHBand="0" w:firstRowFirstColumn="0" w:firstRowLastColumn="0" w:lastRowFirstColumn="0" w:lastRowLastColumn="0"/>
              <w:rPr>
                <w:i w:val="0"/>
                <w:iCs w:val="0"/>
                <w:sz w:val="14"/>
                <w:szCs w:val="14"/>
                <w:lang w:val="en-GB"/>
              </w:rPr>
            </w:pPr>
          </w:p>
        </w:tc>
      </w:tr>
      <w:tr w:rsidR="00731A98" w:rsidRPr="009259D4" w14:paraId="05231544" w14:textId="77777777" w:rsidTr="00785131">
        <w:trPr>
          <w:cnfStyle w:val="000000100000" w:firstRow="0" w:lastRow="0" w:firstColumn="0" w:lastColumn="0" w:oddVBand="0" w:evenVBand="0" w:oddHBand="1" w:evenHBand="0" w:firstRowFirstColumn="0" w:firstRowLastColumn="0" w:lastRowFirstColumn="0" w:lastRowLastColumn="0"/>
          <w:trHeight w:val="388"/>
        </w:trPr>
        <w:tc>
          <w:tcPr>
            <w:cnfStyle w:val="000010000000" w:firstRow="0" w:lastRow="0" w:firstColumn="0" w:lastColumn="0" w:oddVBand="1" w:evenVBand="0" w:oddHBand="0" w:evenHBand="0" w:firstRowFirstColumn="0" w:firstRowLastColumn="0" w:lastRowFirstColumn="0" w:lastRowLastColumn="0"/>
            <w:tcW w:w="3080" w:type="dxa"/>
          </w:tcPr>
          <w:p w14:paraId="18F537E0" w14:textId="499C1008" w:rsidR="00731A98" w:rsidRPr="00457AFC" w:rsidRDefault="00731A98" w:rsidP="00731A98">
            <w:r w:rsidRPr="00457AFC">
              <w:t>Tuition Fee</w:t>
            </w:r>
          </w:p>
        </w:tc>
        <w:tc>
          <w:tcPr>
            <w:tcW w:w="6237" w:type="dxa"/>
          </w:tcPr>
          <w:p w14:paraId="68DB5DB5" w14:textId="11400831" w:rsidR="00112F92" w:rsidRDefault="00731A98" w:rsidP="00731A98">
            <w:pPr>
              <w:pStyle w:val="BodyText"/>
              <w:spacing w:line="276" w:lineRule="auto"/>
              <w:jc w:val="both"/>
              <w:cnfStyle w:val="000000100000" w:firstRow="0" w:lastRow="0" w:firstColumn="0" w:lastColumn="0" w:oddVBand="0" w:evenVBand="0" w:oddHBand="1" w:evenHBand="0" w:firstRowFirstColumn="0" w:firstRowLastColumn="0" w:lastRowFirstColumn="0" w:lastRowLastColumn="0"/>
              <w:rPr>
                <w:i w:val="0"/>
                <w:iCs w:val="0"/>
                <w:sz w:val="24"/>
                <w:szCs w:val="24"/>
                <w:lang w:val="en-GB"/>
              </w:rPr>
            </w:pPr>
            <w:r w:rsidRPr="00731A98">
              <w:rPr>
                <w:i w:val="0"/>
                <w:iCs w:val="0"/>
                <w:sz w:val="24"/>
                <w:szCs w:val="24"/>
                <w:lang w:val="en-GB"/>
              </w:rPr>
              <w:t xml:space="preserve">money that a student pays to the University for their teaching. Eligible students may borrow from the Student Loans Company to pay their tuition </w:t>
            </w:r>
            <w:r w:rsidR="00112F92" w:rsidRPr="00731A98">
              <w:rPr>
                <w:i w:val="0"/>
                <w:iCs w:val="0"/>
                <w:sz w:val="24"/>
                <w:szCs w:val="24"/>
                <w:lang w:val="en-GB"/>
              </w:rPr>
              <w:t>fees</w:t>
            </w:r>
            <w:r w:rsidDel="00720042">
              <w:rPr>
                <w:i w:val="0"/>
                <w:iCs w:val="0"/>
                <w:sz w:val="24"/>
                <w:szCs w:val="24"/>
                <w:lang w:val="en-GB"/>
              </w:rPr>
              <w:t xml:space="preserve"> </w:t>
            </w:r>
          </w:p>
          <w:p w14:paraId="126D45FF" w14:textId="77777777" w:rsidR="00731A98" w:rsidRPr="00112F92" w:rsidRDefault="00731A98" w:rsidP="00731A98">
            <w:pPr>
              <w:pStyle w:val="BodyText"/>
              <w:spacing w:line="276" w:lineRule="auto"/>
              <w:jc w:val="both"/>
              <w:cnfStyle w:val="000000100000" w:firstRow="0" w:lastRow="0" w:firstColumn="0" w:lastColumn="0" w:oddVBand="0" w:evenVBand="0" w:oddHBand="1" w:evenHBand="0" w:firstRowFirstColumn="0" w:firstRowLastColumn="0" w:lastRowFirstColumn="0" w:lastRowLastColumn="0"/>
              <w:rPr>
                <w:i w:val="0"/>
                <w:iCs w:val="0"/>
                <w:sz w:val="14"/>
                <w:szCs w:val="14"/>
                <w:lang w:val="en-GB"/>
              </w:rPr>
            </w:pPr>
          </w:p>
        </w:tc>
      </w:tr>
      <w:tr w:rsidR="006D7A4E" w:rsidRPr="009259D4" w14:paraId="16A6768A" w14:textId="77777777" w:rsidTr="00785131">
        <w:trPr>
          <w:trHeight w:val="388"/>
        </w:trPr>
        <w:tc>
          <w:tcPr>
            <w:cnfStyle w:val="000010000000" w:firstRow="0" w:lastRow="0" w:firstColumn="0" w:lastColumn="0" w:oddVBand="1" w:evenVBand="0" w:oddHBand="0" w:evenHBand="0" w:firstRowFirstColumn="0" w:firstRowLastColumn="0" w:lastRowFirstColumn="0" w:lastRowLastColumn="0"/>
            <w:tcW w:w="3080" w:type="dxa"/>
          </w:tcPr>
          <w:p w14:paraId="618F7CD1" w14:textId="20437BB5" w:rsidR="006D7A4E" w:rsidRPr="00457AFC" w:rsidRDefault="006D7A4E" w:rsidP="006D7A4E">
            <w:r w:rsidRPr="00457AFC">
              <w:t>Withdrawal</w:t>
            </w:r>
          </w:p>
        </w:tc>
        <w:tc>
          <w:tcPr>
            <w:tcW w:w="6237" w:type="dxa"/>
          </w:tcPr>
          <w:p w14:paraId="57ED9CAE" w14:textId="77777777" w:rsidR="006D7A4E" w:rsidRDefault="006D7A4E" w:rsidP="006D7A4E">
            <w:pPr>
              <w:pStyle w:val="BodyText"/>
              <w:spacing w:line="276" w:lineRule="auto"/>
              <w:jc w:val="both"/>
              <w:cnfStyle w:val="000000000000" w:firstRow="0" w:lastRow="0" w:firstColumn="0" w:lastColumn="0" w:oddVBand="0" w:evenVBand="0" w:oddHBand="0" w:evenHBand="0" w:firstRowFirstColumn="0" w:firstRowLastColumn="0" w:lastRowFirstColumn="0" w:lastRowLastColumn="0"/>
              <w:rPr>
                <w:i w:val="0"/>
                <w:iCs w:val="0"/>
                <w:sz w:val="24"/>
                <w:szCs w:val="24"/>
                <w:lang w:val="en-GB"/>
              </w:rPr>
            </w:pPr>
            <w:r w:rsidRPr="00731A98">
              <w:rPr>
                <w:i w:val="0"/>
                <w:iCs w:val="0"/>
                <w:sz w:val="24"/>
                <w:szCs w:val="24"/>
                <w:lang w:val="en-GB"/>
              </w:rPr>
              <w:t>the permanent cessation of study and termination of a student’s registration with the University. This may be initiated by the student or the University</w:t>
            </w:r>
            <w:r w:rsidRPr="00731A98" w:rsidDel="00731A98">
              <w:rPr>
                <w:i w:val="0"/>
                <w:iCs w:val="0"/>
                <w:sz w:val="24"/>
                <w:szCs w:val="24"/>
                <w:lang w:val="en-GB"/>
              </w:rPr>
              <w:t xml:space="preserve"> </w:t>
            </w:r>
          </w:p>
          <w:p w14:paraId="58B44420" w14:textId="77777777" w:rsidR="006D7A4E" w:rsidRPr="00731A98" w:rsidRDefault="006D7A4E" w:rsidP="006D7A4E">
            <w:pPr>
              <w:pStyle w:val="BodyText"/>
              <w:spacing w:line="276" w:lineRule="auto"/>
              <w:jc w:val="both"/>
              <w:cnfStyle w:val="000000000000" w:firstRow="0" w:lastRow="0" w:firstColumn="0" w:lastColumn="0" w:oddVBand="0" w:evenVBand="0" w:oddHBand="0" w:evenHBand="0" w:firstRowFirstColumn="0" w:firstRowLastColumn="0" w:lastRowFirstColumn="0" w:lastRowLastColumn="0"/>
              <w:rPr>
                <w:i w:val="0"/>
                <w:iCs w:val="0"/>
                <w:sz w:val="24"/>
                <w:szCs w:val="24"/>
                <w:lang w:val="en-GB"/>
              </w:rPr>
            </w:pPr>
          </w:p>
        </w:tc>
      </w:tr>
      <w:tr w:rsidR="006D7A4E" w:rsidRPr="009259D4" w14:paraId="4CDD7FC2" w14:textId="77777777" w:rsidTr="00785131">
        <w:trPr>
          <w:cnfStyle w:val="000000100000" w:firstRow="0" w:lastRow="0" w:firstColumn="0" w:lastColumn="0" w:oddVBand="0" w:evenVBand="0" w:oddHBand="1" w:evenHBand="0" w:firstRowFirstColumn="0" w:firstRowLastColumn="0" w:lastRowFirstColumn="0" w:lastRowLastColumn="0"/>
          <w:trHeight w:val="388"/>
        </w:trPr>
        <w:tc>
          <w:tcPr>
            <w:cnfStyle w:val="000010000000" w:firstRow="0" w:lastRow="0" w:firstColumn="0" w:lastColumn="0" w:oddVBand="1" w:evenVBand="0" w:oddHBand="0" w:evenHBand="0" w:firstRowFirstColumn="0" w:firstRowLastColumn="0" w:lastRowFirstColumn="0" w:lastRowLastColumn="0"/>
            <w:tcW w:w="3080" w:type="dxa"/>
          </w:tcPr>
          <w:p w14:paraId="563382D4" w14:textId="201DD227" w:rsidR="006D7A4E" w:rsidRPr="00457AFC" w:rsidRDefault="006D7A4E" w:rsidP="006D7A4E">
            <w:r w:rsidRPr="00457AFC">
              <w:t>Working days</w:t>
            </w:r>
          </w:p>
        </w:tc>
        <w:tc>
          <w:tcPr>
            <w:tcW w:w="6237" w:type="dxa"/>
          </w:tcPr>
          <w:p w14:paraId="112ED63C" w14:textId="6B6FC5FD" w:rsidR="006D7A4E" w:rsidRPr="00112F92" w:rsidRDefault="006D7A4E" w:rsidP="006D7A4E">
            <w:pPr>
              <w:pStyle w:val="BodyText"/>
              <w:spacing w:line="276" w:lineRule="auto"/>
              <w:jc w:val="both"/>
              <w:cnfStyle w:val="000000100000" w:firstRow="0" w:lastRow="0" w:firstColumn="0" w:lastColumn="0" w:oddVBand="0" w:evenVBand="0" w:oddHBand="1" w:evenHBand="0" w:firstRowFirstColumn="0" w:firstRowLastColumn="0" w:lastRowFirstColumn="0" w:lastRowLastColumn="0"/>
              <w:rPr>
                <w:i w:val="0"/>
                <w:iCs w:val="0"/>
                <w:sz w:val="16"/>
                <w:szCs w:val="16"/>
                <w:lang w:val="en-GB"/>
              </w:rPr>
            </w:pPr>
            <w:r w:rsidRPr="006D7A4E">
              <w:rPr>
                <w:i w:val="0"/>
                <w:iCs w:val="0"/>
                <w:sz w:val="24"/>
                <w:szCs w:val="24"/>
                <w:lang w:val="en-GB"/>
              </w:rPr>
              <w:t>the official days the University is open, normally Monday to Friday and excludes statutory holidays and any concessionary days e.g. when the University is closed between Christmas and new year</w:t>
            </w:r>
            <w:r>
              <w:rPr>
                <w:szCs w:val="24"/>
              </w:rPr>
              <w:t xml:space="preserve"> </w:t>
            </w:r>
          </w:p>
        </w:tc>
      </w:tr>
    </w:tbl>
    <w:p w14:paraId="3AC419D1" w14:textId="77777777" w:rsidR="00962651" w:rsidRPr="005E4730" w:rsidRDefault="00962651" w:rsidP="00962651">
      <w:pPr>
        <w:rPr>
          <w:sz w:val="12"/>
          <w:szCs w:val="10"/>
        </w:rPr>
      </w:pPr>
    </w:p>
    <w:p w14:paraId="76E9B06B" w14:textId="3F47CA23" w:rsidR="00B86B25" w:rsidRPr="001602F5" w:rsidRDefault="00B86B25" w:rsidP="00D84C7A">
      <w:pPr>
        <w:pStyle w:val="Heading1"/>
      </w:pPr>
      <w:bookmarkStart w:id="4" w:name="_Toc139362101"/>
      <w:r w:rsidRPr="001602F5">
        <w:lastRenderedPageBreak/>
        <w:t>Purpose</w:t>
      </w:r>
      <w:bookmarkEnd w:id="4"/>
      <w:r w:rsidRPr="001602F5">
        <w:t xml:space="preserve"> </w:t>
      </w:r>
    </w:p>
    <w:p w14:paraId="5FA0B011" w14:textId="3C4A3AEB" w:rsidR="001602F5" w:rsidRPr="009259D4" w:rsidRDefault="001602F5" w:rsidP="006E7550">
      <w:pPr>
        <w:spacing w:after="0"/>
      </w:pPr>
      <w:r w:rsidRPr="001602F5">
        <w:t xml:space="preserve">The purpose of this document is to set out how requests to </w:t>
      </w:r>
      <w:r>
        <w:t>repeat a year</w:t>
      </w:r>
      <w:r w:rsidRPr="001602F5">
        <w:t xml:space="preserve"> should be made and considered. It is for staff so that they are aware of the process to follow, and for students so that there is complete transparency about the University’s approach.</w:t>
      </w:r>
      <w:r w:rsidRPr="009259D4">
        <w:t xml:space="preserve">  </w:t>
      </w:r>
    </w:p>
    <w:p w14:paraId="78DB99F5" w14:textId="77FA6738" w:rsidR="00B86B25" w:rsidRDefault="00016690" w:rsidP="00D84C7A">
      <w:pPr>
        <w:pStyle w:val="Heading1"/>
      </w:pPr>
      <w:bookmarkStart w:id="5" w:name="_Toc139362102"/>
      <w:r>
        <w:t>Regulations</w:t>
      </w:r>
      <w:bookmarkEnd w:id="5"/>
    </w:p>
    <w:p w14:paraId="5C56D949" w14:textId="77777777" w:rsidR="000C5FAF" w:rsidRPr="000C5FAF" w:rsidRDefault="000C5FAF" w:rsidP="000C5FAF"/>
    <w:p w14:paraId="17B1F181" w14:textId="3F14D06F" w:rsidR="00EC5A64" w:rsidRPr="00DD365C" w:rsidRDefault="008756C9" w:rsidP="00DD365C">
      <w:pPr>
        <w:pStyle w:val="Heading2"/>
        <w:numPr>
          <w:ilvl w:val="0"/>
          <w:numId w:val="10"/>
        </w:numPr>
      </w:pPr>
      <w:bookmarkStart w:id="6" w:name="_Toc139362103"/>
      <w:r w:rsidRPr="00C36DB6">
        <w:t>Principles</w:t>
      </w:r>
      <w:bookmarkEnd w:id="6"/>
    </w:p>
    <w:p w14:paraId="3335A90D" w14:textId="77777777" w:rsidR="00EC5A64" w:rsidRPr="00FA29CE" w:rsidRDefault="00EC5A64" w:rsidP="00DD365C">
      <w:pPr>
        <w:pStyle w:val="BodyText"/>
        <w:jc w:val="both"/>
        <w:rPr>
          <w:i w:val="0"/>
          <w:sz w:val="36"/>
          <w:szCs w:val="36"/>
          <w:lang w:val="en-GB"/>
        </w:rPr>
      </w:pPr>
    </w:p>
    <w:p w14:paraId="60F5C669" w14:textId="7758752F" w:rsidR="00EC5A64" w:rsidRPr="002B0E73" w:rsidRDefault="00EC5A64" w:rsidP="00442C96">
      <w:pPr>
        <w:pStyle w:val="BodyText"/>
        <w:numPr>
          <w:ilvl w:val="0"/>
          <w:numId w:val="5"/>
        </w:numPr>
        <w:spacing w:line="276" w:lineRule="auto"/>
        <w:ind w:left="993" w:hanging="861"/>
        <w:jc w:val="both"/>
        <w:rPr>
          <w:i w:val="0"/>
          <w:sz w:val="24"/>
          <w:szCs w:val="24"/>
          <w:lang w:val="en-GB"/>
        </w:rPr>
      </w:pPr>
      <w:r w:rsidRPr="002B0E73">
        <w:rPr>
          <w:i w:val="0"/>
          <w:iCs w:val="0"/>
          <w:sz w:val="24"/>
          <w:szCs w:val="24"/>
          <w:lang w:val="en-GB"/>
        </w:rPr>
        <w:t xml:space="preserve">The repeat year scheme </w:t>
      </w:r>
      <w:r>
        <w:rPr>
          <w:i w:val="0"/>
          <w:iCs w:val="0"/>
          <w:sz w:val="24"/>
          <w:szCs w:val="24"/>
          <w:lang w:val="en-GB"/>
        </w:rPr>
        <w:t xml:space="preserve">is for full time students </w:t>
      </w:r>
      <w:r w:rsidR="00BE294D">
        <w:rPr>
          <w:i w:val="0"/>
          <w:iCs w:val="0"/>
          <w:sz w:val="24"/>
          <w:szCs w:val="24"/>
          <w:lang w:val="en-GB"/>
        </w:rPr>
        <w:t xml:space="preserve">seeking to repeat a year as for the first time. </w:t>
      </w:r>
    </w:p>
    <w:p w14:paraId="4FC98867" w14:textId="77777777" w:rsidR="00EC5A64" w:rsidRPr="00B30DCA" w:rsidRDefault="00EC5A64" w:rsidP="00442C96">
      <w:pPr>
        <w:pStyle w:val="BodyText"/>
        <w:spacing w:line="276" w:lineRule="auto"/>
        <w:ind w:left="993" w:hanging="861"/>
        <w:jc w:val="both"/>
        <w:rPr>
          <w:i w:val="0"/>
          <w:sz w:val="24"/>
          <w:szCs w:val="24"/>
          <w:lang w:val="en-GB"/>
        </w:rPr>
      </w:pPr>
    </w:p>
    <w:p w14:paraId="42E4B404" w14:textId="0E9AE986" w:rsidR="00C37686" w:rsidRPr="00DD365C" w:rsidRDefault="002E5BA5" w:rsidP="00442C96">
      <w:pPr>
        <w:pStyle w:val="BodyText"/>
        <w:numPr>
          <w:ilvl w:val="0"/>
          <w:numId w:val="5"/>
        </w:numPr>
        <w:spacing w:line="276" w:lineRule="auto"/>
        <w:ind w:left="993" w:hanging="861"/>
        <w:jc w:val="both"/>
        <w:rPr>
          <w:i w:val="0"/>
          <w:sz w:val="24"/>
          <w:szCs w:val="24"/>
          <w:lang w:val="en-GB"/>
        </w:rPr>
      </w:pPr>
      <w:r w:rsidRPr="002E5BA5">
        <w:rPr>
          <w:i w:val="0"/>
          <w:iCs w:val="0"/>
          <w:sz w:val="24"/>
          <w:szCs w:val="24"/>
        </w:rPr>
        <w:t>Under ordinary conditions the University expects students to complete their programme in a single continuous period.</w:t>
      </w:r>
      <w:r w:rsidRPr="00F95BFF">
        <w:rPr>
          <w:szCs w:val="24"/>
        </w:rPr>
        <w:t xml:space="preserve">  </w:t>
      </w:r>
      <w:r w:rsidR="00C37686" w:rsidRPr="00DD365C">
        <w:rPr>
          <w:i w:val="0"/>
          <w:sz w:val="24"/>
          <w:szCs w:val="24"/>
          <w:lang w:val="en-GB"/>
        </w:rPr>
        <w:t xml:space="preserve">Reasons for </w:t>
      </w:r>
      <w:r w:rsidR="0023580A" w:rsidRPr="00DD365C">
        <w:rPr>
          <w:i w:val="0"/>
          <w:sz w:val="24"/>
          <w:szCs w:val="24"/>
          <w:lang w:val="en-GB"/>
        </w:rPr>
        <w:t>r</w:t>
      </w:r>
      <w:r w:rsidR="00C37686" w:rsidRPr="00DD365C">
        <w:rPr>
          <w:i w:val="0"/>
          <w:sz w:val="24"/>
          <w:szCs w:val="24"/>
          <w:lang w:val="en-GB"/>
        </w:rPr>
        <w:t xml:space="preserve">epeating the year will </w:t>
      </w:r>
      <w:r w:rsidR="00C37686" w:rsidRPr="003E5F92">
        <w:rPr>
          <w:i w:val="0"/>
          <w:sz w:val="24"/>
          <w:szCs w:val="24"/>
          <w:lang w:val="en-GB"/>
        </w:rPr>
        <w:t>normally be in relation to matters of a serious personal, medical or financial kind.</w:t>
      </w:r>
      <w:r w:rsidR="003E5F92" w:rsidRPr="003E5F92">
        <w:rPr>
          <w:i w:val="0"/>
          <w:sz w:val="24"/>
          <w:szCs w:val="24"/>
          <w:lang w:val="en-GB"/>
        </w:rPr>
        <w:t xml:space="preserve"> </w:t>
      </w:r>
      <w:r w:rsidR="003E5F92" w:rsidRPr="003E5F92">
        <w:rPr>
          <w:i w:val="0"/>
          <w:iCs w:val="0"/>
          <w:sz w:val="24"/>
          <w:szCs w:val="24"/>
        </w:rPr>
        <w:t>The University reserves the right to request that evidence is provided in support of any application to repeat the year.</w:t>
      </w:r>
    </w:p>
    <w:p w14:paraId="577F2A48" w14:textId="77777777" w:rsidR="00DD365C" w:rsidRPr="00B30DCA" w:rsidRDefault="00DD365C" w:rsidP="00442C96">
      <w:pPr>
        <w:pStyle w:val="BodyText"/>
        <w:spacing w:line="276" w:lineRule="auto"/>
        <w:ind w:left="993" w:hanging="861"/>
        <w:jc w:val="both"/>
        <w:rPr>
          <w:i w:val="0"/>
          <w:sz w:val="24"/>
          <w:szCs w:val="24"/>
          <w:lang w:val="en-GB"/>
        </w:rPr>
      </w:pPr>
    </w:p>
    <w:p w14:paraId="10BCA149" w14:textId="6AD78987" w:rsidR="00EC5A64" w:rsidRPr="00DD365C" w:rsidRDefault="00EC5A64" w:rsidP="00442C96">
      <w:pPr>
        <w:pStyle w:val="BodyText"/>
        <w:numPr>
          <w:ilvl w:val="0"/>
          <w:numId w:val="5"/>
        </w:numPr>
        <w:spacing w:line="276" w:lineRule="auto"/>
        <w:ind w:left="993" w:hanging="861"/>
        <w:jc w:val="both"/>
        <w:rPr>
          <w:i w:val="0"/>
          <w:color w:val="FF0000"/>
          <w:sz w:val="24"/>
          <w:szCs w:val="24"/>
          <w:lang w:val="en-GB"/>
        </w:rPr>
      </w:pPr>
      <w:r w:rsidRPr="00DD365C">
        <w:rPr>
          <w:i w:val="0"/>
          <w:sz w:val="24"/>
          <w:szCs w:val="24"/>
          <w:lang w:val="en-GB"/>
        </w:rPr>
        <w:t xml:space="preserve">Students who apply to repeat the same </w:t>
      </w:r>
      <w:r w:rsidR="00BE294D" w:rsidRPr="00DD365C">
        <w:rPr>
          <w:i w:val="0"/>
          <w:sz w:val="24"/>
          <w:szCs w:val="24"/>
          <w:lang w:val="en-GB"/>
        </w:rPr>
        <w:t>year</w:t>
      </w:r>
      <w:r w:rsidRPr="00DD365C">
        <w:rPr>
          <w:i w:val="0"/>
          <w:sz w:val="24"/>
          <w:szCs w:val="24"/>
          <w:lang w:val="en-GB"/>
        </w:rPr>
        <w:t xml:space="preserve"> but transfer to a new programme </w:t>
      </w:r>
      <w:r w:rsidRPr="00BE294D">
        <w:rPr>
          <w:i w:val="0"/>
          <w:sz w:val="24"/>
          <w:szCs w:val="24"/>
          <w:lang w:val="en-GB"/>
        </w:rPr>
        <w:t xml:space="preserve">of study </w:t>
      </w:r>
      <w:r w:rsidR="00DD365C">
        <w:rPr>
          <w:i w:val="0"/>
          <w:sz w:val="24"/>
          <w:szCs w:val="24"/>
          <w:lang w:val="en-GB"/>
        </w:rPr>
        <w:t>must meet the entry requirements of the new programme</w:t>
      </w:r>
      <w:r w:rsidR="001B3831">
        <w:rPr>
          <w:i w:val="0"/>
          <w:sz w:val="24"/>
          <w:szCs w:val="24"/>
          <w:lang w:val="en-GB"/>
        </w:rPr>
        <w:t>.</w:t>
      </w:r>
      <w:r w:rsidR="00DD365C">
        <w:rPr>
          <w:i w:val="0"/>
          <w:sz w:val="24"/>
          <w:szCs w:val="24"/>
          <w:lang w:val="en-GB"/>
        </w:rPr>
        <w:t xml:space="preserve"> </w:t>
      </w:r>
    </w:p>
    <w:p w14:paraId="502A5C36" w14:textId="77777777" w:rsidR="00BE294D" w:rsidRPr="00B30DCA" w:rsidRDefault="00BE294D" w:rsidP="00442C96">
      <w:pPr>
        <w:pStyle w:val="BodyText"/>
        <w:spacing w:line="276" w:lineRule="auto"/>
        <w:ind w:left="993" w:hanging="861"/>
        <w:jc w:val="both"/>
        <w:rPr>
          <w:i w:val="0"/>
          <w:color w:val="FF0000"/>
          <w:sz w:val="24"/>
          <w:szCs w:val="24"/>
          <w:lang w:val="en-GB"/>
        </w:rPr>
      </w:pPr>
    </w:p>
    <w:p w14:paraId="2F842B7D" w14:textId="77777777" w:rsidR="00EC5A64" w:rsidRPr="002B0E73" w:rsidRDefault="00EC5A64" w:rsidP="00442C96">
      <w:pPr>
        <w:pStyle w:val="BodyText"/>
        <w:numPr>
          <w:ilvl w:val="0"/>
          <w:numId w:val="5"/>
        </w:numPr>
        <w:spacing w:line="276" w:lineRule="auto"/>
        <w:ind w:left="993" w:hanging="861"/>
        <w:jc w:val="both"/>
        <w:rPr>
          <w:i w:val="0"/>
          <w:sz w:val="24"/>
          <w:szCs w:val="24"/>
          <w:lang w:val="en-GB"/>
        </w:rPr>
      </w:pPr>
      <w:r w:rsidRPr="002B0E73">
        <w:rPr>
          <w:i w:val="0"/>
          <w:sz w:val="24"/>
          <w:szCs w:val="24"/>
          <w:lang w:val="en-GB"/>
        </w:rPr>
        <w:t>Where a repeat year is approved, all modules/module assessments from that year must be repeated.  No marks, or elements of marks, will carry over from a previous attempt</w:t>
      </w:r>
      <w:r>
        <w:rPr>
          <w:i w:val="0"/>
          <w:sz w:val="24"/>
          <w:szCs w:val="24"/>
          <w:lang w:val="en-GB"/>
        </w:rPr>
        <w:t>, even if the student performed better first-time round</w:t>
      </w:r>
      <w:r w:rsidRPr="002B0E73">
        <w:rPr>
          <w:i w:val="0"/>
          <w:sz w:val="24"/>
          <w:szCs w:val="24"/>
          <w:lang w:val="en-GB"/>
        </w:rPr>
        <w:t xml:space="preserve">.  </w:t>
      </w:r>
    </w:p>
    <w:p w14:paraId="7C8521B3" w14:textId="77777777" w:rsidR="00EC5A64" w:rsidRPr="00B30DCA" w:rsidRDefault="00EC5A64" w:rsidP="00442C96">
      <w:pPr>
        <w:pStyle w:val="BodyText"/>
        <w:spacing w:line="276" w:lineRule="auto"/>
        <w:ind w:left="993" w:hanging="861"/>
        <w:jc w:val="both"/>
        <w:rPr>
          <w:i w:val="0"/>
          <w:sz w:val="24"/>
          <w:szCs w:val="24"/>
          <w:lang w:val="en-GB"/>
        </w:rPr>
      </w:pPr>
    </w:p>
    <w:p w14:paraId="76160678" w14:textId="4CB66101" w:rsidR="00EC5A64" w:rsidRPr="00DD365C" w:rsidRDefault="00EC5A64" w:rsidP="00442C96">
      <w:pPr>
        <w:pStyle w:val="BodyText"/>
        <w:numPr>
          <w:ilvl w:val="0"/>
          <w:numId w:val="5"/>
        </w:numPr>
        <w:spacing w:line="276" w:lineRule="auto"/>
        <w:ind w:left="993" w:hanging="861"/>
        <w:jc w:val="both"/>
        <w:rPr>
          <w:i w:val="0"/>
          <w:sz w:val="24"/>
          <w:szCs w:val="24"/>
          <w:lang w:val="en-GB"/>
        </w:rPr>
      </w:pPr>
      <w:r>
        <w:rPr>
          <w:i w:val="0"/>
          <w:sz w:val="24"/>
          <w:szCs w:val="24"/>
          <w:lang w:val="en-GB"/>
        </w:rPr>
        <w:t>Students will be required to repeat core and/or compulsory modules.</w:t>
      </w:r>
      <w:r w:rsidR="00DD365C">
        <w:rPr>
          <w:i w:val="0"/>
          <w:sz w:val="24"/>
          <w:szCs w:val="24"/>
          <w:lang w:val="en-GB"/>
        </w:rPr>
        <w:t xml:space="preserve"> </w:t>
      </w:r>
      <w:r w:rsidRPr="00DD365C">
        <w:rPr>
          <w:i w:val="0"/>
          <w:sz w:val="24"/>
          <w:szCs w:val="24"/>
          <w:lang w:val="en-GB"/>
        </w:rPr>
        <w:t>Where</w:t>
      </w:r>
      <w:r w:rsidR="00DD365C" w:rsidRPr="00DD365C">
        <w:rPr>
          <w:i w:val="0"/>
          <w:sz w:val="24"/>
          <w:szCs w:val="24"/>
          <w:lang w:val="en-GB"/>
        </w:rPr>
        <w:t xml:space="preserve"> </w:t>
      </w:r>
      <w:r w:rsidRPr="00DD365C">
        <w:rPr>
          <w:i w:val="0"/>
          <w:sz w:val="24"/>
          <w:szCs w:val="24"/>
          <w:lang w:val="en-GB"/>
        </w:rPr>
        <w:t>programmes have optional modules, students may choose different    optional modules to the previous year.</w:t>
      </w:r>
    </w:p>
    <w:p w14:paraId="46031DF5" w14:textId="77777777" w:rsidR="00EC5A64" w:rsidRPr="00B30DCA" w:rsidRDefault="00EC5A64" w:rsidP="00442C96">
      <w:pPr>
        <w:pStyle w:val="BodyText"/>
        <w:spacing w:line="276" w:lineRule="auto"/>
        <w:ind w:left="993" w:hanging="861"/>
        <w:jc w:val="both"/>
        <w:rPr>
          <w:i w:val="0"/>
          <w:sz w:val="24"/>
          <w:szCs w:val="24"/>
          <w:lang w:val="en-GB"/>
        </w:rPr>
      </w:pPr>
    </w:p>
    <w:p w14:paraId="2B4C7F5A" w14:textId="00F51A11" w:rsidR="00B70644" w:rsidRDefault="00EC5A64" w:rsidP="00442C96">
      <w:pPr>
        <w:pStyle w:val="BodyText"/>
        <w:numPr>
          <w:ilvl w:val="0"/>
          <w:numId w:val="23"/>
        </w:numPr>
        <w:spacing w:line="276" w:lineRule="auto"/>
        <w:ind w:left="993" w:hanging="861"/>
        <w:jc w:val="both"/>
        <w:rPr>
          <w:i w:val="0"/>
          <w:sz w:val="24"/>
          <w:szCs w:val="24"/>
        </w:rPr>
      </w:pPr>
      <w:r w:rsidRPr="002B0E73">
        <w:rPr>
          <w:i w:val="0"/>
          <w:sz w:val="24"/>
          <w:szCs w:val="24"/>
        </w:rPr>
        <w:t xml:space="preserve">The opportunity to repeat a year is only available once within Stage II </w:t>
      </w:r>
      <w:r>
        <w:rPr>
          <w:i w:val="0"/>
          <w:sz w:val="24"/>
          <w:szCs w:val="24"/>
        </w:rPr>
        <w:t xml:space="preserve">(Level </w:t>
      </w:r>
      <w:r w:rsidR="00442C96">
        <w:rPr>
          <w:i w:val="0"/>
          <w:sz w:val="24"/>
          <w:szCs w:val="24"/>
        </w:rPr>
        <w:t xml:space="preserve">  </w:t>
      </w:r>
      <w:r>
        <w:rPr>
          <w:i w:val="0"/>
          <w:sz w:val="24"/>
          <w:szCs w:val="24"/>
        </w:rPr>
        <w:t xml:space="preserve">5 or 6) </w:t>
      </w:r>
      <w:r w:rsidRPr="002B0E73">
        <w:rPr>
          <w:i w:val="0"/>
          <w:sz w:val="24"/>
          <w:szCs w:val="24"/>
        </w:rPr>
        <w:t>of a staged programme or otherwise within the duration of a programme registration.</w:t>
      </w:r>
    </w:p>
    <w:p w14:paraId="1629AFDE" w14:textId="77777777" w:rsidR="00B70644" w:rsidRPr="00B30DCA" w:rsidRDefault="00B70644" w:rsidP="00442C96">
      <w:pPr>
        <w:pStyle w:val="BodyText"/>
        <w:spacing w:line="276" w:lineRule="auto"/>
        <w:ind w:left="993" w:hanging="861"/>
        <w:jc w:val="both"/>
        <w:rPr>
          <w:i w:val="0"/>
          <w:iCs w:val="0"/>
          <w:sz w:val="24"/>
          <w:szCs w:val="24"/>
        </w:rPr>
      </w:pPr>
    </w:p>
    <w:p w14:paraId="658F9721" w14:textId="6BEEA666" w:rsidR="00B70644" w:rsidRPr="00B70644" w:rsidRDefault="00B70644" w:rsidP="00442C96">
      <w:pPr>
        <w:pStyle w:val="BodyText"/>
        <w:numPr>
          <w:ilvl w:val="0"/>
          <w:numId w:val="23"/>
        </w:numPr>
        <w:spacing w:line="276" w:lineRule="auto"/>
        <w:ind w:left="993" w:hanging="861"/>
        <w:jc w:val="both"/>
        <w:rPr>
          <w:i w:val="0"/>
          <w:iCs w:val="0"/>
          <w:sz w:val="24"/>
          <w:szCs w:val="24"/>
        </w:rPr>
      </w:pPr>
      <w:r w:rsidRPr="00B70644">
        <w:rPr>
          <w:i w:val="0"/>
          <w:iCs w:val="0"/>
          <w:sz w:val="24"/>
          <w:szCs w:val="24"/>
        </w:rPr>
        <w:t xml:space="preserve">There may be circumstances when it is not feasible for the University to allow a student to </w:t>
      </w:r>
      <w:r w:rsidR="00741CE4">
        <w:rPr>
          <w:i w:val="0"/>
          <w:iCs w:val="0"/>
          <w:sz w:val="24"/>
          <w:szCs w:val="24"/>
        </w:rPr>
        <w:t>repeat the year</w:t>
      </w:r>
      <w:r w:rsidRPr="00B70644">
        <w:rPr>
          <w:i w:val="0"/>
          <w:iCs w:val="0"/>
          <w:sz w:val="24"/>
          <w:szCs w:val="24"/>
        </w:rPr>
        <w:t xml:space="preserve">. For example, </w:t>
      </w:r>
      <w:r w:rsidR="001B3831">
        <w:rPr>
          <w:i w:val="0"/>
          <w:iCs w:val="0"/>
          <w:sz w:val="24"/>
          <w:szCs w:val="24"/>
        </w:rPr>
        <w:t xml:space="preserve">there may not be any places available or </w:t>
      </w:r>
      <w:r w:rsidRPr="00B70644">
        <w:rPr>
          <w:i w:val="0"/>
          <w:iCs w:val="0"/>
          <w:sz w:val="24"/>
          <w:szCs w:val="24"/>
        </w:rPr>
        <w:t xml:space="preserve">there may be known changes that will impact on the University’s ability to offer that named award upon the student’s return. In these circumstances students will be offered advice on the options available so they can make an informed decision before applying to </w:t>
      </w:r>
      <w:r w:rsidR="00741CE4">
        <w:rPr>
          <w:i w:val="0"/>
          <w:iCs w:val="0"/>
          <w:sz w:val="24"/>
          <w:szCs w:val="24"/>
        </w:rPr>
        <w:t>repeat the year</w:t>
      </w:r>
      <w:r w:rsidRPr="00B70644">
        <w:rPr>
          <w:i w:val="0"/>
          <w:iCs w:val="0"/>
          <w:sz w:val="24"/>
          <w:szCs w:val="24"/>
        </w:rPr>
        <w:t>.</w:t>
      </w:r>
    </w:p>
    <w:p w14:paraId="70D813BB" w14:textId="2A0270DF" w:rsidR="00EC5A64" w:rsidRPr="00D70567" w:rsidRDefault="00EC5A64" w:rsidP="00DD365C">
      <w:pPr>
        <w:pStyle w:val="BodyText"/>
        <w:jc w:val="both"/>
        <w:rPr>
          <w:i w:val="0"/>
          <w:sz w:val="8"/>
          <w:szCs w:val="8"/>
          <w:lang w:val="en-GB"/>
        </w:rPr>
      </w:pPr>
    </w:p>
    <w:p w14:paraId="3AB0EA5D" w14:textId="77777777" w:rsidR="00DD365C" w:rsidRDefault="00DD365C" w:rsidP="00DD365C">
      <w:pPr>
        <w:pStyle w:val="BodyText"/>
        <w:jc w:val="both"/>
        <w:rPr>
          <w:i w:val="0"/>
          <w:sz w:val="24"/>
          <w:szCs w:val="24"/>
          <w:lang w:val="en-GB"/>
        </w:rPr>
      </w:pPr>
    </w:p>
    <w:p w14:paraId="1785E18A" w14:textId="0098C961" w:rsidR="00363096" w:rsidRDefault="00BE294D" w:rsidP="00363096">
      <w:pPr>
        <w:pStyle w:val="Heading2"/>
        <w:numPr>
          <w:ilvl w:val="0"/>
          <w:numId w:val="10"/>
        </w:numPr>
      </w:pPr>
      <w:bookmarkStart w:id="7" w:name="_Toc139362104"/>
      <w:r w:rsidRPr="00DD365C">
        <w:lastRenderedPageBreak/>
        <w:t>Definition of a Repeat Year</w:t>
      </w:r>
      <w:bookmarkEnd w:id="7"/>
    </w:p>
    <w:p w14:paraId="3B0488A6" w14:textId="77777777" w:rsidR="00BE294D" w:rsidRDefault="00BE294D" w:rsidP="00363096">
      <w:pPr>
        <w:pStyle w:val="BodyText"/>
        <w:rPr>
          <w:b/>
          <w:i w:val="0"/>
          <w:iCs w:val="0"/>
          <w:sz w:val="20"/>
          <w:szCs w:val="24"/>
          <w:lang w:val="en-GB"/>
        </w:rPr>
      </w:pPr>
    </w:p>
    <w:p w14:paraId="30F3E89E" w14:textId="77777777" w:rsidR="00363096" w:rsidRPr="00FF212B" w:rsidRDefault="00363096" w:rsidP="00363096">
      <w:pPr>
        <w:pStyle w:val="BodyText"/>
        <w:rPr>
          <w:b/>
          <w:i w:val="0"/>
          <w:iCs w:val="0"/>
          <w:sz w:val="20"/>
          <w:szCs w:val="24"/>
          <w:lang w:val="en-GB"/>
        </w:rPr>
      </w:pPr>
    </w:p>
    <w:p w14:paraId="37FB13C2" w14:textId="5587E082" w:rsidR="00BE294D" w:rsidRPr="002B0E73" w:rsidRDefault="00BE294D" w:rsidP="00442C96">
      <w:pPr>
        <w:pStyle w:val="BodyText"/>
        <w:numPr>
          <w:ilvl w:val="0"/>
          <w:numId w:val="9"/>
        </w:numPr>
        <w:spacing w:line="276" w:lineRule="auto"/>
        <w:ind w:left="1077" w:hanging="629"/>
        <w:jc w:val="both"/>
        <w:rPr>
          <w:i w:val="0"/>
          <w:iCs w:val="0"/>
          <w:sz w:val="24"/>
          <w:szCs w:val="24"/>
          <w:lang w:val="en-GB"/>
        </w:rPr>
      </w:pPr>
      <w:r w:rsidRPr="002B0E73">
        <w:rPr>
          <w:i w:val="0"/>
          <w:iCs w:val="0"/>
          <w:sz w:val="24"/>
          <w:szCs w:val="24"/>
          <w:lang w:val="en-GB"/>
        </w:rPr>
        <w:t xml:space="preserve">Repeat </w:t>
      </w:r>
      <w:r w:rsidR="008D77CD">
        <w:rPr>
          <w:i w:val="0"/>
          <w:iCs w:val="0"/>
          <w:sz w:val="24"/>
          <w:szCs w:val="24"/>
          <w:lang w:val="en-GB"/>
        </w:rPr>
        <w:t>y</w:t>
      </w:r>
      <w:r w:rsidRPr="002B0E73">
        <w:rPr>
          <w:i w:val="0"/>
          <w:iCs w:val="0"/>
          <w:sz w:val="24"/>
          <w:szCs w:val="24"/>
          <w:lang w:val="en-GB"/>
        </w:rPr>
        <w:t xml:space="preserve">ear describes the process by which a student is permitted to undertake a full year or level of study as if for the first time, despite having previously sat part or all of that year or level. </w:t>
      </w:r>
    </w:p>
    <w:p w14:paraId="3631CFF2" w14:textId="77777777" w:rsidR="00BE294D" w:rsidRPr="00DD6590" w:rsidRDefault="00BE294D" w:rsidP="00442C96">
      <w:pPr>
        <w:pStyle w:val="BodyText"/>
        <w:spacing w:line="276" w:lineRule="auto"/>
        <w:ind w:left="1560"/>
        <w:jc w:val="both"/>
        <w:rPr>
          <w:i w:val="0"/>
          <w:iCs w:val="0"/>
          <w:sz w:val="16"/>
          <w:szCs w:val="16"/>
          <w:lang w:val="en-GB"/>
        </w:rPr>
      </w:pPr>
    </w:p>
    <w:p w14:paraId="6042932B" w14:textId="77777777" w:rsidR="00DB68A2" w:rsidRPr="00B30DCA" w:rsidRDefault="00DB68A2" w:rsidP="00442C96">
      <w:pPr>
        <w:pStyle w:val="BodyText"/>
        <w:spacing w:line="276" w:lineRule="auto"/>
        <w:ind w:left="1560"/>
        <w:jc w:val="both"/>
        <w:rPr>
          <w:i w:val="0"/>
          <w:iCs w:val="0"/>
          <w:sz w:val="8"/>
          <w:szCs w:val="8"/>
          <w:lang w:val="en-GB"/>
        </w:rPr>
      </w:pPr>
    </w:p>
    <w:p w14:paraId="1F4A1970" w14:textId="2DF82CDB" w:rsidR="00363096" w:rsidRPr="00442C96" w:rsidRDefault="00BE294D" w:rsidP="00FA29CE">
      <w:pPr>
        <w:pStyle w:val="BodyText"/>
        <w:numPr>
          <w:ilvl w:val="0"/>
          <w:numId w:val="9"/>
        </w:numPr>
        <w:spacing w:line="276" w:lineRule="auto"/>
        <w:ind w:left="1077" w:hanging="629"/>
        <w:jc w:val="both"/>
        <w:rPr>
          <w:rFonts w:eastAsiaTheme="minorHAnsi"/>
          <w:bCs/>
          <w:i w:val="0"/>
          <w:iCs w:val="0"/>
          <w:sz w:val="24"/>
          <w:szCs w:val="24"/>
          <w:lang w:val="en-GB"/>
        </w:rPr>
      </w:pPr>
      <w:r w:rsidRPr="00015EB1">
        <w:rPr>
          <w:rFonts w:eastAsiaTheme="minorHAnsi"/>
          <w:bCs/>
          <w:i w:val="0"/>
          <w:iCs w:val="0"/>
          <w:sz w:val="24"/>
          <w:szCs w:val="24"/>
          <w:lang w:val="en-GB"/>
        </w:rPr>
        <w:t xml:space="preserve">Students may apply for a </w:t>
      </w:r>
      <w:r w:rsidR="00466E0C" w:rsidRPr="00015EB1">
        <w:rPr>
          <w:rFonts w:eastAsiaTheme="minorHAnsi"/>
          <w:bCs/>
          <w:i w:val="0"/>
          <w:iCs w:val="0"/>
          <w:sz w:val="24"/>
          <w:szCs w:val="24"/>
          <w:lang w:val="en-GB"/>
        </w:rPr>
        <w:t>r</w:t>
      </w:r>
      <w:r w:rsidRPr="00015EB1">
        <w:rPr>
          <w:rFonts w:eastAsiaTheme="minorHAnsi"/>
          <w:bCs/>
          <w:i w:val="0"/>
          <w:iCs w:val="0"/>
          <w:sz w:val="24"/>
          <w:szCs w:val="24"/>
          <w:lang w:val="en-GB"/>
        </w:rPr>
        <w:t xml:space="preserve">epeat </w:t>
      </w:r>
      <w:r w:rsidR="00466E0C" w:rsidRPr="00015EB1">
        <w:rPr>
          <w:rFonts w:eastAsiaTheme="minorHAnsi"/>
          <w:bCs/>
          <w:i w:val="0"/>
          <w:iCs w:val="0"/>
          <w:sz w:val="24"/>
          <w:szCs w:val="24"/>
          <w:lang w:val="en-GB"/>
        </w:rPr>
        <w:t>y</w:t>
      </w:r>
      <w:r w:rsidRPr="00015EB1">
        <w:rPr>
          <w:rFonts w:eastAsiaTheme="minorHAnsi"/>
          <w:bCs/>
          <w:i w:val="0"/>
          <w:iCs w:val="0"/>
          <w:sz w:val="24"/>
          <w:szCs w:val="24"/>
          <w:lang w:val="en-GB"/>
        </w:rPr>
        <w:t>ear after the fourth week of teaching for the year/level.</w:t>
      </w:r>
      <w:r w:rsidR="007333F3" w:rsidRPr="00015EB1">
        <w:rPr>
          <w:rFonts w:eastAsiaTheme="minorHAnsi"/>
          <w:bCs/>
          <w:i w:val="0"/>
          <w:iCs w:val="0"/>
          <w:sz w:val="24"/>
          <w:szCs w:val="24"/>
          <w:lang w:val="en-GB"/>
        </w:rPr>
        <w:t xml:space="preserve"> Students who </w:t>
      </w:r>
      <w:r w:rsidR="0015563E" w:rsidRPr="00015EB1">
        <w:rPr>
          <w:rFonts w:eastAsiaTheme="minorHAnsi"/>
          <w:bCs/>
          <w:i w:val="0"/>
          <w:iCs w:val="0"/>
          <w:sz w:val="24"/>
          <w:szCs w:val="24"/>
          <w:lang w:val="en-GB"/>
        </w:rPr>
        <w:t xml:space="preserve">stop engaging in the first four weeks and </w:t>
      </w:r>
      <w:r w:rsidR="007333F3" w:rsidRPr="00015EB1">
        <w:rPr>
          <w:rFonts w:eastAsiaTheme="minorHAnsi"/>
          <w:bCs/>
          <w:i w:val="0"/>
          <w:iCs w:val="0"/>
          <w:sz w:val="24"/>
          <w:szCs w:val="24"/>
          <w:lang w:val="en-GB"/>
        </w:rPr>
        <w:t xml:space="preserve">wish to </w:t>
      </w:r>
      <w:r w:rsidR="0015563E" w:rsidRPr="00015EB1">
        <w:rPr>
          <w:rFonts w:eastAsiaTheme="minorHAnsi"/>
          <w:bCs/>
          <w:i w:val="0"/>
          <w:iCs w:val="0"/>
          <w:sz w:val="24"/>
          <w:szCs w:val="24"/>
          <w:lang w:val="en-GB"/>
        </w:rPr>
        <w:t xml:space="preserve">repeat the year </w:t>
      </w:r>
      <w:r w:rsidR="007333F3" w:rsidRPr="00015EB1">
        <w:rPr>
          <w:rFonts w:eastAsiaTheme="minorHAnsi"/>
          <w:bCs/>
          <w:i w:val="0"/>
          <w:iCs w:val="0"/>
          <w:sz w:val="24"/>
          <w:szCs w:val="24"/>
          <w:lang w:val="en-GB"/>
        </w:rPr>
        <w:t xml:space="preserve">should refer to </w:t>
      </w:r>
      <w:r w:rsidR="0033217D" w:rsidRPr="00015EB1">
        <w:rPr>
          <w:rFonts w:eastAsiaTheme="minorHAnsi"/>
          <w:bCs/>
          <w:i w:val="0"/>
          <w:iCs w:val="0"/>
          <w:sz w:val="24"/>
          <w:szCs w:val="24"/>
          <w:lang w:val="en-GB"/>
        </w:rPr>
        <w:t>Appendix 9:</w:t>
      </w:r>
      <w:r w:rsidR="007333F3" w:rsidRPr="00015EB1">
        <w:rPr>
          <w:rFonts w:eastAsiaTheme="minorHAnsi"/>
          <w:bCs/>
          <w:i w:val="0"/>
          <w:iCs w:val="0"/>
          <w:sz w:val="24"/>
          <w:szCs w:val="24"/>
          <w:lang w:val="en-GB"/>
        </w:rPr>
        <w:t xml:space="preserve"> Interruption </w:t>
      </w:r>
      <w:r w:rsidR="0033217D" w:rsidRPr="00015EB1">
        <w:rPr>
          <w:rFonts w:eastAsiaTheme="minorHAnsi"/>
          <w:bCs/>
          <w:i w:val="0"/>
          <w:iCs w:val="0"/>
          <w:sz w:val="24"/>
          <w:szCs w:val="24"/>
          <w:lang w:val="en-GB"/>
        </w:rPr>
        <w:t>P</w:t>
      </w:r>
      <w:r w:rsidR="007333F3" w:rsidRPr="00015EB1">
        <w:rPr>
          <w:rFonts w:eastAsiaTheme="minorHAnsi"/>
          <w:bCs/>
          <w:i w:val="0"/>
          <w:iCs w:val="0"/>
          <w:sz w:val="24"/>
          <w:szCs w:val="24"/>
          <w:lang w:val="en-GB"/>
        </w:rPr>
        <w:t>olicy</w:t>
      </w:r>
      <w:r w:rsidR="007333F3" w:rsidRPr="00442C96">
        <w:rPr>
          <w:rFonts w:eastAsiaTheme="minorHAnsi"/>
          <w:bCs/>
          <w:i w:val="0"/>
          <w:iCs w:val="0"/>
          <w:sz w:val="24"/>
          <w:szCs w:val="24"/>
          <w:lang w:val="en-GB"/>
        </w:rPr>
        <w:t>.</w:t>
      </w:r>
      <w:r w:rsidRPr="00442C96">
        <w:rPr>
          <w:rFonts w:eastAsiaTheme="minorHAnsi"/>
          <w:bCs/>
          <w:i w:val="0"/>
          <w:iCs w:val="0"/>
          <w:sz w:val="24"/>
          <w:szCs w:val="24"/>
          <w:lang w:val="en-GB"/>
        </w:rPr>
        <w:t xml:space="preserve">  </w:t>
      </w:r>
    </w:p>
    <w:p w14:paraId="19668FA8" w14:textId="77777777" w:rsidR="00BE294D" w:rsidRPr="00FA29CE" w:rsidRDefault="00BE294D" w:rsidP="00BE294D">
      <w:pPr>
        <w:spacing w:after="0"/>
        <w:rPr>
          <w:rFonts w:cs="Arial"/>
          <w:b/>
          <w:sz w:val="32"/>
          <w:szCs w:val="32"/>
        </w:rPr>
      </w:pPr>
    </w:p>
    <w:p w14:paraId="79F18D65" w14:textId="1BA658BA" w:rsidR="00EC5A64" w:rsidRPr="00DD365C" w:rsidRDefault="00EC5A64" w:rsidP="00DD365C">
      <w:pPr>
        <w:pStyle w:val="Heading2"/>
        <w:numPr>
          <w:ilvl w:val="0"/>
          <w:numId w:val="10"/>
        </w:numPr>
      </w:pPr>
      <w:r w:rsidRPr="00DD365C">
        <w:t xml:space="preserve"> </w:t>
      </w:r>
      <w:bookmarkStart w:id="8" w:name="_Toc139362105"/>
      <w:r w:rsidRPr="00DD365C">
        <w:t>Application process</w:t>
      </w:r>
      <w:bookmarkEnd w:id="8"/>
    </w:p>
    <w:p w14:paraId="42CA5D52" w14:textId="77777777" w:rsidR="00EC5A64" w:rsidRPr="00363096" w:rsidRDefault="00EC5A64" w:rsidP="00363096">
      <w:pPr>
        <w:spacing w:after="0"/>
        <w:rPr>
          <w:rFonts w:cs="Arial"/>
          <w:b/>
          <w:szCs w:val="24"/>
        </w:rPr>
      </w:pPr>
    </w:p>
    <w:p w14:paraId="3EED8340" w14:textId="77777777" w:rsidR="00363096" w:rsidRPr="00515981" w:rsidRDefault="00363096" w:rsidP="00363096">
      <w:pPr>
        <w:spacing w:after="0"/>
        <w:rPr>
          <w:rFonts w:cs="Arial"/>
          <w:b/>
          <w:sz w:val="12"/>
          <w:szCs w:val="12"/>
        </w:rPr>
      </w:pPr>
    </w:p>
    <w:p w14:paraId="686AE67B" w14:textId="03A8D16E" w:rsidR="00EC5A64" w:rsidRPr="00F95BFF" w:rsidRDefault="00EC5A64" w:rsidP="00442C96">
      <w:pPr>
        <w:pStyle w:val="ListParagraph"/>
        <w:numPr>
          <w:ilvl w:val="0"/>
          <w:numId w:val="7"/>
        </w:numPr>
        <w:spacing w:after="0"/>
        <w:ind w:left="1077"/>
        <w:contextualSpacing w:val="0"/>
        <w:rPr>
          <w:rFonts w:cs="Arial"/>
          <w:bCs/>
          <w:szCs w:val="24"/>
        </w:rPr>
      </w:pPr>
      <w:r w:rsidRPr="00F95BFF">
        <w:rPr>
          <w:rFonts w:cs="Arial"/>
          <w:bCs/>
          <w:szCs w:val="24"/>
        </w:rPr>
        <w:t xml:space="preserve">The University expects students considering a </w:t>
      </w:r>
      <w:r>
        <w:rPr>
          <w:rFonts w:cs="Arial"/>
          <w:bCs/>
          <w:szCs w:val="24"/>
        </w:rPr>
        <w:t>repeat year</w:t>
      </w:r>
      <w:r w:rsidRPr="00F95BFF">
        <w:rPr>
          <w:rFonts w:cs="Arial"/>
          <w:bCs/>
          <w:szCs w:val="24"/>
        </w:rPr>
        <w:t xml:space="preserve"> to discuss their position with a member of staff. Advice and guidance on whether </w:t>
      </w:r>
      <w:r w:rsidR="00466E0C">
        <w:rPr>
          <w:rFonts w:cs="Arial"/>
          <w:bCs/>
          <w:szCs w:val="24"/>
        </w:rPr>
        <w:t xml:space="preserve">a </w:t>
      </w:r>
      <w:r>
        <w:rPr>
          <w:rFonts w:cs="Arial"/>
          <w:bCs/>
          <w:szCs w:val="24"/>
        </w:rPr>
        <w:t>repeat year</w:t>
      </w:r>
      <w:r w:rsidRPr="00F95BFF">
        <w:rPr>
          <w:rFonts w:cs="Arial"/>
          <w:bCs/>
          <w:szCs w:val="24"/>
        </w:rPr>
        <w:t xml:space="preserve"> is the most appropriate option from a personal, academic and financial perspective, can be obtained from a range of staff. This includes personal tutors, programme leaders and head of departments, the Students’ Union, Student Services and Academic Registry. </w:t>
      </w:r>
    </w:p>
    <w:p w14:paraId="6818F8C3" w14:textId="77777777" w:rsidR="00EC5A64" w:rsidRPr="00B30DCA" w:rsidRDefault="00EC5A64" w:rsidP="00442C96">
      <w:pPr>
        <w:pStyle w:val="ListParagraph"/>
        <w:ind w:left="1077"/>
        <w:rPr>
          <w:rFonts w:cs="Arial"/>
          <w:bCs/>
          <w:szCs w:val="24"/>
        </w:rPr>
      </w:pPr>
    </w:p>
    <w:p w14:paraId="210C4940" w14:textId="77777777" w:rsidR="00EC5A64" w:rsidRPr="00F95BFF" w:rsidRDefault="00EC5A64" w:rsidP="00442C96">
      <w:pPr>
        <w:pStyle w:val="ListParagraph"/>
        <w:ind w:left="1077"/>
        <w:rPr>
          <w:rFonts w:cs="Arial"/>
          <w:i/>
          <w:szCs w:val="24"/>
        </w:rPr>
      </w:pPr>
      <w:r w:rsidRPr="00F95BFF">
        <w:rPr>
          <w:rFonts w:cs="Arial"/>
          <w:bCs/>
          <w:szCs w:val="24"/>
        </w:rPr>
        <w:t>Students in receipt of Disability Support Allowance should contact the Student Services Inclusion team for detailed advice on funding and support arrangements</w:t>
      </w:r>
      <w:r w:rsidRPr="00F95BFF">
        <w:rPr>
          <w:rFonts w:cs="Arial"/>
          <w:bCs/>
          <w:i/>
          <w:szCs w:val="24"/>
        </w:rPr>
        <w:t xml:space="preserve">. </w:t>
      </w:r>
    </w:p>
    <w:p w14:paraId="6F62F21E" w14:textId="77777777" w:rsidR="00EC5A64" w:rsidRPr="00B30DCA" w:rsidRDefault="00EC5A64" w:rsidP="00442C96">
      <w:pPr>
        <w:pStyle w:val="ListParagraph"/>
        <w:ind w:left="1077"/>
        <w:rPr>
          <w:rFonts w:cs="Arial"/>
          <w:b/>
          <w:bCs/>
          <w:szCs w:val="24"/>
        </w:rPr>
      </w:pPr>
    </w:p>
    <w:p w14:paraId="508CEBB2" w14:textId="5A7EF7A3" w:rsidR="0048144C" w:rsidRPr="00F95BFF" w:rsidRDefault="0048144C" w:rsidP="00442C96">
      <w:pPr>
        <w:pStyle w:val="ListParagraph"/>
        <w:numPr>
          <w:ilvl w:val="0"/>
          <w:numId w:val="7"/>
        </w:numPr>
        <w:spacing w:after="0"/>
        <w:ind w:left="1077"/>
        <w:contextualSpacing w:val="0"/>
        <w:rPr>
          <w:rFonts w:cs="Arial"/>
          <w:bCs/>
          <w:szCs w:val="24"/>
        </w:rPr>
      </w:pPr>
      <w:r w:rsidRPr="0048144C">
        <w:rPr>
          <w:rFonts w:cs="Arial"/>
          <w:bCs/>
          <w:szCs w:val="24"/>
        </w:rPr>
        <w:t>Applications to repeat the year must be submitted using the Repeat Year form, available from Academic Registry</w:t>
      </w:r>
      <w:r>
        <w:rPr>
          <w:rFonts w:cs="Arial"/>
          <w:bCs/>
          <w:szCs w:val="24"/>
        </w:rPr>
        <w:t xml:space="preserve">. The University will only accept a </w:t>
      </w:r>
      <w:r w:rsidR="006862F6">
        <w:rPr>
          <w:rFonts w:cs="Arial"/>
          <w:bCs/>
          <w:szCs w:val="24"/>
        </w:rPr>
        <w:t>r</w:t>
      </w:r>
      <w:r>
        <w:rPr>
          <w:rFonts w:cs="Arial"/>
          <w:bCs/>
          <w:szCs w:val="24"/>
        </w:rPr>
        <w:t xml:space="preserve">epeat </w:t>
      </w:r>
      <w:r w:rsidR="006862F6">
        <w:rPr>
          <w:rFonts w:cs="Arial"/>
          <w:bCs/>
          <w:szCs w:val="24"/>
        </w:rPr>
        <w:t>y</w:t>
      </w:r>
      <w:r>
        <w:rPr>
          <w:rFonts w:cs="Arial"/>
          <w:bCs/>
          <w:szCs w:val="24"/>
        </w:rPr>
        <w:t xml:space="preserve">ear application directly from a student and not from someone else on their </w:t>
      </w:r>
      <w:r w:rsidRPr="00F40AD5">
        <w:rPr>
          <w:rFonts w:cs="Arial"/>
          <w:bCs/>
          <w:szCs w:val="24"/>
        </w:rPr>
        <w:t xml:space="preserve">behalf. </w:t>
      </w:r>
      <w:bookmarkStart w:id="9" w:name="_Hlk141277702"/>
      <w:r w:rsidR="00F40AD5">
        <w:rPr>
          <w:rFonts w:cs="Arial"/>
          <w:bCs/>
          <w:szCs w:val="24"/>
        </w:rPr>
        <w:t>In cases w</w:t>
      </w:r>
      <w:r w:rsidR="00F40AD5" w:rsidRPr="00F40AD5">
        <w:rPr>
          <w:rFonts w:cs="Arial"/>
          <w:bCs/>
          <w:szCs w:val="24"/>
        </w:rPr>
        <w:t>here there are compelling mitigating circumstances, the Head of Academic Registry may agree to make an exception.</w:t>
      </w:r>
      <w:bookmarkEnd w:id="9"/>
      <w:r w:rsidR="00F40AD5" w:rsidRPr="00F40AD5">
        <w:rPr>
          <w:rFonts w:cs="Arial"/>
          <w:bCs/>
          <w:szCs w:val="24"/>
        </w:rPr>
        <w:t xml:space="preserve">  </w:t>
      </w:r>
    </w:p>
    <w:p w14:paraId="13CBD3CE" w14:textId="77777777" w:rsidR="00EC5A64" w:rsidRPr="00B30DCA" w:rsidRDefault="00EC5A64" w:rsidP="00442C96">
      <w:pPr>
        <w:pStyle w:val="ListParagraph"/>
        <w:ind w:left="1077"/>
      </w:pPr>
    </w:p>
    <w:p w14:paraId="0D89472D" w14:textId="3D687EDA" w:rsidR="00EC5A64" w:rsidRPr="003343E3" w:rsidRDefault="00EC5A64" w:rsidP="00442C96">
      <w:pPr>
        <w:pStyle w:val="ListParagraph"/>
        <w:numPr>
          <w:ilvl w:val="0"/>
          <w:numId w:val="7"/>
        </w:numPr>
        <w:spacing w:after="0"/>
        <w:contextualSpacing w:val="0"/>
        <w:rPr>
          <w:rFonts w:cs="Arial"/>
          <w:szCs w:val="24"/>
        </w:rPr>
      </w:pPr>
      <w:r w:rsidRPr="00315AAB">
        <w:rPr>
          <w:rFonts w:cs="Arial"/>
          <w:bCs/>
          <w:szCs w:val="24"/>
        </w:rPr>
        <w:t>The student is responsible for submitting their completed application form to Academic Registry for final approval. Applications will not be processed if they have not been endorsed by the department</w:t>
      </w:r>
      <w:r w:rsidR="003343E3">
        <w:rPr>
          <w:rFonts w:cs="Arial"/>
          <w:bCs/>
          <w:szCs w:val="24"/>
        </w:rPr>
        <w:t xml:space="preserve"> </w:t>
      </w:r>
      <w:r w:rsidR="003343E3" w:rsidRPr="002B0E73">
        <w:rPr>
          <w:rFonts w:cs="Arial"/>
          <w:bCs/>
          <w:szCs w:val="24"/>
        </w:rPr>
        <w:t>of the programme being repeated or transferred to</w:t>
      </w:r>
      <w:r>
        <w:rPr>
          <w:rFonts w:cs="Arial"/>
          <w:bCs/>
          <w:szCs w:val="24"/>
        </w:rPr>
        <w:t>.</w:t>
      </w:r>
      <w:r w:rsidRPr="00315AAB">
        <w:rPr>
          <w:rFonts w:cs="Arial"/>
          <w:bCs/>
          <w:szCs w:val="24"/>
        </w:rPr>
        <w:t xml:space="preserve"> </w:t>
      </w:r>
      <w:r>
        <w:rPr>
          <w:rFonts w:cs="Arial"/>
          <w:bCs/>
          <w:szCs w:val="24"/>
        </w:rPr>
        <w:t xml:space="preserve"> </w:t>
      </w:r>
      <w:r w:rsidRPr="00315AAB">
        <w:rPr>
          <w:rFonts w:cs="Arial"/>
          <w:bCs/>
          <w:szCs w:val="24"/>
        </w:rPr>
        <w:t xml:space="preserve">If the student does not meet the criteria to </w:t>
      </w:r>
      <w:r>
        <w:rPr>
          <w:rFonts w:cs="Arial"/>
          <w:bCs/>
          <w:szCs w:val="24"/>
        </w:rPr>
        <w:t>repeat the year</w:t>
      </w:r>
      <w:r w:rsidRPr="00315AAB">
        <w:rPr>
          <w:rFonts w:cs="Arial"/>
          <w:bCs/>
          <w:szCs w:val="24"/>
        </w:rPr>
        <w:t xml:space="preserve"> as expressed in this policy, Academic Registry may reject their application, even where there is departmental support.</w:t>
      </w:r>
    </w:p>
    <w:p w14:paraId="16FC9142" w14:textId="77777777" w:rsidR="003343E3" w:rsidRPr="00B30DCA" w:rsidRDefault="003343E3" w:rsidP="00442C96">
      <w:pPr>
        <w:pStyle w:val="ListParagraph"/>
        <w:rPr>
          <w:rFonts w:cs="Arial"/>
          <w:szCs w:val="24"/>
        </w:rPr>
      </w:pPr>
    </w:p>
    <w:p w14:paraId="493A8A4E" w14:textId="5E4B9866" w:rsidR="003343E3" w:rsidRDefault="003343E3" w:rsidP="00442C96">
      <w:pPr>
        <w:pStyle w:val="ListParagraph"/>
        <w:numPr>
          <w:ilvl w:val="0"/>
          <w:numId w:val="7"/>
        </w:numPr>
        <w:spacing w:after="0"/>
        <w:contextualSpacing w:val="0"/>
        <w:rPr>
          <w:rFonts w:cs="Arial"/>
          <w:bCs/>
          <w:szCs w:val="24"/>
        </w:rPr>
      </w:pPr>
      <w:r w:rsidRPr="002B0E73">
        <w:rPr>
          <w:rFonts w:cs="Arial"/>
          <w:bCs/>
          <w:szCs w:val="24"/>
        </w:rPr>
        <w:t xml:space="preserve">Applications must be submitted within the timeframes published by Academic Registry. </w:t>
      </w:r>
      <w:r w:rsidRPr="00015EB1">
        <w:rPr>
          <w:rFonts w:cs="Arial"/>
          <w:bCs/>
          <w:szCs w:val="24"/>
        </w:rPr>
        <w:t>No student can apply to repeat the year via this scheme once the relevant final deadline for applications has passed.</w:t>
      </w:r>
      <w:r w:rsidR="00466E0C" w:rsidRPr="00015EB1">
        <w:rPr>
          <w:rFonts w:cs="Arial"/>
          <w:bCs/>
          <w:szCs w:val="24"/>
        </w:rPr>
        <w:t xml:space="preserve"> </w:t>
      </w:r>
      <w:r w:rsidRPr="00015EB1">
        <w:rPr>
          <w:rFonts w:cs="Arial"/>
          <w:bCs/>
          <w:szCs w:val="24"/>
        </w:rPr>
        <w:t>This will normally be at the end of the year of study.</w:t>
      </w:r>
    </w:p>
    <w:p w14:paraId="60E8C7E4" w14:textId="77777777" w:rsidR="00015EB1" w:rsidRPr="00DD6590" w:rsidRDefault="00015EB1" w:rsidP="00442C96">
      <w:pPr>
        <w:spacing w:after="0"/>
        <w:rPr>
          <w:rFonts w:cs="Arial"/>
          <w:bCs/>
          <w:sz w:val="28"/>
          <w:szCs w:val="28"/>
        </w:rPr>
      </w:pPr>
    </w:p>
    <w:p w14:paraId="6BF631C9" w14:textId="1E8D5DB4" w:rsidR="0048144C" w:rsidRPr="00015EB1" w:rsidRDefault="0048144C" w:rsidP="00442C96">
      <w:pPr>
        <w:pStyle w:val="ListParagraph"/>
        <w:numPr>
          <w:ilvl w:val="0"/>
          <w:numId w:val="7"/>
        </w:numPr>
        <w:spacing w:after="0"/>
        <w:contextualSpacing w:val="0"/>
        <w:rPr>
          <w:rFonts w:cs="Arial"/>
          <w:bCs/>
          <w:szCs w:val="24"/>
        </w:rPr>
      </w:pPr>
      <w:r w:rsidRPr="00015EB1">
        <w:rPr>
          <w:rFonts w:cs="Arial"/>
          <w:bCs/>
          <w:szCs w:val="24"/>
        </w:rPr>
        <w:lastRenderedPageBreak/>
        <w:t xml:space="preserve">Where a student stops engaging before their scheduled learning is due to end and </w:t>
      </w:r>
      <w:r w:rsidR="009B598D" w:rsidRPr="00015EB1">
        <w:rPr>
          <w:rFonts w:cs="Arial"/>
          <w:bCs/>
          <w:szCs w:val="24"/>
        </w:rPr>
        <w:t>applies</w:t>
      </w:r>
      <w:r w:rsidRPr="00015EB1">
        <w:rPr>
          <w:rFonts w:cs="Arial"/>
          <w:bCs/>
          <w:szCs w:val="24"/>
        </w:rPr>
        <w:t xml:space="preserve"> to repeat the year, their student status will be Interrupted for the remainder of the academic year and their last date of engagement will be recorded.</w:t>
      </w:r>
    </w:p>
    <w:p w14:paraId="25292BF2" w14:textId="77777777" w:rsidR="0048144C" w:rsidRPr="00B30DCA" w:rsidRDefault="0048144C" w:rsidP="00442C96">
      <w:pPr>
        <w:pStyle w:val="ListParagraph"/>
        <w:rPr>
          <w:sz w:val="8"/>
          <w:szCs w:val="8"/>
        </w:rPr>
      </w:pPr>
    </w:p>
    <w:p w14:paraId="5CDD28A8" w14:textId="77777777" w:rsidR="00BD040A" w:rsidRPr="009B598D" w:rsidRDefault="00BD040A" w:rsidP="00442C96">
      <w:pPr>
        <w:pStyle w:val="ListParagraph"/>
        <w:rPr>
          <w:sz w:val="14"/>
          <w:szCs w:val="14"/>
        </w:rPr>
      </w:pPr>
    </w:p>
    <w:p w14:paraId="36A64EC8" w14:textId="33FC03A0" w:rsidR="0048144C" w:rsidRPr="00015EB1" w:rsidRDefault="0048144C" w:rsidP="00442C96">
      <w:pPr>
        <w:pStyle w:val="ListParagraph"/>
        <w:numPr>
          <w:ilvl w:val="0"/>
          <w:numId w:val="7"/>
        </w:numPr>
        <w:spacing w:after="0"/>
        <w:contextualSpacing w:val="0"/>
        <w:rPr>
          <w:rFonts w:cs="Arial"/>
          <w:bCs/>
          <w:szCs w:val="24"/>
        </w:rPr>
      </w:pPr>
      <w:r w:rsidRPr="00015EB1">
        <w:rPr>
          <w:rFonts w:cs="Arial"/>
          <w:bCs/>
          <w:szCs w:val="24"/>
        </w:rPr>
        <w:t xml:space="preserve">Departments are responsible for confirming the last date of engagement. Students are encouraged to discuss and agree their last date of engagement with their department before submitting a repeat year form. Further guidance on last date of engagement can be found on the </w:t>
      </w:r>
      <w:hyperlink r:id="rId8" w:history="1">
        <w:r w:rsidRPr="00015EB1">
          <w:rPr>
            <w:rFonts w:cs="Arial"/>
            <w:bCs/>
          </w:rPr>
          <w:t>Academic Registry webpages</w:t>
        </w:r>
      </w:hyperlink>
      <w:r w:rsidR="00661F4E" w:rsidRPr="00015EB1">
        <w:rPr>
          <w:rFonts w:cs="Arial"/>
          <w:bCs/>
          <w:szCs w:val="24"/>
        </w:rPr>
        <w:t>.</w:t>
      </w:r>
    </w:p>
    <w:p w14:paraId="21335754" w14:textId="77777777" w:rsidR="00661F4E" w:rsidRPr="00B30DCA" w:rsidRDefault="00661F4E" w:rsidP="00442C96">
      <w:pPr>
        <w:pStyle w:val="ListParagraph"/>
        <w:rPr>
          <w:szCs w:val="24"/>
        </w:rPr>
      </w:pPr>
    </w:p>
    <w:p w14:paraId="5E37E404" w14:textId="2A583530" w:rsidR="00661F4E" w:rsidRPr="00015EB1" w:rsidRDefault="00035967" w:rsidP="00442C96">
      <w:pPr>
        <w:pStyle w:val="ListParagraph"/>
        <w:numPr>
          <w:ilvl w:val="0"/>
          <w:numId w:val="7"/>
        </w:numPr>
        <w:spacing w:after="0"/>
        <w:contextualSpacing w:val="0"/>
        <w:rPr>
          <w:rFonts w:cs="Arial"/>
          <w:bCs/>
          <w:szCs w:val="24"/>
        </w:rPr>
      </w:pPr>
      <w:r w:rsidRPr="00015EB1">
        <w:rPr>
          <w:rFonts w:cs="Arial"/>
          <w:bCs/>
          <w:szCs w:val="24"/>
        </w:rPr>
        <w:t>The appropriate external agencies will be advised of the students last date of engagement, this includes funding bodies such as the Student Loan Company.</w:t>
      </w:r>
    </w:p>
    <w:p w14:paraId="650C5F16" w14:textId="77777777" w:rsidR="00035967" w:rsidRPr="00B30DCA" w:rsidRDefault="00035967" w:rsidP="009B598D">
      <w:pPr>
        <w:pStyle w:val="ListParagraph"/>
        <w:rPr>
          <w:sz w:val="20"/>
          <w:szCs w:val="20"/>
        </w:rPr>
      </w:pPr>
    </w:p>
    <w:p w14:paraId="7E678954" w14:textId="100667D5" w:rsidR="00035967" w:rsidRPr="00015EB1" w:rsidRDefault="00035967" w:rsidP="00015EB1">
      <w:pPr>
        <w:pStyle w:val="ListParagraph"/>
        <w:numPr>
          <w:ilvl w:val="0"/>
          <w:numId w:val="7"/>
        </w:numPr>
        <w:spacing w:after="0"/>
        <w:contextualSpacing w:val="0"/>
        <w:rPr>
          <w:rFonts w:cs="Arial"/>
          <w:bCs/>
          <w:szCs w:val="24"/>
        </w:rPr>
      </w:pPr>
      <w:r w:rsidRPr="00015EB1">
        <w:rPr>
          <w:rFonts w:cs="Arial"/>
          <w:bCs/>
          <w:szCs w:val="24"/>
        </w:rPr>
        <w:t xml:space="preserve">Where a repeat year application is not </w:t>
      </w:r>
      <w:r w:rsidR="007A7CEC" w:rsidRPr="00015EB1">
        <w:rPr>
          <w:rFonts w:cs="Arial"/>
          <w:bCs/>
          <w:szCs w:val="24"/>
        </w:rPr>
        <w:t>approved,</w:t>
      </w:r>
      <w:r w:rsidRPr="00015EB1">
        <w:rPr>
          <w:rFonts w:cs="Arial"/>
          <w:bCs/>
          <w:szCs w:val="24"/>
        </w:rPr>
        <w:t xml:space="preserve"> and the student has already stopped engaging the last date of engagement will be confirmed as their withdrawal date. Details of the withdrawal process are available in Appendix 26: Withdrawal Procedures.</w:t>
      </w:r>
    </w:p>
    <w:p w14:paraId="667C4BCF" w14:textId="77777777" w:rsidR="00EC5A64" w:rsidRPr="00B30DCA" w:rsidRDefault="00EC5A64" w:rsidP="00EC5A64">
      <w:pPr>
        <w:pStyle w:val="ListParagraph"/>
        <w:rPr>
          <w:rFonts w:cs="Arial"/>
          <w:bCs/>
          <w:sz w:val="22"/>
        </w:rPr>
      </w:pPr>
    </w:p>
    <w:p w14:paraId="12D76E93" w14:textId="78B223B1" w:rsidR="008756C9" w:rsidRPr="00DD365C" w:rsidRDefault="00EC5A64" w:rsidP="00DD365C">
      <w:pPr>
        <w:pStyle w:val="ListParagraph"/>
        <w:numPr>
          <w:ilvl w:val="0"/>
          <w:numId w:val="7"/>
        </w:numPr>
        <w:spacing w:after="0"/>
        <w:contextualSpacing w:val="0"/>
        <w:rPr>
          <w:bCs/>
          <w:szCs w:val="24"/>
        </w:rPr>
      </w:pPr>
      <w:r w:rsidRPr="00F95BFF">
        <w:rPr>
          <w:rFonts w:cs="Arial"/>
          <w:bCs/>
          <w:szCs w:val="24"/>
        </w:rPr>
        <w:t>Academic Registry will</w:t>
      </w:r>
      <w:r>
        <w:rPr>
          <w:rFonts w:cs="Arial"/>
          <w:bCs/>
          <w:szCs w:val="24"/>
        </w:rPr>
        <w:t xml:space="preserve"> notify the student of the outcome of their application.</w:t>
      </w:r>
      <w:r w:rsidRPr="00F95BFF">
        <w:rPr>
          <w:rFonts w:cs="Arial"/>
          <w:bCs/>
          <w:szCs w:val="24"/>
        </w:rPr>
        <w:t xml:space="preserve"> Normally this will be done within </w:t>
      </w:r>
      <w:r>
        <w:rPr>
          <w:rFonts w:cs="Arial"/>
          <w:bCs/>
          <w:szCs w:val="24"/>
        </w:rPr>
        <w:t xml:space="preserve">10 </w:t>
      </w:r>
      <w:r w:rsidR="00820E4D">
        <w:rPr>
          <w:rFonts w:cs="Arial"/>
          <w:bCs/>
          <w:szCs w:val="24"/>
        </w:rPr>
        <w:t xml:space="preserve">working </w:t>
      </w:r>
      <w:r w:rsidRPr="00F95BFF">
        <w:rPr>
          <w:rFonts w:cs="Arial"/>
          <w:bCs/>
          <w:szCs w:val="24"/>
        </w:rPr>
        <w:t xml:space="preserve">days of </w:t>
      </w:r>
      <w:r w:rsidR="00820E4D">
        <w:rPr>
          <w:rFonts w:cs="Arial"/>
          <w:bCs/>
          <w:szCs w:val="24"/>
        </w:rPr>
        <w:t>receipt</w:t>
      </w:r>
      <w:r w:rsidR="00DD365C">
        <w:rPr>
          <w:rFonts w:cs="Arial"/>
          <w:bCs/>
          <w:szCs w:val="24"/>
        </w:rPr>
        <w:t>.</w:t>
      </w:r>
    </w:p>
    <w:p w14:paraId="64C8C2F9" w14:textId="677EB831" w:rsidR="008756C9" w:rsidRPr="002C38F5" w:rsidRDefault="008756C9" w:rsidP="00DD365C">
      <w:pPr>
        <w:pStyle w:val="BodyText"/>
        <w:jc w:val="both"/>
        <w:rPr>
          <w:i w:val="0"/>
          <w:sz w:val="14"/>
          <w:szCs w:val="10"/>
          <w:lang w:val="en-GB"/>
        </w:rPr>
      </w:pPr>
    </w:p>
    <w:p w14:paraId="036D0D17" w14:textId="77777777" w:rsidR="00ED43A4" w:rsidRPr="00096418" w:rsidRDefault="00ED43A4" w:rsidP="008756C9">
      <w:pPr>
        <w:pStyle w:val="BodyText"/>
        <w:ind w:left="360"/>
        <w:jc w:val="both"/>
        <w:rPr>
          <w:i w:val="0"/>
          <w:sz w:val="16"/>
          <w:szCs w:val="12"/>
          <w:lang w:val="en-GB"/>
        </w:rPr>
      </w:pPr>
    </w:p>
    <w:p w14:paraId="71A8C0F8" w14:textId="01CF62E5" w:rsidR="008756C9" w:rsidRDefault="008756C9" w:rsidP="00DD365C">
      <w:pPr>
        <w:pStyle w:val="Heading2"/>
        <w:numPr>
          <w:ilvl w:val="0"/>
          <w:numId w:val="10"/>
        </w:numPr>
      </w:pPr>
      <w:bookmarkStart w:id="10" w:name="_Toc139362106"/>
      <w:r w:rsidRPr="00C36DB6">
        <w:t>Repeat Year Conditions</w:t>
      </w:r>
      <w:bookmarkEnd w:id="10"/>
    </w:p>
    <w:p w14:paraId="0C118F4F" w14:textId="77777777" w:rsidR="00DD365C" w:rsidRPr="002C38F5" w:rsidRDefault="00DD365C" w:rsidP="00DD365C">
      <w:pPr>
        <w:rPr>
          <w:sz w:val="16"/>
          <w:szCs w:val="14"/>
        </w:rPr>
      </w:pPr>
    </w:p>
    <w:p w14:paraId="71FFCB6C" w14:textId="4A5C4B36" w:rsidR="008756C9" w:rsidRPr="00446FBA" w:rsidRDefault="008756C9" w:rsidP="00515981">
      <w:pPr>
        <w:pStyle w:val="BodyText"/>
        <w:numPr>
          <w:ilvl w:val="0"/>
          <w:numId w:val="6"/>
        </w:numPr>
        <w:spacing w:line="276" w:lineRule="auto"/>
        <w:ind w:left="1077"/>
        <w:jc w:val="both"/>
        <w:rPr>
          <w:rFonts w:eastAsiaTheme="minorHAnsi"/>
          <w:bCs/>
          <w:i w:val="0"/>
          <w:iCs w:val="0"/>
          <w:sz w:val="24"/>
          <w:szCs w:val="24"/>
          <w:lang w:val="en-GB"/>
        </w:rPr>
      </w:pPr>
      <w:r w:rsidRPr="00446FBA">
        <w:rPr>
          <w:rFonts w:eastAsiaTheme="minorHAnsi"/>
          <w:bCs/>
          <w:i w:val="0"/>
          <w:iCs w:val="0"/>
          <w:sz w:val="24"/>
          <w:szCs w:val="24"/>
          <w:lang w:val="en-GB"/>
        </w:rPr>
        <w:t>Repeat year students must undertake the schedule of modules for that year in its entirety (exemption to placement requirements may be agreed if appropriate).  It is not possible to carry forward any passed academic credit from previous attempts</w:t>
      </w:r>
      <w:r w:rsidR="0091367D" w:rsidRPr="00446FBA">
        <w:rPr>
          <w:rFonts w:eastAsiaTheme="minorHAnsi"/>
          <w:bCs/>
          <w:i w:val="0"/>
          <w:iCs w:val="0"/>
          <w:sz w:val="24"/>
          <w:szCs w:val="24"/>
          <w:lang w:val="en-GB"/>
        </w:rPr>
        <w:t>, even if the student performed better first-time round.</w:t>
      </w:r>
    </w:p>
    <w:p w14:paraId="7D2BECA3" w14:textId="77777777" w:rsidR="008756C9" w:rsidRPr="00B30DCA" w:rsidRDefault="008756C9" w:rsidP="008756C9">
      <w:pPr>
        <w:pStyle w:val="BodyText"/>
        <w:ind w:left="1080"/>
        <w:jc w:val="both"/>
        <w:rPr>
          <w:rFonts w:eastAsiaTheme="minorHAnsi"/>
          <w:bCs/>
          <w:i w:val="0"/>
          <w:iCs w:val="0"/>
          <w:sz w:val="24"/>
          <w:szCs w:val="24"/>
          <w:lang w:val="en-GB"/>
        </w:rPr>
      </w:pPr>
    </w:p>
    <w:p w14:paraId="1922138A" w14:textId="693CC05D" w:rsidR="008756C9" w:rsidRPr="00446FBA" w:rsidRDefault="008756C9" w:rsidP="00515981">
      <w:pPr>
        <w:pStyle w:val="BodyText"/>
        <w:numPr>
          <w:ilvl w:val="0"/>
          <w:numId w:val="6"/>
        </w:numPr>
        <w:spacing w:line="276" w:lineRule="auto"/>
        <w:ind w:left="1077"/>
        <w:jc w:val="both"/>
        <w:rPr>
          <w:rFonts w:eastAsiaTheme="minorHAnsi"/>
          <w:bCs/>
          <w:i w:val="0"/>
          <w:iCs w:val="0"/>
          <w:sz w:val="24"/>
          <w:szCs w:val="24"/>
          <w:lang w:val="en-GB"/>
        </w:rPr>
      </w:pPr>
      <w:r w:rsidRPr="00446FBA">
        <w:rPr>
          <w:rFonts w:eastAsiaTheme="minorHAnsi"/>
          <w:bCs/>
          <w:i w:val="0"/>
          <w:iCs w:val="0"/>
          <w:sz w:val="24"/>
          <w:szCs w:val="24"/>
          <w:lang w:val="en-GB"/>
        </w:rPr>
        <w:t xml:space="preserve">Repeat year students are expected to attend </w:t>
      </w:r>
      <w:r w:rsidR="00455F01" w:rsidRPr="00446FBA">
        <w:rPr>
          <w:rFonts w:eastAsiaTheme="minorHAnsi"/>
          <w:bCs/>
          <w:i w:val="0"/>
          <w:iCs w:val="0"/>
          <w:sz w:val="24"/>
          <w:szCs w:val="24"/>
          <w:lang w:val="en-GB"/>
        </w:rPr>
        <w:t xml:space="preserve">all teaching sessions </w:t>
      </w:r>
      <w:r w:rsidRPr="00446FBA">
        <w:rPr>
          <w:rFonts w:eastAsiaTheme="minorHAnsi"/>
          <w:bCs/>
          <w:i w:val="0"/>
          <w:iCs w:val="0"/>
          <w:sz w:val="24"/>
          <w:szCs w:val="24"/>
          <w:lang w:val="en-GB"/>
        </w:rPr>
        <w:t>and</w:t>
      </w:r>
      <w:r w:rsidR="00455F01" w:rsidRPr="00446FBA">
        <w:rPr>
          <w:rFonts w:eastAsiaTheme="minorHAnsi"/>
          <w:bCs/>
          <w:i w:val="0"/>
          <w:iCs w:val="0"/>
          <w:sz w:val="24"/>
          <w:szCs w:val="24"/>
          <w:lang w:val="en-GB"/>
        </w:rPr>
        <w:t xml:space="preserve"> fully</w:t>
      </w:r>
      <w:r w:rsidRPr="00446FBA">
        <w:rPr>
          <w:rFonts w:eastAsiaTheme="minorHAnsi"/>
          <w:bCs/>
          <w:i w:val="0"/>
          <w:iCs w:val="0"/>
          <w:sz w:val="24"/>
          <w:szCs w:val="24"/>
          <w:lang w:val="en-GB"/>
        </w:rPr>
        <w:t xml:space="preserve"> engage with the programme during the</w:t>
      </w:r>
      <w:r w:rsidR="00455F01" w:rsidRPr="00446FBA">
        <w:rPr>
          <w:rFonts w:eastAsiaTheme="minorHAnsi"/>
          <w:bCs/>
          <w:i w:val="0"/>
          <w:iCs w:val="0"/>
          <w:sz w:val="24"/>
          <w:szCs w:val="24"/>
          <w:lang w:val="en-GB"/>
        </w:rPr>
        <w:t>ir</w:t>
      </w:r>
      <w:r w:rsidRPr="00446FBA">
        <w:rPr>
          <w:rFonts w:eastAsiaTheme="minorHAnsi"/>
          <w:bCs/>
          <w:i w:val="0"/>
          <w:iCs w:val="0"/>
          <w:sz w:val="24"/>
          <w:szCs w:val="24"/>
          <w:lang w:val="en-GB"/>
        </w:rPr>
        <w:t xml:space="preserve"> repeat year</w:t>
      </w:r>
      <w:r w:rsidR="00455F01" w:rsidRPr="00446FBA">
        <w:rPr>
          <w:rFonts w:eastAsiaTheme="minorHAnsi"/>
          <w:bCs/>
          <w:i w:val="0"/>
          <w:iCs w:val="0"/>
          <w:sz w:val="24"/>
          <w:szCs w:val="24"/>
          <w:lang w:val="en-GB"/>
        </w:rPr>
        <w:t>.</w:t>
      </w:r>
      <w:r w:rsidR="00B862A0" w:rsidRPr="00446FBA">
        <w:rPr>
          <w:rFonts w:eastAsiaTheme="minorHAnsi"/>
          <w:bCs/>
          <w:i w:val="0"/>
          <w:iCs w:val="0"/>
          <w:sz w:val="24"/>
          <w:szCs w:val="24"/>
          <w:lang w:val="en-GB"/>
        </w:rPr>
        <w:t xml:space="preserve"> </w:t>
      </w:r>
      <w:r w:rsidRPr="00446FBA">
        <w:rPr>
          <w:rFonts w:eastAsiaTheme="minorHAnsi"/>
          <w:bCs/>
          <w:i w:val="0"/>
          <w:iCs w:val="0"/>
          <w:sz w:val="24"/>
          <w:szCs w:val="24"/>
          <w:lang w:val="en-GB"/>
        </w:rPr>
        <w:t xml:space="preserve">Failure to engage with the programme will result in </w:t>
      </w:r>
      <w:r w:rsidR="00455F01" w:rsidRPr="00446FBA">
        <w:rPr>
          <w:rFonts w:eastAsiaTheme="minorHAnsi"/>
          <w:bCs/>
          <w:i w:val="0"/>
          <w:iCs w:val="0"/>
          <w:sz w:val="24"/>
          <w:szCs w:val="24"/>
          <w:lang w:val="en-GB"/>
        </w:rPr>
        <w:t xml:space="preserve">appropriate intervention which </w:t>
      </w:r>
      <w:r w:rsidRPr="00446FBA">
        <w:rPr>
          <w:rFonts w:eastAsiaTheme="minorHAnsi"/>
          <w:bCs/>
          <w:i w:val="0"/>
          <w:iCs w:val="0"/>
          <w:sz w:val="24"/>
          <w:szCs w:val="24"/>
          <w:lang w:val="en-GB"/>
        </w:rPr>
        <w:t xml:space="preserve">may lead to withdrawal. </w:t>
      </w:r>
    </w:p>
    <w:p w14:paraId="4B546561" w14:textId="77777777" w:rsidR="008756C9" w:rsidRPr="00B30DCA" w:rsidRDefault="008756C9" w:rsidP="008756C9">
      <w:pPr>
        <w:pStyle w:val="BodyText"/>
        <w:ind w:left="1080"/>
        <w:jc w:val="both"/>
        <w:rPr>
          <w:rFonts w:eastAsiaTheme="minorHAnsi"/>
          <w:bCs/>
          <w:i w:val="0"/>
          <w:iCs w:val="0"/>
          <w:sz w:val="24"/>
          <w:szCs w:val="24"/>
          <w:lang w:val="en-GB"/>
        </w:rPr>
      </w:pPr>
    </w:p>
    <w:p w14:paraId="3432D3CC" w14:textId="117AC002" w:rsidR="00B862A0" w:rsidRDefault="008756C9" w:rsidP="00515981">
      <w:pPr>
        <w:pStyle w:val="BodyText"/>
        <w:numPr>
          <w:ilvl w:val="0"/>
          <w:numId w:val="6"/>
        </w:numPr>
        <w:spacing w:line="276" w:lineRule="auto"/>
        <w:ind w:left="1077"/>
        <w:jc w:val="both"/>
        <w:rPr>
          <w:rFonts w:eastAsiaTheme="minorHAnsi"/>
          <w:bCs/>
          <w:i w:val="0"/>
          <w:iCs w:val="0"/>
          <w:sz w:val="24"/>
          <w:szCs w:val="24"/>
          <w:lang w:val="en-GB"/>
        </w:rPr>
      </w:pPr>
      <w:r w:rsidRPr="00446FBA">
        <w:rPr>
          <w:rFonts w:eastAsiaTheme="minorHAnsi"/>
          <w:bCs/>
          <w:i w:val="0"/>
          <w:iCs w:val="0"/>
          <w:sz w:val="24"/>
          <w:szCs w:val="24"/>
          <w:lang w:val="en-GB"/>
        </w:rPr>
        <w:t xml:space="preserve">The commencement date of the repeat year will be determined by Academic Registry in consultation with faculties and Admissions. It cannot be guaranteed that the start date will be in the student’s preferred academic session.  </w:t>
      </w:r>
    </w:p>
    <w:p w14:paraId="5E360B86" w14:textId="77777777" w:rsidR="006D7A4E" w:rsidRDefault="006D7A4E" w:rsidP="006D7A4E">
      <w:pPr>
        <w:pStyle w:val="ListParagraph"/>
        <w:rPr>
          <w:bCs/>
          <w:i/>
          <w:iCs/>
          <w:szCs w:val="24"/>
        </w:rPr>
      </w:pPr>
    </w:p>
    <w:p w14:paraId="408F8D8C" w14:textId="77777777" w:rsidR="006D7A4E" w:rsidRPr="00446FBA" w:rsidRDefault="006D7A4E" w:rsidP="006D7A4E">
      <w:pPr>
        <w:pStyle w:val="BodyText"/>
        <w:spacing w:line="276" w:lineRule="auto"/>
        <w:ind w:left="1077"/>
        <w:jc w:val="both"/>
        <w:rPr>
          <w:rFonts w:eastAsiaTheme="minorHAnsi"/>
          <w:bCs/>
          <w:i w:val="0"/>
          <w:iCs w:val="0"/>
          <w:sz w:val="24"/>
          <w:szCs w:val="24"/>
          <w:lang w:val="en-GB"/>
        </w:rPr>
      </w:pPr>
    </w:p>
    <w:p w14:paraId="6D110160" w14:textId="77777777" w:rsidR="00455F01" w:rsidRPr="00096418" w:rsidRDefault="00455F01" w:rsidP="00B862A0">
      <w:pPr>
        <w:pStyle w:val="BodyText"/>
        <w:jc w:val="both"/>
        <w:rPr>
          <w:i w:val="0"/>
          <w:iCs w:val="0"/>
          <w:szCs w:val="10"/>
          <w:lang w:val="en-GB"/>
        </w:rPr>
      </w:pPr>
    </w:p>
    <w:p w14:paraId="2F1F0D68" w14:textId="18B3924F" w:rsidR="00455F01" w:rsidRDefault="00455F01" w:rsidP="00455F01">
      <w:pPr>
        <w:pStyle w:val="Heading2"/>
        <w:numPr>
          <w:ilvl w:val="0"/>
          <w:numId w:val="10"/>
        </w:numPr>
      </w:pPr>
      <w:bookmarkStart w:id="11" w:name="_Toc139362107"/>
      <w:r>
        <w:lastRenderedPageBreak/>
        <w:t>Returning to Study</w:t>
      </w:r>
      <w:bookmarkEnd w:id="11"/>
    </w:p>
    <w:p w14:paraId="3C00AB8B" w14:textId="77777777" w:rsidR="00DD365C" w:rsidRPr="00096418" w:rsidRDefault="00DD365C" w:rsidP="00DD365C">
      <w:pPr>
        <w:rPr>
          <w:sz w:val="18"/>
          <w:szCs w:val="16"/>
        </w:rPr>
      </w:pPr>
    </w:p>
    <w:p w14:paraId="71E61764" w14:textId="01FC9850" w:rsidR="00CE29DE" w:rsidRDefault="00B0004E" w:rsidP="00B21535">
      <w:pPr>
        <w:pStyle w:val="ListParagraph"/>
        <w:numPr>
          <w:ilvl w:val="0"/>
          <w:numId w:val="19"/>
        </w:numPr>
        <w:spacing w:after="0"/>
        <w:ind w:left="1077"/>
        <w:rPr>
          <w:rFonts w:cs="Arial"/>
          <w:bCs/>
          <w:szCs w:val="24"/>
        </w:rPr>
      </w:pPr>
      <w:r>
        <w:rPr>
          <w:rFonts w:cs="Arial"/>
          <w:bCs/>
          <w:szCs w:val="24"/>
        </w:rPr>
        <w:t>All st</w:t>
      </w:r>
      <w:r w:rsidR="00CE29DE">
        <w:rPr>
          <w:rFonts w:cs="Arial"/>
          <w:bCs/>
          <w:szCs w:val="24"/>
        </w:rPr>
        <w:t>udents returning to</w:t>
      </w:r>
      <w:r>
        <w:rPr>
          <w:rFonts w:cs="Arial"/>
          <w:bCs/>
          <w:szCs w:val="24"/>
        </w:rPr>
        <w:t xml:space="preserve"> repeat</w:t>
      </w:r>
      <w:r w:rsidR="00CE29DE">
        <w:rPr>
          <w:rFonts w:cs="Arial"/>
          <w:bCs/>
          <w:szCs w:val="24"/>
        </w:rPr>
        <w:t xml:space="preserve"> their first year of study will </w:t>
      </w:r>
      <w:r w:rsidR="00B21535">
        <w:rPr>
          <w:rFonts w:cs="Arial"/>
          <w:bCs/>
          <w:szCs w:val="24"/>
        </w:rPr>
        <w:t xml:space="preserve">normally </w:t>
      </w:r>
      <w:r w:rsidR="00CE29DE">
        <w:rPr>
          <w:rFonts w:cs="Arial"/>
          <w:bCs/>
          <w:szCs w:val="24"/>
        </w:rPr>
        <w:t xml:space="preserve">receive </w:t>
      </w:r>
      <w:r>
        <w:rPr>
          <w:rFonts w:cs="Arial"/>
          <w:bCs/>
          <w:szCs w:val="24"/>
        </w:rPr>
        <w:t>the same communications as applicants who will be joining the University for the first time</w:t>
      </w:r>
      <w:r w:rsidR="00B21535">
        <w:rPr>
          <w:rFonts w:cs="Arial"/>
          <w:bCs/>
          <w:szCs w:val="24"/>
        </w:rPr>
        <w:t xml:space="preserve"> (subject to the timing of the repeat year application).</w:t>
      </w:r>
    </w:p>
    <w:p w14:paraId="44CE6EE2" w14:textId="77777777" w:rsidR="00CE29DE" w:rsidRPr="00B30DCA" w:rsidRDefault="00CE29DE" w:rsidP="00B21535">
      <w:pPr>
        <w:pStyle w:val="ListParagraph"/>
        <w:ind w:left="1080"/>
        <w:rPr>
          <w:rFonts w:cs="Arial"/>
          <w:bCs/>
          <w:szCs w:val="24"/>
        </w:rPr>
      </w:pPr>
    </w:p>
    <w:p w14:paraId="746A7C53" w14:textId="6F4B89AB" w:rsidR="00287DEE" w:rsidRDefault="00CE29DE" w:rsidP="00B21535">
      <w:pPr>
        <w:pStyle w:val="ListParagraph"/>
        <w:numPr>
          <w:ilvl w:val="0"/>
          <w:numId w:val="19"/>
        </w:numPr>
        <w:spacing w:after="0"/>
        <w:ind w:left="1077"/>
        <w:rPr>
          <w:rFonts w:cs="Arial"/>
          <w:bCs/>
          <w:szCs w:val="24"/>
        </w:rPr>
      </w:pPr>
      <w:r>
        <w:rPr>
          <w:rFonts w:cs="Arial"/>
          <w:bCs/>
          <w:szCs w:val="24"/>
        </w:rPr>
        <w:t>Students</w:t>
      </w:r>
      <w:r w:rsidR="00B0004E">
        <w:rPr>
          <w:rFonts w:cs="Arial"/>
          <w:bCs/>
          <w:szCs w:val="24"/>
        </w:rPr>
        <w:t xml:space="preserve"> repeating year two or subsequent years and are</w:t>
      </w:r>
      <w:r>
        <w:rPr>
          <w:rFonts w:cs="Arial"/>
          <w:bCs/>
          <w:szCs w:val="24"/>
        </w:rPr>
        <w:t xml:space="preserve"> interrupted will be contacted by </w:t>
      </w:r>
      <w:r w:rsidR="003343E3" w:rsidRPr="00F95BFF">
        <w:rPr>
          <w:rFonts w:cs="Arial"/>
          <w:bCs/>
          <w:szCs w:val="24"/>
        </w:rPr>
        <w:t xml:space="preserve">Academic Registry to </w:t>
      </w:r>
      <w:r w:rsidR="003343E3">
        <w:rPr>
          <w:rFonts w:cs="Arial"/>
          <w:bCs/>
          <w:szCs w:val="24"/>
        </w:rPr>
        <w:t xml:space="preserve">request confirmation of their return to study to repeat the year. When the student has confirmed their intention to </w:t>
      </w:r>
      <w:r>
        <w:rPr>
          <w:rFonts w:cs="Arial"/>
          <w:bCs/>
          <w:szCs w:val="24"/>
        </w:rPr>
        <w:t>return,</w:t>
      </w:r>
      <w:r w:rsidR="003343E3">
        <w:rPr>
          <w:rFonts w:cs="Arial"/>
          <w:bCs/>
          <w:szCs w:val="24"/>
        </w:rPr>
        <w:t xml:space="preserve"> they will be referred </w:t>
      </w:r>
      <w:r w:rsidR="003343E3" w:rsidRPr="00F95BFF">
        <w:rPr>
          <w:rFonts w:cs="Arial"/>
          <w:bCs/>
          <w:szCs w:val="24"/>
        </w:rPr>
        <w:t xml:space="preserve">for appropriate clearances where </w:t>
      </w:r>
      <w:r w:rsidR="00287DEE" w:rsidRPr="00F95BFF">
        <w:rPr>
          <w:rFonts w:cs="Arial"/>
          <w:bCs/>
          <w:szCs w:val="24"/>
        </w:rPr>
        <w:t>applicable.</w:t>
      </w:r>
    </w:p>
    <w:p w14:paraId="49408A12" w14:textId="77777777" w:rsidR="00A66887" w:rsidRPr="00B30DCA" w:rsidRDefault="00A66887" w:rsidP="00A66887">
      <w:pPr>
        <w:spacing w:after="0"/>
        <w:rPr>
          <w:rFonts w:cs="Arial"/>
          <w:bCs/>
          <w:sz w:val="6"/>
          <w:szCs w:val="6"/>
        </w:rPr>
      </w:pPr>
    </w:p>
    <w:p w14:paraId="17EE3FD0" w14:textId="77777777" w:rsidR="00287DEE" w:rsidRPr="00C94833" w:rsidRDefault="00287DEE" w:rsidP="00C94833">
      <w:pPr>
        <w:rPr>
          <w:rFonts w:cs="Arial"/>
          <w:bCs/>
          <w:sz w:val="2"/>
          <w:szCs w:val="2"/>
        </w:rPr>
      </w:pPr>
    </w:p>
    <w:p w14:paraId="6440748B" w14:textId="62D667AE" w:rsidR="000E7401" w:rsidRPr="00287DEE" w:rsidRDefault="007D6B96" w:rsidP="00287DEE">
      <w:pPr>
        <w:pStyle w:val="ListParagraph"/>
        <w:numPr>
          <w:ilvl w:val="0"/>
          <w:numId w:val="19"/>
        </w:numPr>
        <w:spacing w:after="0"/>
        <w:ind w:left="1077"/>
        <w:rPr>
          <w:rFonts w:cs="Arial"/>
          <w:bCs/>
          <w:szCs w:val="24"/>
        </w:rPr>
      </w:pPr>
      <w:r w:rsidRPr="00287DEE">
        <w:rPr>
          <w:szCs w:val="24"/>
        </w:rPr>
        <w:t xml:space="preserve">Students who stopped engaging </w:t>
      </w:r>
      <w:r w:rsidR="007012EB" w:rsidRPr="00287DEE">
        <w:rPr>
          <w:szCs w:val="24"/>
        </w:rPr>
        <w:t xml:space="preserve">mid </w:t>
      </w:r>
      <w:r w:rsidRPr="00287DEE">
        <w:rPr>
          <w:szCs w:val="24"/>
        </w:rPr>
        <w:t>programme and have had a repeat year approved may be required to</w:t>
      </w:r>
      <w:r w:rsidR="007012EB" w:rsidRPr="00287DEE">
        <w:rPr>
          <w:szCs w:val="24"/>
        </w:rPr>
        <w:t xml:space="preserve"> meet the normal conditions of entry to their programme prior to repeat</w:t>
      </w:r>
      <w:r w:rsidR="00FA51B1" w:rsidRPr="00287DEE">
        <w:rPr>
          <w:szCs w:val="24"/>
        </w:rPr>
        <w:t>ing</w:t>
      </w:r>
      <w:r w:rsidR="007012EB" w:rsidRPr="00287DEE">
        <w:rPr>
          <w:szCs w:val="24"/>
        </w:rPr>
        <w:t xml:space="preserve"> the year, which may include:</w:t>
      </w:r>
    </w:p>
    <w:p w14:paraId="026F9238" w14:textId="0D490DAB" w:rsidR="007012EB" w:rsidRDefault="007012EB" w:rsidP="007012EB">
      <w:pPr>
        <w:pStyle w:val="BodyText"/>
        <w:ind w:left="1080"/>
        <w:jc w:val="both"/>
        <w:rPr>
          <w:i w:val="0"/>
          <w:iCs w:val="0"/>
          <w:sz w:val="24"/>
          <w:szCs w:val="24"/>
          <w:lang w:val="en-GB"/>
        </w:rPr>
      </w:pPr>
    </w:p>
    <w:p w14:paraId="469E09C0" w14:textId="48C42D1D" w:rsidR="007012EB" w:rsidRDefault="007012EB" w:rsidP="007012EB">
      <w:pPr>
        <w:pStyle w:val="BodyText"/>
        <w:numPr>
          <w:ilvl w:val="0"/>
          <w:numId w:val="20"/>
        </w:numPr>
        <w:jc w:val="both"/>
        <w:rPr>
          <w:i w:val="0"/>
          <w:iCs w:val="0"/>
          <w:sz w:val="24"/>
          <w:szCs w:val="24"/>
          <w:lang w:val="en-GB"/>
        </w:rPr>
      </w:pPr>
      <w:r>
        <w:rPr>
          <w:i w:val="0"/>
          <w:iCs w:val="0"/>
          <w:sz w:val="24"/>
          <w:szCs w:val="24"/>
          <w:lang w:val="en-GB"/>
        </w:rPr>
        <w:t>Occupational Health Check</w:t>
      </w:r>
    </w:p>
    <w:p w14:paraId="29039005" w14:textId="11DA1BE7" w:rsidR="007012EB" w:rsidRDefault="007012EB" w:rsidP="007012EB">
      <w:pPr>
        <w:pStyle w:val="BodyText"/>
        <w:numPr>
          <w:ilvl w:val="0"/>
          <w:numId w:val="20"/>
        </w:numPr>
        <w:jc w:val="both"/>
        <w:rPr>
          <w:i w:val="0"/>
          <w:iCs w:val="0"/>
          <w:sz w:val="24"/>
          <w:szCs w:val="24"/>
          <w:lang w:val="en-GB"/>
        </w:rPr>
      </w:pPr>
      <w:r>
        <w:rPr>
          <w:i w:val="0"/>
          <w:iCs w:val="0"/>
          <w:sz w:val="24"/>
          <w:szCs w:val="24"/>
          <w:lang w:val="en-GB"/>
        </w:rPr>
        <w:t>Disclosure and Barring Service (DBS) clearance</w:t>
      </w:r>
    </w:p>
    <w:p w14:paraId="776D30BA" w14:textId="32F3382C" w:rsidR="007012EB" w:rsidRDefault="007012EB" w:rsidP="007012EB">
      <w:pPr>
        <w:pStyle w:val="BodyText"/>
        <w:jc w:val="both"/>
        <w:rPr>
          <w:i w:val="0"/>
          <w:iCs w:val="0"/>
          <w:sz w:val="24"/>
          <w:szCs w:val="24"/>
          <w:lang w:val="en-GB"/>
        </w:rPr>
      </w:pPr>
    </w:p>
    <w:p w14:paraId="37BEB957" w14:textId="60AD2697" w:rsidR="007012EB" w:rsidRPr="00455F01" w:rsidRDefault="007012EB" w:rsidP="00A64EEF">
      <w:pPr>
        <w:pStyle w:val="BodyText"/>
        <w:ind w:left="1128"/>
        <w:jc w:val="both"/>
        <w:rPr>
          <w:i w:val="0"/>
          <w:iCs w:val="0"/>
          <w:sz w:val="24"/>
          <w:szCs w:val="24"/>
          <w:lang w:val="en-GB"/>
        </w:rPr>
      </w:pPr>
      <w:r>
        <w:rPr>
          <w:i w:val="0"/>
          <w:iCs w:val="0"/>
          <w:sz w:val="24"/>
          <w:szCs w:val="24"/>
          <w:lang w:val="en-GB"/>
        </w:rPr>
        <w:t>The University may also request medical evidence confirming the student is fit to return to study, if applicable.</w:t>
      </w:r>
    </w:p>
    <w:p w14:paraId="27A21EF5" w14:textId="1161C227" w:rsidR="000E7401" w:rsidRPr="00B30DCA" w:rsidRDefault="000E7401" w:rsidP="000E7401">
      <w:pPr>
        <w:rPr>
          <w:rFonts w:cs="Arial"/>
          <w:bCs/>
          <w:sz w:val="14"/>
        </w:rPr>
      </w:pPr>
    </w:p>
    <w:p w14:paraId="025CFC5C" w14:textId="77777777" w:rsidR="003343E3" w:rsidRPr="003343E3" w:rsidRDefault="003343E3" w:rsidP="002D78F1">
      <w:pPr>
        <w:pStyle w:val="ListParagraph"/>
        <w:numPr>
          <w:ilvl w:val="0"/>
          <w:numId w:val="21"/>
        </w:numPr>
        <w:autoSpaceDE w:val="0"/>
        <w:autoSpaceDN w:val="0"/>
        <w:adjustRightInd w:val="0"/>
        <w:spacing w:after="0" w:line="240" w:lineRule="auto"/>
        <w:contextualSpacing w:val="0"/>
        <w:jc w:val="both"/>
        <w:rPr>
          <w:rFonts w:eastAsia="Times New Roman" w:cs="Arial"/>
          <w:vanish/>
          <w:szCs w:val="24"/>
        </w:rPr>
      </w:pPr>
    </w:p>
    <w:p w14:paraId="582F2DFA" w14:textId="48DFA882" w:rsidR="00287DEE" w:rsidRDefault="00287DEE" w:rsidP="004B0904">
      <w:pPr>
        <w:pStyle w:val="ListParagraph"/>
        <w:numPr>
          <w:ilvl w:val="0"/>
          <w:numId w:val="21"/>
        </w:numPr>
        <w:autoSpaceDE w:val="0"/>
        <w:autoSpaceDN w:val="0"/>
        <w:adjustRightInd w:val="0"/>
        <w:spacing w:after="0"/>
        <w:contextualSpacing w:val="0"/>
        <w:jc w:val="both"/>
        <w:rPr>
          <w:szCs w:val="24"/>
        </w:rPr>
      </w:pPr>
      <w:bookmarkStart w:id="12" w:name="_Hlk139361312"/>
      <w:r>
        <w:rPr>
          <w:szCs w:val="24"/>
        </w:rPr>
        <w:t>Students who are repeat</w:t>
      </w:r>
      <w:r w:rsidR="004D2073">
        <w:rPr>
          <w:szCs w:val="24"/>
        </w:rPr>
        <w:t>ing</w:t>
      </w:r>
      <w:r>
        <w:rPr>
          <w:szCs w:val="24"/>
        </w:rPr>
        <w:t xml:space="preserve"> the year following a </w:t>
      </w:r>
      <w:r w:rsidR="008D77CD">
        <w:rPr>
          <w:szCs w:val="24"/>
        </w:rPr>
        <w:t xml:space="preserve">Support </w:t>
      </w:r>
      <w:r>
        <w:rPr>
          <w:szCs w:val="24"/>
        </w:rPr>
        <w:t xml:space="preserve">to Study panel will be required to attend a return to study review </w:t>
      </w:r>
      <w:r w:rsidR="008D77CD">
        <w:rPr>
          <w:szCs w:val="24"/>
        </w:rPr>
        <w:t xml:space="preserve">meeting </w:t>
      </w:r>
      <w:r>
        <w:rPr>
          <w:szCs w:val="24"/>
        </w:rPr>
        <w:t xml:space="preserve">to ensure they are fit to study and have the appropriate support in place. </w:t>
      </w:r>
      <w:r w:rsidR="00B716B3">
        <w:rPr>
          <w:szCs w:val="24"/>
        </w:rPr>
        <w:t>Further details are provided under</w:t>
      </w:r>
      <w:r>
        <w:rPr>
          <w:szCs w:val="24"/>
        </w:rPr>
        <w:t xml:space="preserve"> Appendix-16-</w:t>
      </w:r>
      <w:r w:rsidR="008D77CD">
        <w:rPr>
          <w:szCs w:val="24"/>
        </w:rPr>
        <w:t>Support</w:t>
      </w:r>
      <w:r>
        <w:rPr>
          <w:szCs w:val="24"/>
        </w:rPr>
        <w:t xml:space="preserve"> to Study procedures.</w:t>
      </w:r>
      <w:bookmarkEnd w:id="12"/>
    </w:p>
    <w:p w14:paraId="7DE6764D" w14:textId="77777777" w:rsidR="00287DEE" w:rsidRPr="00B30DCA" w:rsidRDefault="00287DEE" w:rsidP="004B0904">
      <w:pPr>
        <w:pStyle w:val="ListParagraph"/>
        <w:autoSpaceDE w:val="0"/>
        <w:autoSpaceDN w:val="0"/>
        <w:adjustRightInd w:val="0"/>
        <w:spacing w:after="0"/>
        <w:ind w:left="1080"/>
        <w:contextualSpacing w:val="0"/>
        <w:jc w:val="both"/>
        <w:rPr>
          <w:szCs w:val="24"/>
        </w:rPr>
      </w:pPr>
    </w:p>
    <w:p w14:paraId="35C8BE87" w14:textId="0AA4326D" w:rsidR="002D78F1" w:rsidRPr="00B0004E" w:rsidRDefault="002D78F1" w:rsidP="004B0904">
      <w:pPr>
        <w:pStyle w:val="ListParagraph"/>
        <w:numPr>
          <w:ilvl w:val="0"/>
          <w:numId w:val="21"/>
        </w:numPr>
        <w:autoSpaceDE w:val="0"/>
        <w:autoSpaceDN w:val="0"/>
        <w:adjustRightInd w:val="0"/>
        <w:spacing w:after="0"/>
        <w:contextualSpacing w:val="0"/>
        <w:jc w:val="both"/>
        <w:rPr>
          <w:szCs w:val="24"/>
        </w:rPr>
      </w:pPr>
      <w:r w:rsidRPr="00B0004E">
        <w:rPr>
          <w:szCs w:val="24"/>
        </w:rPr>
        <w:t xml:space="preserve">Academic Registry will ensure that all stipulated conditions to return </w:t>
      </w:r>
      <w:r w:rsidR="00677BB8" w:rsidRPr="00B0004E">
        <w:rPr>
          <w:szCs w:val="24"/>
        </w:rPr>
        <w:t>to study have been met before a student is able to re-enrol onto their programme.</w:t>
      </w:r>
    </w:p>
    <w:p w14:paraId="54115709" w14:textId="3844C44B" w:rsidR="00677BB8" w:rsidRPr="00B30DCA" w:rsidRDefault="00677BB8" w:rsidP="004B0904">
      <w:pPr>
        <w:pStyle w:val="BodyText"/>
        <w:spacing w:line="276" w:lineRule="auto"/>
        <w:ind w:left="360"/>
        <w:jc w:val="both"/>
        <w:rPr>
          <w:i w:val="0"/>
          <w:iCs w:val="0"/>
          <w:sz w:val="24"/>
          <w:szCs w:val="24"/>
          <w:lang w:val="en-GB"/>
        </w:rPr>
      </w:pPr>
    </w:p>
    <w:p w14:paraId="31921796" w14:textId="5C44C5C5" w:rsidR="00677BB8" w:rsidRPr="00B0004E" w:rsidRDefault="00331A93" w:rsidP="004B0904">
      <w:pPr>
        <w:pStyle w:val="BodyText"/>
        <w:numPr>
          <w:ilvl w:val="0"/>
          <w:numId w:val="21"/>
        </w:numPr>
        <w:spacing w:line="276" w:lineRule="auto"/>
        <w:jc w:val="both"/>
        <w:rPr>
          <w:i w:val="0"/>
          <w:iCs w:val="0"/>
          <w:sz w:val="24"/>
          <w:szCs w:val="24"/>
          <w:lang w:val="en-GB"/>
        </w:rPr>
      </w:pPr>
      <w:r w:rsidRPr="00B0004E">
        <w:rPr>
          <w:i w:val="0"/>
          <w:iCs w:val="0"/>
          <w:sz w:val="24"/>
          <w:szCs w:val="24"/>
          <w:lang w:val="en-GB"/>
        </w:rPr>
        <w:t xml:space="preserve">A support meeting </w:t>
      </w:r>
      <w:r w:rsidR="007764C1" w:rsidRPr="00B0004E">
        <w:rPr>
          <w:i w:val="0"/>
          <w:iCs w:val="0"/>
          <w:sz w:val="24"/>
          <w:szCs w:val="24"/>
          <w:lang w:val="en-GB"/>
        </w:rPr>
        <w:t xml:space="preserve">may </w:t>
      </w:r>
      <w:r w:rsidRPr="00B0004E">
        <w:rPr>
          <w:i w:val="0"/>
          <w:iCs w:val="0"/>
          <w:sz w:val="24"/>
          <w:szCs w:val="24"/>
          <w:lang w:val="en-GB"/>
        </w:rPr>
        <w:t xml:space="preserve">be held between the student and relevant parties in the faculty. The aim of this meeting is to ensure that the student is well supported as they adjust to returning to </w:t>
      </w:r>
      <w:r w:rsidR="004E464F" w:rsidRPr="00B0004E">
        <w:rPr>
          <w:i w:val="0"/>
          <w:iCs w:val="0"/>
          <w:sz w:val="24"/>
          <w:szCs w:val="24"/>
          <w:lang w:val="en-GB"/>
        </w:rPr>
        <w:t>repeat the year</w:t>
      </w:r>
      <w:r w:rsidRPr="00B0004E">
        <w:rPr>
          <w:i w:val="0"/>
          <w:iCs w:val="0"/>
          <w:sz w:val="24"/>
          <w:szCs w:val="24"/>
          <w:lang w:val="en-GB"/>
        </w:rPr>
        <w:t>.</w:t>
      </w:r>
    </w:p>
    <w:p w14:paraId="666039AC" w14:textId="14916D61" w:rsidR="00331A93" w:rsidRPr="00B30DCA" w:rsidRDefault="00331A93" w:rsidP="004B0904">
      <w:pPr>
        <w:pStyle w:val="BodyText"/>
        <w:spacing w:line="276" w:lineRule="auto"/>
        <w:ind w:left="360"/>
        <w:jc w:val="both"/>
        <w:rPr>
          <w:i w:val="0"/>
          <w:iCs w:val="0"/>
          <w:sz w:val="24"/>
          <w:szCs w:val="24"/>
          <w:lang w:val="en-GB"/>
        </w:rPr>
      </w:pPr>
    </w:p>
    <w:p w14:paraId="21C64F50" w14:textId="6E213E38" w:rsidR="00331A93" w:rsidRDefault="00331A93" w:rsidP="004B0904">
      <w:pPr>
        <w:pStyle w:val="BodyText"/>
        <w:numPr>
          <w:ilvl w:val="0"/>
          <w:numId w:val="21"/>
        </w:numPr>
        <w:spacing w:line="276" w:lineRule="auto"/>
        <w:jc w:val="both"/>
        <w:rPr>
          <w:i w:val="0"/>
          <w:iCs w:val="0"/>
          <w:sz w:val="24"/>
          <w:szCs w:val="24"/>
          <w:lang w:val="en-GB"/>
        </w:rPr>
      </w:pPr>
      <w:r>
        <w:rPr>
          <w:i w:val="0"/>
          <w:iCs w:val="0"/>
          <w:sz w:val="24"/>
          <w:szCs w:val="24"/>
          <w:lang w:val="en-GB"/>
        </w:rPr>
        <w:t>The student is required to re-enrol onto their programme as per the arrangements published by Academic Registry.</w:t>
      </w:r>
    </w:p>
    <w:p w14:paraId="11CDEC0A" w14:textId="23E50524" w:rsidR="00331A93" w:rsidRPr="00B30DCA" w:rsidRDefault="00331A93" w:rsidP="004B0904">
      <w:pPr>
        <w:pStyle w:val="BodyText"/>
        <w:spacing w:line="276" w:lineRule="auto"/>
        <w:ind w:left="360"/>
        <w:jc w:val="both"/>
        <w:rPr>
          <w:i w:val="0"/>
          <w:iCs w:val="0"/>
          <w:sz w:val="24"/>
          <w:szCs w:val="24"/>
          <w:lang w:val="en-GB"/>
        </w:rPr>
      </w:pPr>
    </w:p>
    <w:p w14:paraId="7FBD40DC" w14:textId="113D6E65" w:rsidR="000F6054" w:rsidRPr="004B0904" w:rsidRDefault="00331A93" w:rsidP="004B0904">
      <w:pPr>
        <w:pStyle w:val="BodyText"/>
        <w:numPr>
          <w:ilvl w:val="0"/>
          <w:numId w:val="21"/>
        </w:numPr>
        <w:spacing w:line="276" w:lineRule="auto"/>
        <w:jc w:val="both"/>
        <w:rPr>
          <w:bCs/>
          <w:szCs w:val="24"/>
        </w:rPr>
      </w:pPr>
      <w:r>
        <w:rPr>
          <w:i w:val="0"/>
          <w:iCs w:val="0"/>
          <w:sz w:val="24"/>
          <w:szCs w:val="24"/>
          <w:lang w:val="en-GB"/>
        </w:rPr>
        <w:t>Once the student has re-enrolled, Academic Registry will notify relevant bodies (such as the Student Loans Company and/or NHS Business Services Authority) of the student’s return to study.</w:t>
      </w:r>
    </w:p>
    <w:p w14:paraId="73215B12" w14:textId="77777777" w:rsidR="000F6054" w:rsidRDefault="000F6054" w:rsidP="00B716B3">
      <w:pPr>
        <w:pStyle w:val="ListParagraph"/>
        <w:rPr>
          <w:bCs/>
          <w:sz w:val="16"/>
          <w:szCs w:val="16"/>
        </w:rPr>
      </w:pPr>
    </w:p>
    <w:p w14:paraId="3B2DE833" w14:textId="77777777" w:rsidR="00B30DCA" w:rsidRDefault="00B30DCA" w:rsidP="00B716B3">
      <w:pPr>
        <w:pStyle w:val="ListParagraph"/>
        <w:rPr>
          <w:bCs/>
          <w:sz w:val="16"/>
          <w:szCs w:val="16"/>
        </w:rPr>
      </w:pPr>
    </w:p>
    <w:p w14:paraId="3F7B4CDB" w14:textId="77777777" w:rsidR="00B30DCA" w:rsidRDefault="00B30DCA" w:rsidP="00B716B3">
      <w:pPr>
        <w:pStyle w:val="ListParagraph"/>
        <w:rPr>
          <w:bCs/>
          <w:sz w:val="16"/>
          <w:szCs w:val="16"/>
        </w:rPr>
      </w:pPr>
    </w:p>
    <w:p w14:paraId="2AFE8A89" w14:textId="77777777" w:rsidR="00B30DCA" w:rsidRPr="00096418" w:rsidRDefault="00B30DCA" w:rsidP="00B716B3">
      <w:pPr>
        <w:pStyle w:val="ListParagraph"/>
        <w:rPr>
          <w:bCs/>
          <w:sz w:val="16"/>
          <w:szCs w:val="16"/>
        </w:rPr>
      </w:pPr>
    </w:p>
    <w:p w14:paraId="5F689229" w14:textId="565C9B01" w:rsidR="000F6054" w:rsidRPr="002B538F" w:rsidRDefault="000F6054" w:rsidP="000F6054">
      <w:pPr>
        <w:pStyle w:val="Heading2"/>
        <w:ind w:left="426"/>
      </w:pPr>
      <w:r>
        <w:lastRenderedPageBreak/>
        <w:t xml:space="preserve"> </w:t>
      </w:r>
      <w:bookmarkStart w:id="13" w:name="_Toc139362108"/>
      <w:r>
        <w:t>6.  Links to other policies and procedures</w:t>
      </w:r>
      <w:bookmarkEnd w:id="13"/>
    </w:p>
    <w:p w14:paraId="49BC1565" w14:textId="77777777" w:rsidR="000F6054" w:rsidRPr="00471D84" w:rsidRDefault="000F6054" w:rsidP="000F6054">
      <w:pPr>
        <w:pStyle w:val="BodyText"/>
        <w:jc w:val="both"/>
        <w:rPr>
          <w:i w:val="0"/>
          <w:iCs w:val="0"/>
          <w:sz w:val="20"/>
          <w:szCs w:val="20"/>
          <w:lang w:val="en-GB"/>
        </w:rPr>
      </w:pPr>
    </w:p>
    <w:p w14:paraId="169265BE" w14:textId="77777777" w:rsidR="00471D84" w:rsidRPr="004527E3" w:rsidRDefault="00471D84" w:rsidP="000F6054">
      <w:pPr>
        <w:pStyle w:val="BodyText"/>
        <w:jc w:val="both"/>
        <w:rPr>
          <w:i w:val="0"/>
          <w:iCs w:val="0"/>
          <w:sz w:val="18"/>
          <w:lang w:val="en-GB"/>
        </w:rPr>
      </w:pPr>
    </w:p>
    <w:p w14:paraId="4F8DB01D" w14:textId="2622B9D9" w:rsidR="000F6054" w:rsidRPr="002B0E73" w:rsidRDefault="003C3988" w:rsidP="003C3988">
      <w:pPr>
        <w:pStyle w:val="BodyText"/>
        <w:numPr>
          <w:ilvl w:val="0"/>
          <w:numId w:val="21"/>
        </w:numPr>
        <w:spacing w:line="276" w:lineRule="auto"/>
        <w:jc w:val="both"/>
        <w:rPr>
          <w:i w:val="0"/>
          <w:iCs w:val="0"/>
          <w:sz w:val="24"/>
          <w:szCs w:val="24"/>
          <w:lang w:val="en-GB"/>
        </w:rPr>
      </w:pPr>
      <w:r w:rsidRPr="003C3988">
        <w:rPr>
          <w:i w:val="0"/>
          <w:iCs w:val="0"/>
          <w:szCs w:val="24"/>
        </w:rPr>
        <w:t xml:space="preserve">The </w:t>
      </w:r>
      <w:r>
        <w:rPr>
          <w:i w:val="0"/>
          <w:iCs w:val="0"/>
          <w:szCs w:val="24"/>
        </w:rPr>
        <w:t>repeat year</w:t>
      </w:r>
      <w:r w:rsidRPr="003C3988">
        <w:rPr>
          <w:i w:val="0"/>
          <w:iCs w:val="0"/>
          <w:szCs w:val="24"/>
        </w:rPr>
        <w:t xml:space="preserve"> process may also be used by Support to Study panels or as part of the Safeguarding Policy. The specific conditions detailed in this document may be adjusted in line with a Support to Study panel decision or as part of a Safeguarding decision. Further details are provided under Appendix 16: Support to Study Procedures and the Safeguarding Polic</w:t>
      </w:r>
      <w:r>
        <w:rPr>
          <w:szCs w:val="24"/>
        </w:rPr>
        <w:t>y</w:t>
      </w:r>
      <w:r w:rsidR="00702D83">
        <w:rPr>
          <w:i w:val="0"/>
          <w:iCs w:val="0"/>
          <w:sz w:val="24"/>
          <w:szCs w:val="24"/>
          <w:lang w:val="en-GB"/>
        </w:rPr>
        <w:t xml:space="preserve">. </w:t>
      </w:r>
    </w:p>
    <w:p w14:paraId="1445F396" w14:textId="4A30121D" w:rsidR="008756C9" w:rsidRPr="00DE2A3C" w:rsidRDefault="008756C9" w:rsidP="00B716B3">
      <w:pPr>
        <w:pStyle w:val="BodyText"/>
        <w:jc w:val="both"/>
        <w:rPr>
          <w:i w:val="0"/>
          <w:iCs w:val="0"/>
          <w:sz w:val="32"/>
          <w:szCs w:val="24"/>
          <w:lang w:val="en-GB"/>
        </w:rPr>
      </w:pPr>
    </w:p>
    <w:p w14:paraId="481AAA60" w14:textId="5355CF9A" w:rsidR="00455F01" w:rsidRPr="002B538F" w:rsidRDefault="000F6054" w:rsidP="002B538F">
      <w:pPr>
        <w:pStyle w:val="Heading2"/>
        <w:ind w:left="426"/>
      </w:pPr>
      <w:bookmarkStart w:id="14" w:name="_Toc139362109"/>
      <w:r>
        <w:t>7</w:t>
      </w:r>
      <w:r w:rsidR="00E657F4">
        <w:t xml:space="preserve">. </w:t>
      </w:r>
      <w:r w:rsidR="005218E2">
        <w:t xml:space="preserve"> </w:t>
      </w:r>
      <w:r w:rsidR="00E657F4">
        <w:t>Appeals Procedure</w:t>
      </w:r>
      <w:bookmarkEnd w:id="14"/>
    </w:p>
    <w:p w14:paraId="1323F043" w14:textId="77777777" w:rsidR="00C94833" w:rsidRPr="00096418" w:rsidRDefault="00C94833" w:rsidP="007E2B7D">
      <w:pPr>
        <w:pStyle w:val="BodyText"/>
        <w:spacing w:line="276" w:lineRule="auto"/>
        <w:jc w:val="both"/>
        <w:rPr>
          <w:i w:val="0"/>
          <w:iCs w:val="0"/>
          <w:sz w:val="28"/>
          <w:szCs w:val="28"/>
          <w:lang w:val="en-GB"/>
        </w:rPr>
      </w:pPr>
    </w:p>
    <w:p w14:paraId="7DB6C4DC" w14:textId="17BE9AAF" w:rsidR="008756C9" w:rsidRPr="002B0E73" w:rsidRDefault="008756C9" w:rsidP="003C3988">
      <w:pPr>
        <w:pStyle w:val="BodyText"/>
        <w:numPr>
          <w:ilvl w:val="0"/>
          <w:numId w:val="21"/>
        </w:numPr>
        <w:spacing w:line="276" w:lineRule="auto"/>
        <w:jc w:val="both"/>
        <w:rPr>
          <w:i w:val="0"/>
          <w:iCs w:val="0"/>
          <w:sz w:val="24"/>
          <w:szCs w:val="24"/>
          <w:lang w:val="en-GB"/>
        </w:rPr>
      </w:pPr>
      <w:r w:rsidRPr="002B0E73">
        <w:rPr>
          <w:i w:val="0"/>
          <w:iCs w:val="0"/>
          <w:sz w:val="24"/>
          <w:szCs w:val="24"/>
          <w:lang w:val="en-GB"/>
        </w:rPr>
        <w:t>Where a student believes there has been a procedural error in the decision to reject their application to repeat a year, the normal appeals process may be followed. Further details are provided under Appendix 22</w:t>
      </w:r>
      <w:r w:rsidR="0033217D">
        <w:rPr>
          <w:i w:val="0"/>
          <w:iCs w:val="0"/>
          <w:sz w:val="24"/>
          <w:szCs w:val="24"/>
          <w:lang w:val="en-GB"/>
        </w:rPr>
        <w:t>:</w:t>
      </w:r>
      <w:r w:rsidRPr="002B0E73">
        <w:rPr>
          <w:i w:val="0"/>
          <w:iCs w:val="0"/>
          <w:sz w:val="24"/>
          <w:szCs w:val="24"/>
          <w:lang w:val="en-GB"/>
        </w:rPr>
        <w:t xml:space="preserve"> Academic Appeals Procedures.</w:t>
      </w:r>
    </w:p>
    <w:p w14:paraId="5DA53B27" w14:textId="3DBE0493" w:rsidR="008756C9" w:rsidRPr="00C36DB6" w:rsidRDefault="008756C9" w:rsidP="006E7550">
      <w:pPr>
        <w:pStyle w:val="Heading2"/>
      </w:pPr>
    </w:p>
    <w:p w14:paraId="67395070" w14:textId="2B8F680F" w:rsidR="009F42B2" w:rsidRPr="00E058CD" w:rsidRDefault="009F42B2" w:rsidP="009F42B2">
      <w:pPr>
        <w:pStyle w:val="Heading1"/>
      </w:pPr>
      <w:bookmarkStart w:id="15" w:name="_Toc2346349"/>
      <w:bookmarkStart w:id="16" w:name="_Toc139362110"/>
      <w:r w:rsidRPr="00E058CD">
        <w:t>Key to Relevant Documents</w:t>
      </w:r>
      <w:bookmarkEnd w:id="15"/>
      <w:bookmarkEnd w:id="16"/>
      <w:r w:rsidRPr="00E058CD">
        <w:t xml:space="preserve"> </w:t>
      </w:r>
    </w:p>
    <w:p w14:paraId="596705ED" w14:textId="3787DA85" w:rsidR="00061D4D" w:rsidRPr="00061D4D" w:rsidRDefault="009F42B2" w:rsidP="00061D4D">
      <w:pPr>
        <w:rPr>
          <w:szCs w:val="24"/>
        </w:rPr>
      </w:pPr>
      <w:r w:rsidRPr="00D33732">
        <w:rPr>
          <w:szCs w:val="24"/>
        </w:rPr>
        <w:t>This policy refers to the following documents, which you may find useful.</w:t>
      </w:r>
    </w:p>
    <w:p w14:paraId="749C8B94" w14:textId="1E80469C" w:rsidR="00061D4D" w:rsidRDefault="001843B0" w:rsidP="001843B0">
      <w:hyperlink r:id="rId9" w:history="1">
        <w:r>
          <w:rPr>
            <w:rStyle w:val="Hyperlink"/>
          </w:rPr>
          <w:t>2024-25 Academic Regulations</w:t>
        </w:r>
      </w:hyperlink>
    </w:p>
    <w:p w14:paraId="39F10941" w14:textId="77777777" w:rsidR="00061D4D" w:rsidRDefault="00061D4D" w:rsidP="00061D4D">
      <w:pPr>
        <w:pStyle w:val="ListParagraph"/>
      </w:pPr>
    </w:p>
    <w:p w14:paraId="66414F33" w14:textId="0FB97916" w:rsidR="001E1905" w:rsidRDefault="001E1905" w:rsidP="001E1905">
      <w:pPr>
        <w:pStyle w:val="ListParagraph"/>
        <w:numPr>
          <w:ilvl w:val="0"/>
          <w:numId w:val="26"/>
        </w:numPr>
      </w:pPr>
      <w:r>
        <w:t>The Academic Regulations Appendix 7 – Procedures for the submission of Personal Circumstances</w:t>
      </w:r>
    </w:p>
    <w:p w14:paraId="0326056C" w14:textId="77777777" w:rsidR="001E1905" w:rsidRDefault="001E1905" w:rsidP="001E1905">
      <w:pPr>
        <w:pStyle w:val="ListParagraph"/>
        <w:numPr>
          <w:ilvl w:val="0"/>
          <w:numId w:val="26"/>
        </w:numPr>
      </w:pPr>
      <w:r>
        <w:t xml:space="preserve">The Academic Regulations </w:t>
      </w:r>
      <w:r w:rsidRPr="00B421A9">
        <w:t>Appendix 9 - Interruption Policy</w:t>
      </w:r>
    </w:p>
    <w:p w14:paraId="0355A373" w14:textId="77777777" w:rsidR="001E1905" w:rsidRDefault="001E1905" w:rsidP="001E1905">
      <w:pPr>
        <w:pStyle w:val="ListParagraph"/>
        <w:numPr>
          <w:ilvl w:val="0"/>
          <w:numId w:val="26"/>
        </w:numPr>
      </w:pPr>
      <w:r>
        <w:t>The Academic Regulations Appendix 17 - Fitness to Practice</w:t>
      </w:r>
    </w:p>
    <w:p w14:paraId="076C37B7" w14:textId="329E0275" w:rsidR="001E1905" w:rsidRPr="001E1905" w:rsidRDefault="001E1905" w:rsidP="001E1905">
      <w:pPr>
        <w:pStyle w:val="ListParagraph"/>
        <w:numPr>
          <w:ilvl w:val="0"/>
          <w:numId w:val="26"/>
        </w:numPr>
        <w:rPr>
          <w:color w:val="800080" w:themeColor="hyperlink"/>
          <w:u w:val="single"/>
        </w:rPr>
      </w:pPr>
      <w:r>
        <w:t xml:space="preserve">The Academic Regulations Appendix 16 - </w:t>
      </w:r>
      <w:r w:rsidR="008D77CD">
        <w:t xml:space="preserve">Support </w:t>
      </w:r>
      <w:r>
        <w:t>to Study</w:t>
      </w:r>
      <w:r w:rsidRPr="00B421A9">
        <w:t xml:space="preserve"> </w:t>
      </w:r>
    </w:p>
    <w:p w14:paraId="430F07D7" w14:textId="2CE97A6D" w:rsidR="001E1905" w:rsidRPr="00604EDB" w:rsidRDefault="001E1905" w:rsidP="001E1905">
      <w:pPr>
        <w:pStyle w:val="ListParagraph"/>
        <w:numPr>
          <w:ilvl w:val="0"/>
          <w:numId w:val="26"/>
        </w:numPr>
        <w:rPr>
          <w:color w:val="800080" w:themeColor="hyperlink"/>
          <w:u w:val="single"/>
        </w:rPr>
      </w:pPr>
      <w:r>
        <w:t>The Academic Regulations Appendix 26 - Withdrawal Procedures</w:t>
      </w:r>
    </w:p>
    <w:p w14:paraId="5DA21F27" w14:textId="77777777" w:rsidR="001E1905" w:rsidRPr="00A25BEA" w:rsidRDefault="001E1905" w:rsidP="001E1905">
      <w:pPr>
        <w:pStyle w:val="Default"/>
        <w:widowControl w:val="0"/>
        <w:spacing w:line="276" w:lineRule="auto"/>
        <w:rPr>
          <w:color w:val="000000" w:themeColor="text1"/>
          <w:sz w:val="12"/>
          <w:szCs w:val="12"/>
        </w:rPr>
      </w:pPr>
    </w:p>
    <w:p w14:paraId="2F91F36F" w14:textId="77777777" w:rsidR="001E1905" w:rsidRDefault="001843B0" w:rsidP="001E1905">
      <w:pPr>
        <w:rPr>
          <w:color w:val="000000" w:themeColor="text1"/>
        </w:rPr>
      </w:pPr>
      <w:hyperlink r:id="rId10" w:history="1">
        <w:r w:rsidR="001E1905" w:rsidRPr="003912EE">
          <w:rPr>
            <w:rStyle w:val="Hyperlink"/>
            <w:szCs w:val="24"/>
          </w:rPr>
          <w:t xml:space="preserve">Academic Programme Engagement Framework </w:t>
        </w:r>
      </w:hyperlink>
    </w:p>
    <w:p w14:paraId="0D34C21E" w14:textId="77777777" w:rsidR="001E1905" w:rsidRDefault="001843B0" w:rsidP="001E1905">
      <w:pPr>
        <w:rPr>
          <w:rStyle w:val="Hyperlink"/>
        </w:rPr>
      </w:pPr>
      <w:hyperlink r:id="rId11" w:history="1">
        <w:r w:rsidR="001E1905" w:rsidRPr="00A25BEA">
          <w:rPr>
            <w:rStyle w:val="Hyperlink"/>
          </w:rPr>
          <w:t>Research Degree Regulations</w:t>
        </w:r>
      </w:hyperlink>
    </w:p>
    <w:p w14:paraId="7453DAE7" w14:textId="77777777" w:rsidR="003C3988" w:rsidRDefault="001843B0" w:rsidP="003C3988">
      <w:pPr>
        <w:rPr>
          <w:color w:val="000000" w:themeColor="text1"/>
        </w:rPr>
      </w:pPr>
      <w:hyperlink r:id="rId12" w:history="1">
        <w:r w:rsidR="003C3988" w:rsidRPr="0098440A">
          <w:rPr>
            <w:rStyle w:val="Hyperlink"/>
          </w:rPr>
          <w:t>Safeguarding Policy</w:t>
        </w:r>
      </w:hyperlink>
    </w:p>
    <w:p w14:paraId="77F45AFF" w14:textId="77777777" w:rsidR="003C3988" w:rsidRDefault="003C3988" w:rsidP="001E1905">
      <w:pPr>
        <w:rPr>
          <w:color w:val="000000" w:themeColor="text1"/>
        </w:rPr>
      </w:pPr>
    </w:p>
    <w:p w14:paraId="7C8FE5CC" w14:textId="77777777" w:rsidR="001E1905" w:rsidRDefault="001E1905" w:rsidP="002B538F">
      <w:pPr>
        <w:rPr>
          <w:szCs w:val="24"/>
        </w:rPr>
      </w:pPr>
    </w:p>
    <w:p w14:paraId="033E0137" w14:textId="3E069EB2" w:rsidR="00732614" w:rsidRPr="007333F3" w:rsidRDefault="009F42B2" w:rsidP="001E1905">
      <w:pPr>
        <w:rPr>
          <w:rStyle w:val="Hyperlink"/>
        </w:rPr>
      </w:pPr>
      <w:r w:rsidRPr="00D33732">
        <w:rPr>
          <w:szCs w:val="24"/>
        </w:rPr>
        <w:t xml:space="preserve"> </w:t>
      </w:r>
    </w:p>
    <w:p w14:paraId="3F436D0F" w14:textId="77777777" w:rsidR="007333F3" w:rsidRDefault="007333F3" w:rsidP="00DD365C">
      <w:pPr>
        <w:pStyle w:val="ListParagraph"/>
        <w:rPr>
          <w:rStyle w:val="Hyperlink"/>
        </w:rPr>
      </w:pPr>
    </w:p>
    <w:p w14:paraId="59CEDF9F" w14:textId="5927D4BD" w:rsidR="00D34442" w:rsidRDefault="00D34442" w:rsidP="005E4730">
      <w:pPr>
        <w:rPr>
          <w:rStyle w:val="Hyperlink"/>
          <w:sz w:val="23"/>
          <w:szCs w:val="23"/>
        </w:rPr>
      </w:pPr>
    </w:p>
    <w:p w14:paraId="5C88EC99" w14:textId="77777777" w:rsidR="005E4730" w:rsidRDefault="005E4730" w:rsidP="005E4730">
      <w:pPr>
        <w:rPr>
          <w:rStyle w:val="Hyperlink"/>
          <w:sz w:val="23"/>
          <w:szCs w:val="23"/>
        </w:rPr>
      </w:pPr>
    </w:p>
    <w:p w14:paraId="025A73B9" w14:textId="77777777" w:rsidR="005E4730" w:rsidRDefault="005E4730" w:rsidP="005E4730">
      <w:pPr>
        <w:rPr>
          <w:rStyle w:val="Hyperlink"/>
          <w:sz w:val="23"/>
          <w:szCs w:val="23"/>
        </w:rPr>
      </w:pPr>
    </w:p>
    <w:p w14:paraId="39CDC9A9" w14:textId="77777777" w:rsidR="005E4730" w:rsidRPr="005E4730" w:rsidRDefault="005E4730" w:rsidP="005E4730">
      <w:pPr>
        <w:rPr>
          <w:rStyle w:val="Hyperlink"/>
          <w:sz w:val="23"/>
          <w:szCs w:val="23"/>
        </w:rPr>
      </w:pPr>
    </w:p>
    <w:p w14:paraId="786F4858" w14:textId="6804B024" w:rsidR="00C00807" w:rsidRDefault="00C00807" w:rsidP="00C00807">
      <w:pPr>
        <w:pStyle w:val="Heading1"/>
      </w:pPr>
      <w:bookmarkStart w:id="17" w:name="_Toc22026350"/>
      <w:bookmarkStart w:id="18" w:name="_Toc139362111"/>
      <w:r w:rsidRPr="000A53D9">
        <w:t>Annexes</w:t>
      </w:r>
      <w:bookmarkEnd w:id="17"/>
      <w:bookmarkEnd w:id="18"/>
      <w:r>
        <w:t xml:space="preserve"> </w:t>
      </w:r>
    </w:p>
    <w:p w14:paraId="0E4640AC" w14:textId="77777777" w:rsidR="00DF28B1" w:rsidRDefault="00DF28B1" w:rsidP="00DF28B1">
      <w:pPr>
        <w:pStyle w:val="Default"/>
        <w:spacing w:line="276" w:lineRule="auto"/>
        <w:ind w:left="-112"/>
        <w:jc w:val="both"/>
      </w:pPr>
    </w:p>
    <w:p w14:paraId="106FF48B" w14:textId="7C211C8C" w:rsidR="00DF28B1" w:rsidRDefault="001843B0" w:rsidP="00DF28B1">
      <w:pPr>
        <w:pStyle w:val="Default"/>
        <w:spacing w:line="276" w:lineRule="auto"/>
        <w:ind w:left="-112"/>
        <w:jc w:val="both"/>
      </w:pPr>
      <w:hyperlink r:id="rId13" w:history="1">
        <w:r w:rsidR="00DF28B1" w:rsidRPr="00DF28B1">
          <w:rPr>
            <w:rStyle w:val="Hyperlink"/>
          </w:rPr>
          <w:t>Academic Registry</w:t>
        </w:r>
      </w:hyperlink>
      <w:r w:rsidR="00DF28B1" w:rsidRPr="00C80DCB">
        <w:t xml:space="preserve"> </w:t>
      </w:r>
    </w:p>
    <w:p w14:paraId="7B509C9C" w14:textId="77777777" w:rsidR="00DF28B1" w:rsidRPr="005C6227" w:rsidRDefault="001843B0" w:rsidP="00DF28B1">
      <w:pPr>
        <w:pStyle w:val="Default"/>
        <w:spacing w:line="276" w:lineRule="auto"/>
        <w:ind w:left="-112"/>
        <w:jc w:val="both"/>
        <w:rPr>
          <w:rStyle w:val="Hyperlink"/>
        </w:rPr>
      </w:pPr>
      <w:hyperlink r:id="rId14" w:history="1">
        <w:r w:rsidR="00DF28B1" w:rsidRPr="00DF28B1">
          <w:rPr>
            <w:rStyle w:val="Hyperlink"/>
          </w:rPr>
          <w:t>Student Services</w:t>
        </w:r>
      </w:hyperlink>
    </w:p>
    <w:p w14:paraId="3F46BFD7" w14:textId="0368D40A" w:rsidR="00DF28B1" w:rsidRPr="005C6227" w:rsidRDefault="001843B0" w:rsidP="005C6227">
      <w:pPr>
        <w:pStyle w:val="Default"/>
        <w:spacing w:line="276" w:lineRule="auto"/>
        <w:ind w:left="-112"/>
        <w:jc w:val="both"/>
        <w:rPr>
          <w:rStyle w:val="Hyperlink"/>
        </w:rPr>
      </w:pPr>
      <w:hyperlink r:id="rId15" w:history="1">
        <w:r w:rsidR="00DF28B1" w:rsidRPr="00DF28B1">
          <w:rPr>
            <w:rStyle w:val="Hyperlink"/>
          </w:rPr>
          <w:t>Student Support team</w:t>
        </w:r>
      </w:hyperlink>
    </w:p>
    <w:p w14:paraId="0C3DF0AC" w14:textId="3209A20F" w:rsidR="00DF28B1" w:rsidRPr="005C6227" w:rsidRDefault="001843B0" w:rsidP="00DF28B1">
      <w:pPr>
        <w:pStyle w:val="Default"/>
        <w:spacing w:line="276" w:lineRule="auto"/>
        <w:ind w:left="-112"/>
        <w:jc w:val="both"/>
        <w:rPr>
          <w:rStyle w:val="Hyperlink"/>
        </w:rPr>
      </w:pPr>
      <w:hyperlink r:id="rId16" w:history="1">
        <w:r w:rsidR="005C6227" w:rsidRPr="005C6227">
          <w:rPr>
            <w:rStyle w:val="Hyperlink"/>
          </w:rPr>
          <w:t xml:space="preserve">Students’ Union Student Advice and Representation Centre </w:t>
        </w:r>
      </w:hyperlink>
      <w:r w:rsidR="005C6227" w:rsidRPr="005C6227">
        <w:rPr>
          <w:rStyle w:val="Hyperlink"/>
        </w:rPr>
        <w:t xml:space="preserve"> </w:t>
      </w:r>
    </w:p>
    <w:p w14:paraId="49D0AB1D" w14:textId="77777777" w:rsidR="00DF28B1" w:rsidRPr="00DF28B1" w:rsidRDefault="00DF28B1" w:rsidP="00DF28B1"/>
    <w:p w14:paraId="7FED26AF" w14:textId="2FB9ED2F" w:rsidR="006A5B50" w:rsidRDefault="00E058CD" w:rsidP="00DE2A3C">
      <w:pPr>
        <w:pStyle w:val="Heading1"/>
      </w:pPr>
      <w:bookmarkStart w:id="19" w:name="_Toc139362112"/>
      <w:proofErr w:type="spellStart"/>
      <w:r>
        <w:t>E</w:t>
      </w:r>
      <w:r w:rsidR="000D23AF" w:rsidRPr="000D23AF">
        <w:t>ndmatter</w:t>
      </w:r>
      <w:bookmarkEnd w:id="19"/>
      <w:proofErr w:type="spellEnd"/>
    </w:p>
    <w:p w14:paraId="2411A6E5" w14:textId="77777777" w:rsidR="006E7550" w:rsidRPr="006E7550" w:rsidRDefault="006E7550" w:rsidP="006E7550"/>
    <w:tbl>
      <w:tblPr>
        <w:tblStyle w:val="TableGrid"/>
        <w:tblW w:w="9067" w:type="dxa"/>
        <w:tblLook w:val="04A0" w:firstRow="1" w:lastRow="0" w:firstColumn="1" w:lastColumn="0" w:noHBand="0" w:noVBand="1"/>
      </w:tblPr>
      <w:tblGrid>
        <w:gridCol w:w="2754"/>
        <w:gridCol w:w="6313"/>
      </w:tblGrid>
      <w:tr w:rsidR="00785131" w14:paraId="08C24102" w14:textId="77777777" w:rsidTr="00785131">
        <w:trPr>
          <w:tblHeader/>
        </w:trPr>
        <w:tc>
          <w:tcPr>
            <w:tcW w:w="2754" w:type="dxa"/>
          </w:tcPr>
          <w:p w14:paraId="1442A421" w14:textId="36EFE8B7" w:rsidR="00785131" w:rsidRDefault="00785131" w:rsidP="0002664D">
            <w:r>
              <w:t>Item</w:t>
            </w:r>
          </w:p>
        </w:tc>
        <w:tc>
          <w:tcPr>
            <w:tcW w:w="6313" w:type="dxa"/>
          </w:tcPr>
          <w:p w14:paraId="5B9F490C" w14:textId="282A6880" w:rsidR="00785131" w:rsidRDefault="00785131" w:rsidP="0002664D">
            <w:r>
              <w:t>Information</w:t>
            </w:r>
          </w:p>
        </w:tc>
      </w:tr>
      <w:tr w:rsidR="000D23AF" w14:paraId="0A0AD7D2" w14:textId="77777777" w:rsidTr="00785131">
        <w:tc>
          <w:tcPr>
            <w:tcW w:w="2754" w:type="dxa"/>
          </w:tcPr>
          <w:p w14:paraId="47F1FAF7" w14:textId="77777777" w:rsidR="000D23AF" w:rsidRDefault="000D23AF" w:rsidP="0002664D">
            <w:r>
              <w:t>Title</w:t>
            </w:r>
          </w:p>
        </w:tc>
        <w:tc>
          <w:tcPr>
            <w:tcW w:w="6313" w:type="dxa"/>
          </w:tcPr>
          <w:p w14:paraId="2935A515" w14:textId="52501A5E" w:rsidR="000D23AF" w:rsidRDefault="008756C9" w:rsidP="0002664D">
            <w:r>
              <w:t>Appendix 10</w:t>
            </w:r>
            <w:r w:rsidR="00BB3E4D">
              <w:t>:</w:t>
            </w:r>
            <w:r>
              <w:t xml:space="preserve"> Repeat Year Policy</w:t>
            </w:r>
          </w:p>
        </w:tc>
      </w:tr>
      <w:tr w:rsidR="00F755A5" w14:paraId="2A169B3C" w14:textId="77777777" w:rsidTr="00785131">
        <w:tc>
          <w:tcPr>
            <w:tcW w:w="2754" w:type="dxa"/>
          </w:tcPr>
          <w:p w14:paraId="5D0647D0" w14:textId="77777777" w:rsidR="00F755A5" w:rsidRDefault="00F755A5" w:rsidP="00F755A5">
            <w:r>
              <w:t>Policy Owner</w:t>
            </w:r>
          </w:p>
        </w:tc>
        <w:tc>
          <w:tcPr>
            <w:tcW w:w="6313" w:type="dxa"/>
          </w:tcPr>
          <w:p w14:paraId="54FDDD10" w14:textId="0E72D765" w:rsidR="00F755A5" w:rsidRDefault="004D7D63" w:rsidP="00F755A5">
            <w:r>
              <w:t>Head of Academic Registry</w:t>
            </w:r>
          </w:p>
        </w:tc>
      </w:tr>
      <w:tr w:rsidR="00F755A5" w14:paraId="46217046" w14:textId="77777777" w:rsidTr="00785131">
        <w:tc>
          <w:tcPr>
            <w:tcW w:w="2754" w:type="dxa"/>
          </w:tcPr>
          <w:p w14:paraId="7A1DE3FA" w14:textId="5E4799D3" w:rsidR="00F755A5" w:rsidRDefault="006A1740" w:rsidP="00F755A5">
            <w:r>
              <w:t>Policy Manager</w:t>
            </w:r>
          </w:p>
        </w:tc>
        <w:tc>
          <w:tcPr>
            <w:tcW w:w="6313" w:type="dxa"/>
          </w:tcPr>
          <w:p w14:paraId="67BFDA2A" w14:textId="6E9E041C" w:rsidR="00F755A5" w:rsidRDefault="00F755A5" w:rsidP="00F755A5">
            <w:r w:rsidRPr="00132509">
              <w:t>Assistant Registrar</w:t>
            </w:r>
            <w:r>
              <w:t>:</w:t>
            </w:r>
            <w:r w:rsidRPr="00132509">
              <w:t xml:space="preserve"> Academic Records</w:t>
            </w:r>
          </w:p>
        </w:tc>
      </w:tr>
      <w:tr w:rsidR="00F755A5" w14:paraId="6AF31125" w14:textId="77777777" w:rsidTr="00785131">
        <w:tc>
          <w:tcPr>
            <w:tcW w:w="2754" w:type="dxa"/>
          </w:tcPr>
          <w:p w14:paraId="404E2044" w14:textId="77777777" w:rsidR="00F755A5" w:rsidRDefault="00F755A5" w:rsidP="00F755A5">
            <w:r>
              <w:t>Approved by</w:t>
            </w:r>
          </w:p>
        </w:tc>
        <w:tc>
          <w:tcPr>
            <w:tcW w:w="6313" w:type="dxa"/>
          </w:tcPr>
          <w:p w14:paraId="1038B7E2" w14:textId="75E93B20" w:rsidR="00F755A5" w:rsidRDefault="00F755A5" w:rsidP="00F755A5">
            <w:r>
              <w:t>Regulations Review Sub-Committee</w:t>
            </w:r>
          </w:p>
        </w:tc>
      </w:tr>
      <w:tr w:rsidR="00F755A5" w14:paraId="65EE16BA" w14:textId="77777777" w:rsidTr="00785131">
        <w:tc>
          <w:tcPr>
            <w:tcW w:w="2754" w:type="dxa"/>
          </w:tcPr>
          <w:p w14:paraId="09E5B38D" w14:textId="77777777" w:rsidR="00F755A5" w:rsidRDefault="00F755A5" w:rsidP="00F755A5">
            <w:r>
              <w:t>Date of Approval</w:t>
            </w:r>
          </w:p>
        </w:tc>
        <w:tc>
          <w:tcPr>
            <w:tcW w:w="6313" w:type="dxa"/>
          </w:tcPr>
          <w:p w14:paraId="4C25EC7B" w14:textId="12B49751" w:rsidR="00F755A5" w:rsidRDefault="00F755A5" w:rsidP="00F755A5">
            <w:r>
              <w:t>October 2018</w:t>
            </w:r>
          </w:p>
        </w:tc>
      </w:tr>
      <w:tr w:rsidR="00F755A5" w14:paraId="6B3E237D" w14:textId="77777777" w:rsidTr="00785131">
        <w:tc>
          <w:tcPr>
            <w:tcW w:w="2754" w:type="dxa"/>
          </w:tcPr>
          <w:p w14:paraId="79EADAEC" w14:textId="53365E9E" w:rsidR="00F755A5" w:rsidRDefault="00F755A5" w:rsidP="00F755A5">
            <w:r w:rsidRPr="00A85CAE">
              <w:t xml:space="preserve">Date for Review </w:t>
            </w:r>
          </w:p>
        </w:tc>
        <w:tc>
          <w:tcPr>
            <w:tcW w:w="6313" w:type="dxa"/>
          </w:tcPr>
          <w:p w14:paraId="41DD8B84" w14:textId="02A3BBE3" w:rsidR="00F755A5" w:rsidRDefault="00F755A5" w:rsidP="00F755A5">
            <w:r w:rsidRPr="00A85CAE">
              <w:t>Ju</w:t>
            </w:r>
            <w:r w:rsidR="00677BB8">
              <w:t>ne</w:t>
            </w:r>
            <w:r w:rsidRPr="00A85CAE">
              <w:t xml:space="preserve"> 20</w:t>
            </w:r>
            <w:r>
              <w:t>2</w:t>
            </w:r>
            <w:r w:rsidR="00061D4D">
              <w:t>5</w:t>
            </w:r>
            <w:r w:rsidR="005378F7">
              <w:t xml:space="preserve"> </w:t>
            </w:r>
            <w:r>
              <w:t>(</w:t>
            </w:r>
            <w:r w:rsidR="005378F7">
              <w:t xml:space="preserve">last </w:t>
            </w:r>
            <w:r>
              <w:t>reviewed Ju</w:t>
            </w:r>
            <w:r w:rsidR="00677BB8">
              <w:t>ne</w:t>
            </w:r>
            <w:r>
              <w:t xml:space="preserve"> 20</w:t>
            </w:r>
            <w:r w:rsidR="00677BB8">
              <w:t>2</w:t>
            </w:r>
            <w:r w:rsidR="00061D4D">
              <w:t>4</w:t>
            </w:r>
            <w:r>
              <w:t xml:space="preserve">) </w:t>
            </w:r>
          </w:p>
        </w:tc>
      </w:tr>
    </w:tbl>
    <w:p w14:paraId="49E458C3" w14:textId="77777777" w:rsidR="00C625B0" w:rsidRDefault="00C625B0" w:rsidP="006A5B50"/>
    <w:sectPr w:rsidR="00C625B0" w:rsidSect="006A5B50">
      <w:footerReference w:type="default" r:id="rId17"/>
      <w:footerReference w:type="first" r:id="rId18"/>
      <w:pgSz w:w="11906" w:h="16838"/>
      <w:pgMar w:top="1440" w:right="1440" w:bottom="1440" w:left="1440"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74D665" w14:textId="77777777" w:rsidR="000C052F" w:rsidRDefault="000C052F" w:rsidP="006A5B50">
      <w:pPr>
        <w:spacing w:after="0" w:line="240" w:lineRule="auto"/>
      </w:pPr>
      <w:r>
        <w:separator/>
      </w:r>
    </w:p>
  </w:endnote>
  <w:endnote w:type="continuationSeparator" w:id="0">
    <w:p w14:paraId="6DB5CD5A" w14:textId="77777777" w:rsidR="000C052F" w:rsidRDefault="000C052F" w:rsidP="006A5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15958"/>
      <w:docPartObj>
        <w:docPartGallery w:val="Page Numbers (Bottom of Page)"/>
        <w:docPartUnique/>
      </w:docPartObj>
    </w:sdtPr>
    <w:sdtEndPr>
      <w:rPr>
        <w:noProof/>
      </w:rPr>
    </w:sdtEndPr>
    <w:sdtContent>
      <w:p w14:paraId="07F383AE" w14:textId="77777777" w:rsidR="007F06C7" w:rsidRDefault="007F06C7">
        <w:pPr>
          <w:pStyle w:val="Footer"/>
          <w:jc w:val="center"/>
        </w:pPr>
        <w:r>
          <w:fldChar w:fldCharType="begin"/>
        </w:r>
        <w:r>
          <w:instrText xml:space="preserve"> PAGE   \* MERGEFORMAT </w:instrText>
        </w:r>
        <w:r>
          <w:fldChar w:fldCharType="separate"/>
        </w:r>
        <w:r w:rsidR="00016690">
          <w:rPr>
            <w:noProof/>
          </w:rPr>
          <w:t>4</w:t>
        </w:r>
        <w:r>
          <w:rPr>
            <w:noProof/>
          </w:rPr>
          <w:fldChar w:fldCharType="end"/>
        </w:r>
      </w:p>
    </w:sdtContent>
  </w:sdt>
  <w:p w14:paraId="240F4F87" w14:textId="77777777" w:rsidR="006A5B50" w:rsidRDefault="006A5B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3DEB9" w14:textId="77777777" w:rsidR="006A5B50" w:rsidRDefault="006A5B50" w:rsidP="007F06C7">
    <w:pPr>
      <w:pStyle w:val="Footer"/>
      <w:tabs>
        <w:tab w:val="clear" w:pos="4513"/>
        <w:tab w:val="clear" w:pos="9026"/>
        <w:tab w:val="left" w:pos="1155"/>
      </w:tabs>
      <w:jc w:val="right"/>
    </w:pPr>
    <w:r>
      <w:tab/>
    </w:r>
    <w:r>
      <w:rPr>
        <w:noProof/>
        <w:lang w:eastAsia="en-GB"/>
      </w:rPr>
      <w:drawing>
        <wp:inline distT="0" distB="0" distL="0" distR="0" wp14:anchorId="72838B9F" wp14:editId="6A4A7D98">
          <wp:extent cx="1832968" cy="2382493"/>
          <wp:effectExtent l="0" t="0" r="0" b="0"/>
          <wp:docPr id="3" name="Picture 3" descr="Edge Hill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Edge Hill University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5654" cy="241198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FC93C3" w14:textId="77777777" w:rsidR="000C052F" w:rsidRDefault="000C052F" w:rsidP="006A5B50">
      <w:pPr>
        <w:spacing w:after="0" w:line="240" w:lineRule="auto"/>
      </w:pPr>
      <w:r>
        <w:separator/>
      </w:r>
    </w:p>
  </w:footnote>
  <w:footnote w:type="continuationSeparator" w:id="0">
    <w:p w14:paraId="0A6EA4E5" w14:textId="77777777" w:rsidR="000C052F" w:rsidRDefault="000C052F" w:rsidP="006A5B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5E24"/>
    <w:multiLevelType w:val="hybridMultilevel"/>
    <w:tmpl w:val="0D444F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BF3ADD"/>
    <w:multiLevelType w:val="hybridMultilevel"/>
    <w:tmpl w:val="4EBE2B7E"/>
    <w:lvl w:ilvl="0" w:tplc="6036950A">
      <w:start w:val="6"/>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45A1024"/>
    <w:multiLevelType w:val="hybridMultilevel"/>
    <w:tmpl w:val="DE528124"/>
    <w:lvl w:ilvl="0" w:tplc="FD786B6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641215"/>
    <w:multiLevelType w:val="hybridMultilevel"/>
    <w:tmpl w:val="BD8EA550"/>
    <w:lvl w:ilvl="0" w:tplc="962699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D86319"/>
    <w:multiLevelType w:val="hybridMultilevel"/>
    <w:tmpl w:val="534E2B22"/>
    <w:lvl w:ilvl="0" w:tplc="BC9EA682">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980C1A"/>
    <w:multiLevelType w:val="hybridMultilevel"/>
    <w:tmpl w:val="FDC294A8"/>
    <w:lvl w:ilvl="0" w:tplc="71EE428E">
      <w:start w:val="1"/>
      <w:numFmt w:val="lowerRoman"/>
      <w:lvlText w:val="(%1)"/>
      <w:lvlJc w:val="left"/>
      <w:pPr>
        <w:ind w:left="1080" w:hanging="720"/>
      </w:pPr>
      <w:rPr>
        <w:rFonts w:hint="default"/>
        <w:i w:val="0"/>
        <w:iCs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F74275"/>
    <w:multiLevelType w:val="hybridMultilevel"/>
    <w:tmpl w:val="68CA9358"/>
    <w:lvl w:ilvl="0" w:tplc="580AE9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9">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55327D"/>
    <w:multiLevelType w:val="hybridMultilevel"/>
    <w:tmpl w:val="340AC75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9531E44"/>
    <w:multiLevelType w:val="hybridMultilevel"/>
    <w:tmpl w:val="7224676A"/>
    <w:lvl w:ilvl="0" w:tplc="C22211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3E45AE"/>
    <w:multiLevelType w:val="hybridMultilevel"/>
    <w:tmpl w:val="B914BAE4"/>
    <w:lvl w:ilvl="0" w:tplc="580AE9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4090015">
      <w:start w:val="1"/>
      <w:numFmt w:val="upp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3B7CAF"/>
    <w:multiLevelType w:val="hybridMultilevel"/>
    <w:tmpl w:val="76EEED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C9493E"/>
    <w:multiLevelType w:val="hybridMultilevel"/>
    <w:tmpl w:val="7F602D84"/>
    <w:lvl w:ilvl="0" w:tplc="5CD2757C">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74228D"/>
    <w:multiLevelType w:val="hybridMultilevel"/>
    <w:tmpl w:val="6472BE2C"/>
    <w:lvl w:ilvl="0" w:tplc="4532EC98">
      <w:start w:val="1"/>
      <w:numFmt w:val="lowerRoman"/>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913FF5"/>
    <w:multiLevelType w:val="hybridMultilevel"/>
    <w:tmpl w:val="CDC20716"/>
    <w:lvl w:ilvl="0" w:tplc="92809FCA">
      <w:start w:val="6"/>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584503"/>
    <w:multiLevelType w:val="multilevel"/>
    <w:tmpl w:val="20C6C0E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4E222A8"/>
    <w:multiLevelType w:val="hybridMultilevel"/>
    <w:tmpl w:val="6768902C"/>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54FC0396"/>
    <w:multiLevelType w:val="multilevel"/>
    <w:tmpl w:val="7164A2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AF64AF1"/>
    <w:multiLevelType w:val="hybridMultilevel"/>
    <w:tmpl w:val="520ADA9A"/>
    <w:lvl w:ilvl="0" w:tplc="714A932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4142312"/>
    <w:multiLevelType w:val="hybridMultilevel"/>
    <w:tmpl w:val="1AA20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7265CE9"/>
    <w:multiLevelType w:val="hybridMultilevel"/>
    <w:tmpl w:val="32A8A33C"/>
    <w:lvl w:ilvl="0" w:tplc="BAD87144">
      <w:start w:val="1"/>
      <w:numFmt w:val="bullet"/>
      <w:lvlText w:val=""/>
      <w:lvlJc w:val="left"/>
      <w:pPr>
        <w:ind w:left="1440" w:hanging="360"/>
      </w:pPr>
      <w:rPr>
        <w:rFonts w:ascii="Symbol" w:hAnsi="Symbol"/>
      </w:rPr>
    </w:lvl>
    <w:lvl w:ilvl="1" w:tplc="9620E740">
      <w:start w:val="1"/>
      <w:numFmt w:val="bullet"/>
      <w:lvlText w:val=""/>
      <w:lvlJc w:val="left"/>
      <w:pPr>
        <w:ind w:left="1440" w:hanging="360"/>
      </w:pPr>
      <w:rPr>
        <w:rFonts w:ascii="Symbol" w:hAnsi="Symbol"/>
      </w:rPr>
    </w:lvl>
    <w:lvl w:ilvl="2" w:tplc="20CEE2E6">
      <w:start w:val="1"/>
      <w:numFmt w:val="bullet"/>
      <w:lvlText w:val=""/>
      <w:lvlJc w:val="left"/>
      <w:pPr>
        <w:ind w:left="1440" w:hanging="360"/>
      </w:pPr>
      <w:rPr>
        <w:rFonts w:ascii="Symbol" w:hAnsi="Symbol"/>
      </w:rPr>
    </w:lvl>
    <w:lvl w:ilvl="3" w:tplc="1FA8D45E">
      <w:start w:val="1"/>
      <w:numFmt w:val="bullet"/>
      <w:lvlText w:val=""/>
      <w:lvlJc w:val="left"/>
      <w:pPr>
        <w:ind w:left="1440" w:hanging="360"/>
      </w:pPr>
      <w:rPr>
        <w:rFonts w:ascii="Symbol" w:hAnsi="Symbol"/>
      </w:rPr>
    </w:lvl>
    <w:lvl w:ilvl="4" w:tplc="CA00DFBA">
      <w:start w:val="1"/>
      <w:numFmt w:val="bullet"/>
      <w:lvlText w:val=""/>
      <w:lvlJc w:val="left"/>
      <w:pPr>
        <w:ind w:left="1440" w:hanging="360"/>
      </w:pPr>
      <w:rPr>
        <w:rFonts w:ascii="Symbol" w:hAnsi="Symbol"/>
      </w:rPr>
    </w:lvl>
    <w:lvl w:ilvl="5" w:tplc="75EC5548">
      <w:start w:val="1"/>
      <w:numFmt w:val="bullet"/>
      <w:lvlText w:val=""/>
      <w:lvlJc w:val="left"/>
      <w:pPr>
        <w:ind w:left="1440" w:hanging="360"/>
      </w:pPr>
      <w:rPr>
        <w:rFonts w:ascii="Symbol" w:hAnsi="Symbol"/>
      </w:rPr>
    </w:lvl>
    <w:lvl w:ilvl="6" w:tplc="0C103E12">
      <w:start w:val="1"/>
      <w:numFmt w:val="bullet"/>
      <w:lvlText w:val=""/>
      <w:lvlJc w:val="left"/>
      <w:pPr>
        <w:ind w:left="1440" w:hanging="360"/>
      </w:pPr>
      <w:rPr>
        <w:rFonts w:ascii="Symbol" w:hAnsi="Symbol"/>
      </w:rPr>
    </w:lvl>
    <w:lvl w:ilvl="7" w:tplc="B614B876">
      <w:start w:val="1"/>
      <w:numFmt w:val="bullet"/>
      <w:lvlText w:val=""/>
      <w:lvlJc w:val="left"/>
      <w:pPr>
        <w:ind w:left="1440" w:hanging="360"/>
      </w:pPr>
      <w:rPr>
        <w:rFonts w:ascii="Symbol" w:hAnsi="Symbol"/>
      </w:rPr>
    </w:lvl>
    <w:lvl w:ilvl="8" w:tplc="19FC3FD2">
      <w:start w:val="1"/>
      <w:numFmt w:val="bullet"/>
      <w:lvlText w:val=""/>
      <w:lvlJc w:val="left"/>
      <w:pPr>
        <w:ind w:left="1440" w:hanging="360"/>
      </w:pPr>
      <w:rPr>
        <w:rFonts w:ascii="Symbol" w:hAnsi="Symbol"/>
      </w:rPr>
    </w:lvl>
  </w:abstractNum>
  <w:abstractNum w:abstractNumId="20" w15:restartNumberingAfterBreak="0">
    <w:nsid w:val="6F99178E"/>
    <w:multiLevelType w:val="hybridMultilevel"/>
    <w:tmpl w:val="9CD403C6"/>
    <w:lvl w:ilvl="0" w:tplc="907C7AFE">
      <w:start w:val="2"/>
      <w:numFmt w:val="low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0F94B47"/>
    <w:multiLevelType w:val="hybridMultilevel"/>
    <w:tmpl w:val="133C69F4"/>
    <w:lvl w:ilvl="0" w:tplc="F178289A">
      <w:start w:val="1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CF5E7A"/>
    <w:multiLevelType w:val="hybridMultilevel"/>
    <w:tmpl w:val="9144878A"/>
    <w:lvl w:ilvl="0" w:tplc="FF82E2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DA734B3"/>
    <w:multiLevelType w:val="hybridMultilevel"/>
    <w:tmpl w:val="2294DD0E"/>
    <w:lvl w:ilvl="0" w:tplc="E2C66D24">
      <w:start w:val="1"/>
      <w:numFmt w:val="lowerRoman"/>
      <w:lvlText w:val="(%1)"/>
      <w:lvlJc w:val="left"/>
      <w:pPr>
        <w:ind w:left="1713" w:hanging="720"/>
      </w:pPr>
      <w:rPr>
        <w:rFonts w:hint="default"/>
        <w:b w:val="0"/>
      </w:rPr>
    </w:lvl>
    <w:lvl w:ilvl="1" w:tplc="0040FB44">
      <w:numFmt w:val="bullet"/>
      <w:lvlText w:val="-"/>
      <w:lvlJc w:val="left"/>
      <w:pPr>
        <w:ind w:left="1353" w:hanging="360"/>
      </w:pPr>
      <w:rPr>
        <w:rFonts w:ascii="Arial" w:eastAsiaTheme="minorHAnsi" w:hAnsi="Arial" w:cs="Arial" w:hint="default"/>
        <w:sz w:val="23"/>
      </w:rPr>
    </w:lvl>
    <w:lvl w:ilvl="2" w:tplc="0809001B" w:tentative="1">
      <w:start w:val="1"/>
      <w:numFmt w:val="lowerRoman"/>
      <w:lvlText w:val="%3."/>
      <w:lvlJc w:val="right"/>
      <w:pPr>
        <w:ind w:left="2073" w:hanging="180"/>
      </w:pPr>
    </w:lvl>
    <w:lvl w:ilvl="3" w:tplc="0809000F" w:tentative="1">
      <w:start w:val="1"/>
      <w:numFmt w:val="decimal"/>
      <w:lvlText w:val="%4."/>
      <w:lvlJc w:val="left"/>
      <w:pPr>
        <w:ind w:left="2793" w:hanging="360"/>
      </w:pPr>
    </w:lvl>
    <w:lvl w:ilvl="4" w:tplc="08090019" w:tentative="1">
      <w:start w:val="1"/>
      <w:numFmt w:val="lowerLetter"/>
      <w:lvlText w:val="%5."/>
      <w:lvlJc w:val="left"/>
      <w:pPr>
        <w:ind w:left="3513" w:hanging="360"/>
      </w:pPr>
    </w:lvl>
    <w:lvl w:ilvl="5" w:tplc="0809001B" w:tentative="1">
      <w:start w:val="1"/>
      <w:numFmt w:val="lowerRoman"/>
      <w:lvlText w:val="%6."/>
      <w:lvlJc w:val="right"/>
      <w:pPr>
        <w:ind w:left="4233" w:hanging="180"/>
      </w:pPr>
    </w:lvl>
    <w:lvl w:ilvl="6" w:tplc="0809000F" w:tentative="1">
      <w:start w:val="1"/>
      <w:numFmt w:val="decimal"/>
      <w:lvlText w:val="%7."/>
      <w:lvlJc w:val="left"/>
      <w:pPr>
        <w:ind w:left="4953" w:hanging="360"/>
      </w:pPr>
    </w:lvl>
    <w:lvl w:ilvl="7" w:tplc="08090019" w:tentative="1">
      <w:start w:val="1"/>
      <w:numFmt w:val="lowerLetter"/>
      <w:lvlText w:val="%8."/>
      <w:lvlJc w:val="left"/>
      <w:pPr>
        <w:ind w:left="5673" w:hanging="360"/>
      </w:pPr>
    </w:lvl>
    <w:lvl w:ilvl="8" w:tplc="0809001B" w:tentative="1">
      <w:start w:val="1"/>
      <w:numFmt w:val="lowerRoman"/>
      <w:lvlText w:val="%9."/>
      <w:lvlJc w:val="right"/>
      <w:pPr>
        <w:ind w:left="6393" w:hanging="180"/>
      </w:pPr>
    </w:lvl>
  </w:abstractNum>
  <w:abstractNum w:abstractNumId="24" w15:restartNumberingAfterBreak="0">
    <w:nsid w:val="7E501B0F"/>
    <w:multiLevelType w:val="hybridMultilevel"/>
    <w:tmpl w:val="8534C56E"/>
    <w:lvl w:ilvl="0" w:tplc="0E5AD8A6">
      <w:start w:val="7"/>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BA09AE"/>
    <w:multiLevelType w:val="hybridMultilevel"/>
    <w:tmpl w:val="66F6877C"/>
    <w:lvl w:ilvl="0" w:tplc="E8F81D18">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8409038">
    <w:abstractNumId w:val="0"/>
  </w:num>
  <w:num w:numId="2" w16cid:durableId="372460675">
    <w:abstractNumId w:val="16"/>
  </w:num>
  <w:num w:numId="3" w16cid:durableId="1983849148">
    <w:abstractNumId w:val="18"/>
  </w:num>
  <w:num w:numId="4" w16cid:durableId="32728392">
    <w:abstractNumId w:val="7"/>
  </w:num>
  <w:num w:numId="5" w16cid:durableId="1712799141">
    <w:abstractNumId w:val="12"/>
  </w:num>
  <w:num w:numId="6" w16cid:durableId="1318650621">
    <w:abstractNumId w:val="11"/>
  </w:num>
  <w:num w:numId="7" w16cid:durableId="1850171176">
    <w:abstractNumId w:val="5"/>
  </w:num>
  <w:num w:numId="8" w16cid:durableId="1210344307">
    <w:abstractNumId w:val="17"/>
  </w:num>
  <w:num w:numId="9" w16cid:durableId="58216625">
    <w:abstractNumId w:val="2"/>
  </w:num>
  <w:num w:numId="10" w16cid:durableId="1056316264">
    <w:abstractNumId w:val="10"/>
  </w:num>
  <w:num w:numId="11" w16cid:durableId="776097446">
    <w:abstractNumId w:val="25"/>
  </w:num>
  <w:num w:numId="12" w16cid:durableId="1818838139">
    <w:abstractNumId w:val="21"/>
  </w:num>
  <w:num w:numId="13" w16cid:durableId="661278637">
    <w:abstractNumId w:val="13"/>
  </w:num>
  <w:num w:numId="14" w16cid:durableId="1769544657">
    <w:abstractNumId w:val="24"/>
  </w:num>
  <w:num w:numId="15" w16cid:durableId="760638181">
    <w:abstractNumId w:val="3"/>
  </w:num>
  <w:num w:numId="16" w16cid:durableId="313871352">
    <w:abstractNumId w:val="23"/>
  </w:num>
  <w:num w:numId="17" w16cid:durableId="375088341">
    <w:abstractNumId w:val="9"/>
  </w:num>
  <w:num w:numId="18" w16cid:durableId="423232348">
    <w:abstractNumId w:val="6"/>
  </w:num>
  <w:num w:numId="19" w16cid:durableId="1155950423">
    <w:abstractNumId w:val="22"/>
  </w:num>
  <w:num w:numId="20" w16cid:durableId="307322606">
    <w:abstractNumId w:val="15"/>
  </w:num>
  <w:num w:numId="21" w16cid:durableId="1024132986">
    <w:abstractNumId w:val="20"/>
  </w:num>
  <w:num w:numId="22" w16cid:durableId="1700471140">
    <w:abstractNumId w:val="14"/>
  </w:num>
  <w:num w:numId="23" w16cid:durableId="15690928">
    <w:abstractNumId w:val="1"/>
  </w:num>
  <w:num w:numId="24" w16cid:durableId="948975775">
    <w:abstractNumId w:val="8"/>
  </w:num>
  <w:num w:numId="25" w16cid:durableId="1818961546">
    <w:abstractNumId w:val="19"/>
  </w:num>
  <w:num w:numId="26" w16cid:durableId="11361422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5B0"/>
    <w:rsid w:val="00015EB1"/>
    <w:rsid w:val="00016690"/>
    <w:rsid w:val="00025037"/>
    <w:rsid w:val="00034F6A"/>
    <w:rsid w:val="00035967"/>
    <w:rsid w:val="00061D4D"/>
    <w:rsid w:val="000864BE"/>
    <w:rsid w:val="00096418"/>
    <w:rsid w:val="000C052F"/>
    <w:rsid w:val="000C5FAF"/>
    <w:rsid w:val="000D13F4"/>
    <w:rsid w:val="000D23AF"/>
    <w:rsid w:val="000E3035"/>
    <w:rsid w:val="000E7401"/>
    <w:rsid w:val="000F3143"/>
    <w:rsid w:val="000F33F5"/>
    <w:rsid w:val="000F571D"/>
    <w:rsid w:val="000F6054"/>
    <w:rsid w:val="001005E0"/>
    <w:rsid w:val="00112F92"/>
    <w:rsid w:val="0011421B"/>
    <w:rsid w:val="001460E2"/>
    <w:rsid w:val="0015563E"/>
    <w:rsid w:val="001602F5"/>
    <w:rsid w:val="0016288E"/>
    <w:rsid w:val="001722B8"/>
    <w:rsid w:val="001843B0"/>
    <w:rsid w:val="00185844"/>
    <w:rsid w:val="001869AB"/>
    <w:rsid w:val="001B3831"/>
    <w:rsid w:val="001C2C4A"/>
    <w:rsid w:val="001C5D46"/>
    <w:rsid w:val="001E17B5"/>
    <w:rsid w:val="001E1905"/>
    <w:rsid w:val="001F2852"/>
    <w:rsid w:val="0023580A"/>
    <w:rsid w:val="00265985"/>
    <w:rsid w:val="00287DEE"/>
    <w:rsid w:val="0029043F"/>
    <w:rsid w:val="002B0E73"/>
    <w:rsid w:val="002B538F"/>
    <w:rsid w:val="002C38F5"/>
    <w:rsid w:val="002D78F1"/>
    <w:rsid w:val="002E5BA5"/>
    <w:rsid w:val="00313DD1"/>
    <w:rsid w:val="00331A93"/>
    <w:rsid w:val="0033217D"/>
    <w:rsid w:val="003334C4"/>
    <w:rsid w:val="003343E3"/>
    <w:rsid w:val="00351BCA"/>
    <w:rsid w:val="00363096"/>
    <w:rsid w:val="00365BA1"/>
    <w:rsid w:val="00390CAB"/>
    <w:rsid w:val="003C3988"/>
    <w:rsid w:val="003C3DFB"/>
    <w:rsid w:val="003C5E0B"/>
    <w:rsid w:val="003D2F1B"/>
    <w:rsid w:val="003E54A3"/>
    <w:rsid w:val="003E5F92"/>
    <w:rsid w:val="00427151"/>
    <w:rsid w:val="00437CF2"/>
    <w:rsid w:val="00442C96"/>
    <w:rsid w:val="0044422F"/>
    <w:rsid w:val="00446FBA"/>
    <w:rsid w:val="004527E3"/>
    <w:rsid w:val="00455F01"/>
    <w:rsid w:val="00457AFC"/>
    <w:rsid w:val="00466E0C"/>
    <w:rsid w:val="00471D84"/>
    <w:rsid w:val="0048144C"/>
    <w:rsid w:val="004A6715"/>
    <w:rsid w:val="004B0904"/>
    <w:rsid w:val="004D2073"/>
    <w:rsid w:val="004D7D63"/>
    <w:rsid w:val="004E464F"/>
    <w:rsid w:val="004F4F9F"/>
    <w:rsid w:val="00514F36"/>
    <w:rsid w:val="00515981"/>
    <w:rsid w:val="005218E2"/>
    <w:rsid w:val="005378F7"/>
    <w:rsid w:val="00585F55"/>
    <w:rsid w:val="0059366D"/>
    <w:rsid w:val="005B7A21"/>
    <w:rsid w:val="005C2DA3"/>
    <w:rsid w:val="005C57FD"/>
    <w:rsid w:val="005C6227"/>
    <w:rsid w:val="005D1B4C"/>
    <w:rsid w:val="005D32F1"/>
    <w:rsid w:val="005E4730"/>
    <w:rsid w:val="005E7E01"/>
    <w:rsid w:val="00604BC3"/>
    <w:rsid w:val="0065390F"/>
    <w:rsid w:val="00661F4E"/>
    <w:rsid w:val="00677BB8"/>
    <w:rsid w:val="00683E10"/>
    <w:rsid w:val="006862F6"/>
    <w:rsid w:val="006A1740"/>
    <w:rsid w:val="006A5B50"/>
    <w:rsid w:val="006D4BEF"/>
    <w:rsid w:val="006D5C8A"/>
    <w:rsid w:val="006D7A4E"/>
    <w:rsid w:val="006E7550"/>
    <w:rsid w:val="007012EB"/>
    <w:rsid w:val="00702D83"/>
    <w:rsid w:val="00714E46"/>
    <w:rsid w:val="00716126"/>
    <w:rsid w:val="00720042"/>
    <w:rsid w:val="007208B7"/>
    <w:rsid w:val="00722685"/>
    <w:rsid w:val="007267DF"/>
    <w:rsid w:val="00731A98"/>
    <w:rsid w:val="00732614"/>
    <w:rsid w:val="007333F3"/>
    <w:rsid w:val="00741CE4"/>
    <w:rsid w:val="00745DC4"/>
    <w:rsid w:val="00750BE2"/>
    <w:rsid w:val="00773053"/>
    <w:rsid w:val="007764C1"/>
    <w:rsid w:val="00785131"/>
    <w:rsid w:val="007A7CEC"/>
    <w:rsid w:val="007C51E9"/>
    <w:rsid w:val="007D6B96"/>
    <w:rsid w:val="007E2B7D"/>
    <w:rsid w:val="007F06C7"/>
    <w:rsid w:val="00800ECF"/>
    <w:rsid w:val="00820E4D"/>
    <w:rsid w:val="00866C04"/>
    <w:rsid w:val="008756C9"/>
    <w:rsid w:val="008B53A5"/>
    <w:rsid w:val="008B5825"/>
    <w:rsid w:val="008D6DD5"/>
    <w:rsid w:val="008D77CD"/>
    <w:rsid w:val="008F1BE9"/>
    <w:rsid w:val="008F46E4"/>
    <w:rsid w:val="009077C4"/>
    <w:rsid w:val="0091367D"/>
    <w:rsid w:val="00917C98"/>
    <w:rsid w:val="00935B72"/>
    <w:rsid w:val="00940923"/>
    <w:rsid w:val="009545FF"/>
    <w:rsid w:val="00962651"/>
    <w:rsid w:val="00971F84"/>
    <w:rsid w:val="009A28E9"/>
    <w:rsid w:val="009B598D"/>
    <w:rsid w:val="009F204D"/>
    <w:rsid w:val="009F3280"/>
    <w:rsid w:val="009F42B2"/>
    <w:rsid w:val="00A05B49"/>
    <w:rsid w:val="00A42129"/>
    <w:rsid w:val="00A43C98"/>
    <w:rsid w:val="00A4776A"/>
    <w:rsid w:val="00A64EEF"/>
    <w:rsid w:val="00A66887"/>
    <w:rsid w:val="00A73C4D"/>
    <w:rsid w:val="00A87970"/>
    <w:rsid w:val="00AB0634"/>
    <w:rsid w:val="00AD1C2A"/>
    <w:rsid w:val="00AD25A6"/>
    <w:rsid w:val="00AF0C44"/>
    <w:rsid w:val="00B0004E"/>
    <w:rsid w:val="00B076D2"/>
    <w:rsid w:val="00B21535"/>
    <w:rsid w:val="00B30DCA"/>
    <w:rsid w:val="00B44135"/>
    <w:rsid w:val="00B44D07"/>
    <w:rsid w:val="00B63FFA"/>
    <w:rsid w:val="00B6414F"/>
    <w:rsid w:val="00B70644"/>
    <w:rsid w:val="00B70E46"/>
    <w:rsid w:val="00B716B3"/>
    <w:rsid w:val="00B7736E"/>
    <w:rsid w:val="00B84D95"/>
    <w:rsid w:val="00B859CE"/>
    <w:rsid w:val="00B862A0"/>
    <w:rsid w:val="00B86B25"/>
    <w:rsid w:val="00BB3E4D"/>
    <w:rsid w:val="00BD040A"/>
    <w:rsid w:val="00BD4E24"/>
    <w:rsid w:val="00BD5819"/>
    <w:rsid w:val="00BE294D"/>
    <w:rsid w:val="00BE5F28"/>
    <w:rsid w:val="00BE7331"/>
    <w:rsid w:val="00C00807"/>
    <w:rsid w:val="00C04524"/>
    <w:rsid w:val="00C13E9E"/>
    <w:rsid w:val="00C2739B"/>
    <w:rsid w:val="00C37686"/>
    <w:rsid w:val="00C625B0"/>
    <w:rsid w:val="00C65608"/>
    <w:rsid w:val="00C8226C"/>
    <w:rsid w:val="00C94833"/>
    <w:rsid w:val="00CA61C1"/>
    <w:rsid w:val="00CE29DE"/>
    <w:rsid w:val="00CF75EE"/>
    <w:rsid w:val="00D33732"/>
    <w:rsid w:val="00D34442"/>
    <w:rsid w:val="00D70567"/>
    <w:rsid w:val="00D84C7A"/>
    <w:rsid w:val="00D872A1"/>
    <w:rsid w:val="00DA540C"/>
    <w:rsid w:val="00DB68A2"/>
    <w:rsid w:val="00DD365C"/>
    <w:rsid w:val="00DD5C48"/>
    <w:rsid w:val="00DD6590"/>
    <w:rsid w:val="00DE2A3C"/>
    <w:rsid w:val="00DF28B1"/>
    <w:rsid w:val="00DF7112"/>
    <w:rsid w:val="00E058CD"/>
    <w:rsid w:val="00E14C01"/>
    <w:rsid w:val="00E21F75"/>
    <w:rsid w:val="00E417FD"/>
    <w:rsid w:val="00E5137F"/>
    <w:rsid w:val="00E53DE7"/>
    <w:rsid w:val="00E568D7"/>
    <w:rsid w:val="00E56FFC"/>
    <w:rsid w:val="00E657F4"/>
    <w:rsid w:val="00E72D77"/>
    <w:rsid w:val="00EC5A64"/>
    <w:rsid w:val="00ED43A4"/>
    <w:rsid w:val="00F40AD5"/>
    <w:rsid w:val="00F55FB3"/>
    <w:rsid w:val="00F755A5"/>
    <w:rsid w:val="00F81881"/>
    <w:rsid w:val="00F832B8"/>
    <w:rsid w:val="00F95BC8"/>
    <w:rsid w:val="00FA02B7"/>
    <w:rsid w:val="00FA29CE"/>
    <w:rsid w:val="00FA51B1"/>
    <w:rsid w:val="00FB2E33"/>
    <w:rsid w:val="00FE50F3"/>
    <w:rsid w:val="00FF21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B8852"/>
  <w15:chartTrackingRefBased/>
  <w15:docId w15:val="{2A15133F-20AB-481E-99EA-F15B6166C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43"/>
    <w:rPr>
      <w:rFonts w:ascii="Arial" w:hAnsi="Arial"/>
      <w:sz w:val="24"/>
    </w:rPr>
  </w:style>
  <w:style w:type="paragraph" w:styleId="Heading1">
    <w:name w:val="heading 1"/>
    <w:basedOn w:val="Normal"/>
    <w:next w:val="Normal"/>
    <w:link w:val="Heading1Char"/>
    <w:uiPriority w:val="9"/>
    <w:qFormat/>
    <w:rsid w:val="00B86B25"/>
    <w:pPr>
      <w:keepNext/>
      <w:keepLines/>
      <w:spacing w:before="240" w:after="0"/>
      <w:outlineLvl w:val="0"/>
    </w:pPr>
    <w:rPr>
      <w:rFonts w:asciiTheme="majorHAnsi" w:eastAsiaTheme="majorEastAsia" w:hAnsiTheme="majorHAnsi" w:cstheme="majorBidi"/>
      <w:color w:val="5F005F" w:themeColor="accent1" w:themeShade="BF"/>
      <w:sz w:val="32"/>
      <w:szCs w:val="32"/>
    </w:rPr>
  </w:style>
  <w:style w:type="paragraph" w:styleId="Heading2">
    <w:name w:val="heading 2"/>
    <w:basedOn w:val="Normal"/>
    <w:next w:val="Normal"/>
    <w:link w:val="Heading2Char"/>
    <w:uiPriority w:val="9"/>
    <w:unhideWhenUsed/>
    <w:qFormat/>
    <w:rsid w:val="00D84C7A"/>
    <w:pPr>
      <w:keepNext/>
      <w:keepLines/>
      <w:spacing w:before="40" w:after="0"/>
      <w:outlineLvl w:val="1"/>
    </w:pPr>
    <w:rPr>
      <w:rFonts w:asciiTheme="majorHAnsi" w:eastAsiaTheme="majorEastAsia" w:hAnsiTheme="majorHAnsi" w:cstheme="majorBidi"/>
      <w:color w:val="5F005F"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table" w:styleId="TableGrid">
    <w:name w:val="Table Grid"/>
    <w:basedOn w:val="TableNormal"/>
    <w:uiPriority w:val="59"/>
    <w:rsid w:val="00C62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6B25"/>
    <w:rPr>
      <w:rFonts w:asciiTheme="majorHAnsi" w:eastAsiaTheme="majorEastAsia" w:hAnsiTheme="majorHAnsi" w:cstheme="majorBidi"/>
      <w:color w:val="5F005F" w:themeColor="accent1" w:themeShade="BF"/>
      <w:sz w:val="32"/>
      <w:szCs w:val="32"/>
    </w:rPr>
  </w:style>
  <w:style w:type="character" w:customStyle="1" w:styleId="Heading2Char">
    <w:name w:val="Heading 2 Char"/>
    <w:basedOn w:val="DefaultParagraphFont"/>
    <w:link w:val="Heading2"/>
    <w:uiPriority w:val="9"/>
    <w:rsid w:val="00D84C7A"/>
    <w:rPr>
      <w:rFonts w:asciiTheme="majorHAnsi" w:eastAsiaTheme="majorEastAsia" w:hAnsiTheme="majorHAnsi" w:cstheme="majorBidi"/>
      <w:color w:val="5F005F" w:themeColor="accent1" w:themeShade="BF"/>
      <w:sz w:val="26"/>
      <w:szCs w:val="26"/>
    </w:rPr>
  </w:style>
  <w:style w:type="paragraph" w:styleId="ListParagraph">
    <w:name w:val="List Paragraph"/>
    <w:basedOn w:val="Normal"/>
    <w:uiPriority w:val="34"/>
    <w:qFormat/>
    <w:rsid w:val="00D84C7A"/>
    <w:pPr>
      <w:ind w:left="720"/>
      <w:contextualSpacing/>
    </w:pPr>
  </w:style>
  <w:style w:type="paragraph" w:styleId="TOCHeading">
    <w:name w:val="TOC Heading"/>
    <w:basedOn w:val="Heading1"/>
    <w:next w:val="Normal"/>
    <w:uiPriority w:val="39"/>
    <w:unhideWhenUsed/>
    <w:qFormat/>
    <w:rsid w:val="00351BCA"/>
    <w:pPr>
      <w:spacing w:line="259" w:lineRule="auto"/>
      <w:outlineLvl w:val="9"/>
    </w:pPr>
    <w:rPr>
      <w:lang w:val="en-US"/>
    </w:rPr>
  </w:style>
  <w:style w:type="paragraph" w:styleId="TOC1">
    <w:name w:val="toc 1"/>
    <w:basedOn w:val="Normal"/>
    <w:next w:val="Normal"/>
    <w:autoRedefine/>
    <w:uiPriority w:val="39"/>
    <w:unhideWhenUsed/>
    <w:rsid w:val="000F6054"/>
    <w:pPr>
      <w:tabs>
        <w:tab w:val="right" w:leader="dot" w:pos="9016"/>
      </w:tabs>
      <w:spacing w:after="100"/>
    </w:pPr>
  </w:style>
  <w:style w:type="paragraph" w:styleId="TOC2">
    <w:name w:val="toc 2"/>
    <w:basedOn w:val="Normal"/>
    <w:next w:val="Normal"/>
    <w:autoRedefine/>
    <w:uiPriority w:val="39"/>
    <w:unhideWhenUsed/>
    <w:rsid w:val="002C38F5"/>
    <w:pPr>
      <w:tabs>
        <w:tab w:val="left" w:pos="880"/>
        <w:tab w:val="right" w:leader="dot" w:pos="9016"/>
      </w:tabs>
      <w:spacing w:after="100"/>
      <w:ind w:left="240"/>
    </w:pPr>
  </w:style>
  <w:style w:type="character" w:styleId="Hyperlink">
    <w:name w:val="Hyperlink"/>
    <w:basedOn w:val="DefaultParagraphFont"/>
    <w:uiPriority w:val="99"/>
    <w:unhideWhenUsed/>
    <w:rsid w:val="00351BCA"/>
    <w:rPr>
      <w:color w:val="800080" w:themeColor="hyperlink"/>
      <w:u w:val="single"/>
    </w:rPr>
  </w:style>
  <w:style w:type="paragraph" w:styleId="Header">
    <w:name w:val="header"/>
    <w:basedOn w:val="Normal"/>
    <w:link w:val="HeaderChar"/>
    <w:uiPriority w:val="99"/>
    <w:unhideWhenUsed/>
    <w:rsid w:val="006A5B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B50"/>
    <w:rPr>
      <w:rFonts w:ascii="Arial" w:hAnsi="Arial"/>
      <w:sz w:val="24"/>
    </w:rPr>
  </w:style>
  <w:style w:type="paragraph" w:styleId="Footer">
    <w:name w:val="footer"/>
    <w:basedOn w:val="Normal"/>
    <w:link w:val="FooterChar"/>
    <w:unhideWhenUsed/>
    <w:rsid w:val="006A5B50"/>
    <w:pPr>
      <w:tabs>
        <w:tab w:val="center" w:pos="4513"/>
        <w:tab w:val="right" w:pos="9026"/>
      </w:tabs>
      <w:spacing w:after="0" w:line="240" w:lineRule="auto"/>
    </w:pPr>
  </w:style>
  <w:style w:type="character" w:customStyle="1" w:styleId="FooterChar">
    <w:name w:val="Footer Char"/>
    <w:basedOn w:val="DefaultParagraphFont"/>
    <w:link w:val="Footer"/>
    <w:rsid w:val="006A5B50"/>
    <w:rPr>
      <w:rFonts w:ascii="Arial" w:hAnsi="Arial"/>
      <w:sz w:val="24"/>
    </w:rPr>
  </w:style>
  <w:style w:type="paragraph" w:styleId="BodyText">
    <w:name w:val="Body Text"/>
    <w:basedOn w:val="Normal"/>
    <w:link w:val="BodyTextChar"/>
    <w:semiHidden/>
    <w:rsid w:val="008756C9"/>
    <w:pPr>
      <w:autoSpaceDE w:val="0"/>
      <w:autoSpaceDN w:val="0"/>
      <w:adjustRightInd w:val="0"/>
      <w:spacing w:after="0" w:line="240" w:lineRule="auto"/>
    </w:pPr>
    <w:rPr>
      <w:rFonts w:eastAsia="Times New Roman" w:cs="Arial"/>
      <w:i/>
      <w:iCs/>
      <w:sz w:val="22"/>
      <w:szCs w:val="18"/>
      <w:lang w:val="en-US"/>
    </w:rPr>
  </w:style>
  <w:style w:type="character" w:customStyle="1" w:styleId="BodyTextChar">
    <w:name w:val="Body Text Char"/>
    <w:basedOn w:val="DefaultParagraphFont"/>
    <w:link w:val="BodyText"/>
    <w:semiHidden/>
    <w:rsid w:val="008756C9"/>
    <w:rPr>
      <w:rFonts w:ascii="Arial" w:eastAsia="Times New Roman" w:hAnsi="Arial" w:cs="Arial"/>
      <w:i/>
      <w:iCs/>
      <w:szCs w:val="18"/>
      <w:lang w:val="en-US"/>
    </w:rPr>
  </w:style>
  <w:style w:type="paragraph" w:customStyle="1" w:styleId="Default">
    <w:name w:val="Default"/>
    <w:rsid w:val="00DD5C48"/>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8B53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3A5"/>
    <w:rPr>
      <w:rFonts w:ascii="Segoe UI" w:hAnsi="Segoe UI" w:cs="Segoe UI"/>
      <w:sz w:val="18"/>
      <w:szCs w:val="18"/>
    </w:rPr>
  </w:style>
  <w:style w:type="character" w:styleId="UnresolvedMention">
    <w:name w:val="Unresolved Mention"/>
    <w:basedOn w:val="DefaultParagraphFont"/>
    <w:uiPriority w:val="99"/>
    <w:semiHidden/>
    <w:unhideWhenUsed/>
    <w:rsid w:val="00E058CD"/>
    <w:rPr>
      <w:color w:val="605E5C"/>
      <w:shd w:val="clear" w:color="auto" w:fill="E1DFDD"/>
    </w:rPr>
  </w:style>
  <w:style w:type="character" w:styleId="FollowedHyperlink">
    <w:name w:val="FollowedHyperlink"/>
    <w:basedOn w:val="DefaultParagraphFont"/>
    <w:uiPriority w:val="99"/>
    <w:semiHidden/>
    <w:unhideWhenUsed/>
    <w:rsid w:val="00AD1C2A"/>
    <w:rPr>
      <w:color w:val="800080" w:themeColor="followedHyperlink"/>
      <w:u w:val="single"/>
    </w:rPr>
  </w:style>
  <w:style w:type="character" w:styleId="CommentReference">
    <w:name w:val="annotation reference"/>
    <w:basedOn w:val="DefaultParagraphFont"/>
    <w:uiPriority w:val="99"/>
    <w:semiHidden/>
    <w:unhideWhenUsed/>
    <w:rsid w:val="001869AB"/>
    <w:rPr>
      <w:sz w:val="16"/>
      <w:szCs w:val="16"/>
    </w:rPr>
  </w:style>
  <w:style w:type="paragraph" w:styleId="CommentText">
    <w:name w:val="annotation text"/>
    <w:basedOn w:val="Normal"/>
    <w:link w:val="CommentTextChar"/>
    <w:uiPriority w:val="99"/>
    <w:unhideWhenUsed/>
    <w:rsid w:val="001869AB"/>
    <w:pPr>
      <w:spacing w:line="240" w:lineRule="auto"/>
    </w:pPr>
    <w:rPr>
      <w:sz w:val="20"/>
      <w:szCs w:val="20"/>
    </w:rPr>
  </w:style>
  <w:style w:type="character" w:customStyle="1" w:styleId="CommentTextChar">
    <w:name w:val="Comment Text Char"/>
    <w:basedOn w:val="DefaultParagraphFont"/>
    <w:link w:val="CommentText"/>
    <w:uiPriority w:val="99"/>
    <w:rsid w:val="001869A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55F01"/>
    <w:rPr>
      <w:b/>
      <w:bCs/>
    </w:rPr>
  </w:style>
  <w:style w:type="character" w:customStyle="1" w:styleId="CommentSubjectChar">
    <w:name w:val="Comment Subject Char"/>
    <w:basedOn w:val="CommentTextChar"/>
    <w:link w:val="CommentSubject"/>
    <w:uiPriority w:val="99"/>
    <w:semiHidden/>
    <w:rsid w:val="00455F01"/>
    <w:rPr>
      <w:rFonts w:ascii="Arial" w:hAnsi="Arial"/>
      <w:b/>
      <w:bCs/>
      <w:sz w:val="20"/>
      <w:szCs w:val="20"/>
    </w:rPr>
  </w:style>
  <w:style w:type="paragraph" w:styleId="Revision">
    <w:name w:val="Revision"/>
    <w:hidden/>
    <w:uiPriority w:val="99"/>
    <w:semiHidden/>
    <w:rsid w:val="003D2F1B"/>
    <w:pPr>
      <w:spacing w:after="0" w:line="240" w:lineRule="auto"/>
    </w:pPr>
    <w:rPr>
      <w:rFonts w:ascii="Arial" w:hAnsi="Arial"/>
      <w:sz w:val="24"/>
    </w:rPr>
  </w:style>
  <w:style w:type="table" w:styleId="PlainTable1">
    <w:name w:val="Plain Table 1"/>
    <w:basedOn w:val="TableNormal"/>
    <w:uiPriority w:val="41"/>
    <w:rsid w:val="0078513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9973268">
      <w:bodyDiv w:val="1"/>
      <w:marLeft w:val="0"/>
      <w:marRight w:val="0"/>
      <w:marTop w:val="0"/>
      <w:marBottom w:val="0"/>
      <w:divBdr>
        <w:top w:val="none" w:sz="0" w:space="0" w:color="auto"/>
        <w:left w:val="none" w:sz="0" w:space="0" w:color="auto"/>
        <w:bottom w:val="none" w:sz="0" w:space="0" w:color="auto"/>
        <w:right w:val="none" w:sz="0" w:space="0" w:color="auto"/>
      </w:divBdr>
    </w:div>
    <w:div w:id="167360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gehill.ac.uk/departments/support/registry/academic-records/last-date-of-engagement/" TargetMode="External"/><Relationship Id="rId13" Type="http://schemas.openxmlformats.org/officeDocument/2006/relationships/hyperlink" Target="https://www.edgehill.ac.uk/departments/support/registry/"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dgehill.ac.uk/document/safeguarding-policy/"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edgehillsu.org.uk/advi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gehill.ac.uk/document/research-degree-regulations/" TargetMode="External"/><Relationship Id="rId5" Type="http://schemas.openxmlformats.org/officeDocument/2006/relationships/webSettings" Target="webSettings.xml"/><Relationship Id="rId15" Type="http://schemas.openxmlformats.org/officeDocument/2006/relationships/hyperlink" Target="https://www.edgehill.ac.uk/students/student-support-team/" TargetMode="External"/><Relationship Id="rId10" Type="http://schemas.openxmlformats.org/officeDocument/2006/relationships/hyperlink" Target="https://www.edgehill.ac.uk/documents/academic-programme-engagement-framework-2020-202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dgehill.ac.uk/document/academic-regulations-2024-2025/" TargetMode="External"/><Relationship Id="rId14" Type="http://schemas.openxmlformats.org/officeDocument/2006/relationships/hyperlink" Target="https://www.edgehill.ac.uk/departments/support/studentservice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Strategy custom">
      <a:dk1>
        <a:sysClr val="windowText" lastClr="000000"/>
      </a:dk1>
      <a:lt1>
        <a:sysClr val="window" lastClr="FFFFFF"/>
      </a:lt1>
      <a:dk2>
        <a:srgbClr val="1F497D"/>
      </a:dk2>
      <a:lt2>
        <a:srgbClr val="EEECE1"/>
      </a:lt2>
      <a:accent1>
        <a:srgbClr val="800080"/>
      </a:accent1>
      <a:accent2>
        <a:srgbClr val="800080"/>
      </a:accent2>
      <a:accent3>
        <a:srgbClr val="800080"/>
      </a:accent3>
      <a:accent4>
        <a:srgbClr val="800080"/>
      </a:accent4>
      <a:accent5>
        <a:srgbClr val="800080"/>
      </a:accent5>
      <a:accent6>
        <a:srgbClr val="800080"/>
      </a:accent6>
      <a:hlink>
        <a:srgbClr val="800080"/>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06435-9098-40E7-928F-F3B04B417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2005</Words>
  <Characters>11430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13409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Bayfield</dc:creator>
  <cp:keywords/>
  <dc:description/>
  <cp:lastModifiedBy>Claire Amy Bunting</cp:lastModifiedBy>
  <cp:revision>3</cp:revision>
  <cp:lastPrinted>2022-06-16T15:21:00Z</cp:lastPrinted>
  <dcterms:created xsi:type="dcterms:W3CDTF">2024-06-28T14:55:00Z</dcterms:created>
  <dcterms:modified xsi:type="dcterms:W3CDTF">2024-06-28T14:58:00Z</dcterms:modified>
</cp:coreProperties>
</file>