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CDC0" w14:textId="6EB6D55D" w:rsidR="008C4190" w:rsidRDefault="008C4190"/>
    <w:tbl>
      <w:tblPr>
        <w:tblStyle w:val="TableGrid"/>
        <w:tblW w:w="0" w:type="auto"/>
        <w:tblInd w:w="0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ook w:val="04A0" w:firstRow="1" w:lastRow="0" w:firstColumn="1" w:lastColumn="0" w:noHBand="0" w:noVBand="1"/>
      </w:tblPr>
      <w:tblGrid>
        <w:gridCol w:w="8966"/>
      </w:tblGrid>
      <w:tr w:rsidR="008C4190" w14:paraId="54DD4126" w14:textId="77777777" w:rsidTr="00A35EF3">
        <w:tc>
          <w:tcPr>
            <w:tcW w:w="896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26A60DBA" w14:textId="77777777" w:rsidR="008C4190" w:rsidRPr="006A3E8C" w:rsidRDefault="008C4190" w:rsidP="006A3E8C">
            <w:pPr>
              <w:rPr>
                <w:rFonts w:ascii="Georgia" w:hAnsi="Georgia"/>
                <w:sz w:val="96"/>
                <w:szCs w:val="96"/>
              </w:rPr>
            </w:pPr>
            <w:r w:rsidRPr="006A3E8C">
              <w:rPr>
                <w:rFonts w:ascii="Georgia" w:hAnsi="Georgia"/>
                <w:sz w:val="96"/>
                <w:szCs w:val="96"/>
              </w:rPr>
              <w:br w:type="page"/>
              <w:t xml:space="preserve">2024/25 </w:t>
            </w:r>
          </w:p>
          <w:p w14:paraId="4B695D47" w14:textId="0B978D7A" w:rsidR="008C4190" w:rsidRPr="006A3E8C" w:rsidRDefault="0025238E" w:rsidP="006A3E8C">
            <w:pPr>
              <w:pStyle w:val="Heading1"/>
              <w:rPr>
                <w:rFonts w:ascii="Georgia" w:hAnsi="Georgia"/>
                <w:color w:val="auto"/>
                <w:sz w:val="96"/>
                <w:szCs w:val="96"/>
              </w:rPr>
            </w:pPr>
            <w:r w:rsidRPr="006A3E8C">
              <w:rPr>
                <w:rFonts w:ascii="Georgia" w:hAnsi="Georgia"/>
                <w:color w:val="auto"/>
                <w:sz w:val="96"/>
                <w:szCs w:val="96"/>
              </w:rPr>
              <w:t>Progress to Postgraduate Award</w:t>
            </w:r>
            <w:r w:rsidR="008C4190" w:rsidRPr="006A3E8C">
              <w:rPr>
                <w:rFonts w:ascii="Georgia" w:hAnsi="Georgia"/>
                <w:color w:val="auto"/>
                <w:sz w:val="96"/>
                <w:szCs w:val="96"/>
              </w:rPr>
              <w:t xml:space="preserve"> Procedure</w:t>
            </w:r>
          </w:p>
          <w:p w14:paraId="242C5C4A" w14:textId="77777777" w:rsidR="008C4190" w:rsidRDefault="008C4190" w:rsidP="00A35EF3">
            <w:pPr>
              <w:rPr>
                <w:rFonts w:ascii="Georgia" w:hAnsi="Georgia"/>
              </w:rPr>
            </w:pPr>
          </w:p>
        </w:tc>
      </w:tr>
      <w:tr w:rsidR="008C4190" w14:paraId="3DC5D8F1" w14:textId="77777777" w:rsidTr="00A35EF3">
        <w:tc>
          <w:tcPr>
            <w:tcW w:w="896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00B0F0"/>
          </w:tcPr>
          <w:p w14:paraId="47192678" w14:textId="77777777" w:rsidR="008C4190" w:rsidRDefault="008C4190" w:rsidP="00A35EF3"/>
          <w:p w14:paraId="2AE5B75E" w14:textId="77777777" w:rsidR="008C4190" w:rsidRPr="00BD033C" w:rsidRDefault="008C4190" w:rsidP="00A35EF3">
            <w:pPr>
              <w:rPr>
                <w:b/>
              </w:rPr>
            </w:pPr>
            <w:r w:rsidRPr="00BD033C">
              <w:rPr>
                <w:b/>
              </w:rPr>
              <w:t>EFFECTIVE FROM 1 AUGUST 2024</w:t>
            </w:r>
          </w:p>
          <w:p w14:paraId="49B84898" w14:textId="77777777" w:rsidR="008C4190" w:rsidRDefault="008C4190" w:rsidP="00A35EF3"/>
        </w:tc>
      </w:tr>
    </w:tbl>
    <w:p w14:paraId="6A207AB4" w14:textId="77777777" w:rsidR="008C4190" w:rsidRDefault="008C4190" w:rsidP="008C4190">
      <w:pPr>
        <w:spacing w:after="0" w:line="240" w:lineRule="auto"/>
      </w:pPr>
    </w:p>
    <w:p w14:paraId="7B102D78" w14:textId="77777777" w:rsidR="008C4190" w:rsidRDefault="008C4190" w:rsidP="008C4190">
      <w:pPr>
        <w:spacing w:after="0" w:line="240" w:lineRule="auto"/>
      </w:pPr>
    </w:p>
    <w:p w14:paraId="36AD4BE1" w14:textId="77777777" w:rsidR="008C4190" w:rsidRPr="00BD033C" w:rsidRDefault="008C4190" w:rsidP="00BD033C">
      <w:pPr>
        <w:pStyle w:val="Heading2"/>
        <w:rPr>
          <w:szCs w:val="32"/>
        </w:rPr>
      </w:pPr>
      <w:r w:rsidRPr="00BD033C">
        <w:rPr>
          <w:b/>
          <w:szCs w:val="32"/>
        </w:rPr>
        <w:br w:type="page"/>
      </w:r>
      <w:bookmarkStart w:id="0" w:name="_Toc22201751"/>
      <w:r w:rsidRPr="00BD033C">
        <w:rPr>
          <w:szCs w:val="32"/>
        </w:rPr>
        <w:lastRenderedPageBreak/>
        <w:t>Summary</w:t>
      </w:r>
      <w:bookmarkEnd w:id="0"/>
      <w:r w:rsidRPr="00BD033C">
        <w:rPr>
          <w:szCs w:val="32"/>
        </w:rPr>
        <w:t xml:space="preserve"> </w:t>
      </w:r>
      <w:r w:rsidRPr="00BD033C">
        <w:rPr>
          <w:szCs w:val="32"/>
        </w:rPr>
        <w:tab/>
      </w:r>
    </w:p>
    <w:p w14:paraId="3144D72C" w14:textId="42B36281" w:rsidR="008C4190" w:rsidRDefault="008C4190" w:rsidP="008C4190">
      <w:r>
        <w:t xml:space="preserve">This document outlines eligibility criteria for Edge Hill Alumni, former ERASMUS+ and Study Abroad students who may benefit from a reduction in tuition fee when enrolling onto an eligible course in the academic year 2024/25. </w:t>
      </w:r>
      <w:r w:rsidR="008A16B4">
        <w:t xml:space="preserve">This benefit is reviewed </w:t>
      </w:r>
      <w:proofErr w:type="gramStart"/>
      <w:r w:rsidR="00067429">
        <w:t>annually</w:t>
      </w:r>
      <w:proofErr w:type="gramEnd"/>
      <w:r w:rsidR="00E83726">
        <w:t xml:space="preserve"> and t</w:t>
      </w:r>
      <w:r w:rsidR="00067429">
        <w:t xml:space="preserve">he </w:t>
      </w:r>
      <w:r w:rsidR="008A16B4">
        <w:t xml:space="preserve">University has the right to withdraw or amend this </w:t>
      </w:r>
      <w:r w:rsidR="00067429">
        <w:t xml:space="preserve">discretionary </w:t>
      </w:r>
      <w:r w:rsidR="008A16B4">
        <w:t xml:space="preserve">offer at any time for future study years. </w:t>
      </w:r>
    </w:p>
    <w:p w14:paraId="38FF840F" w14:textId="77777777" w:rsidR="008C4190" w:rsidRDefault="008C4190" w:rsidP="00BD033C">
      <w:pPr>
        <w:pStyle w:val="Heading2"/>
      </w:pPr>
      <w:bookmarkStart w:id="1" w:name="_Toc22201752"/>
      <w:r>
        <w:t>Glossary of Terms</w:t>
      </w:r>
      <w:bookmarkEnd w:id="1"/>
      <w:r>
        <w:t xml:space="preserve"> </w:t>
      </w:r>
    </w:p>
    <w:p w14:paraId="3D79FB75" w14:textId="77777777" w:rsidR="008C4190" w:rsidRPr="00BD033C" w:rsidRDefault="008C4190" w:rsidP="00BD033C">
      <w:pPr>
        <w:pStyle w:val="Heading3"/>
        <w:rPr>
          <w:rFonts w:ascii="Arial" w:hAnsi="Arial" w:cs="Arial"/>
          <w:b/>
          <w:bCs/>
          <w:color w:val="auto"/>
        </w:rPr>
      </w:pPr>
      <w:r w:rsidRPr="00BD033C">
        <w:rPr>
          <w:rFonts w:ascii="Arial" w:hAnsi="Arial" w:cs="Arial"/>
          <w:b/>
          <w:bCs/>
          <w:color w:val="auto"/>
        </w:rPr>
        <w:t>Bursary</w:t>
      </w:r>
    </w:p>
    <w:p w14:paraId="0BB08056" w14:textId="77777777" w:rsidR="008C4190" w:rsidRDefault="008C4190" w:rsidP="008C419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 financial award made to students to support their studies; sometimes used interchangeably with ‘scholarship’. For some professional programmes, a bursary may be provided from an external </w:t>
      </w:r>
      <w:proofErr w:type="gramStart"/>
      <w:r>
        <w:rPr>
          <w:rFonts w:cs="Arial"/>
          <w:color w:val="000000"/>
          <w:szCs w:val="24"/>
        </w:rPr>
        <w:t>provider;</w:t>
      </w:r>
      <w:proofErr w:type="gramEnd"/>
      <w:r>
        <w:rPr>
          <w:rFonts w:cs="Arial"/>
          <w:color w:val="000000"/>
          <w:szCs w:val="24"/>
        </w:rPr>
        <w:t xml:space="preserve"> </w:t>
      </w:r>
    </w:p>
    <w:p w14:paraId="0D382C00" w14:textId="77777777" w:rsidR="008C4190" w:rsidRDefault="008C4190" w:rsidP="008C419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EFCBDCA" w14:textId="77777777" w:rsidR="008C4190" w:rsidRPr="00BD033C" w:rsidRDefault="008C4190" w:rsidP="00BD033C">
      <w:pPr>
        <w:pStyle w:val="Heading3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BD033C">
        <w:rPr>
          <w:rFonts w:ascii="Arial" w:eastAsia="Times New Roman" w:hAnsi="Arial" w:cs="Arial"/>
          <w:b/>
          <w:bCs/>
          <w:color w:val="auto"/>
          <w:lang w:eastAsia="en-GB"/>
        </w:rPr>
        <w:t>ERASMUS+</w:t>
      </w:r>
    </w:p>
    <w:p w14:paraId="0109B44C" w14:textId="77777777" w:rsidR="008C4190" w:rsidRDefault="008C4190" w:rsidP="008C4190">
      <w:pPr>
        <w:spacing w:after="0"/>
        <w:rPr>
          <w:rFonts w:cs="Arial"/>
          <w:szCs w:val="24"/>
        </w:rPr>
      </w:pPr>
      <w:bookmarkStart w:id="2" w:name="_Hlk46241762"/>
      <w:r>
        <w:rPr>
          <w:rFonts w:cs="Arial"/>
          <w:szCs w:val="24"/>
        </w:rPr>
        <w:t xml:space="preserve">a former programme for EU students (prior to December 2020) who studied at Edge Hill University for one or two </w:t>
      </w:r>
      <w:proofErr w:type="gramStart"/>
      <w:r>
        <w:rPr>
          <w:rFonts w:cs="Arial"/>
          <w:szCs w:val="24"/>
        </w:rPr>
        <w:t>semesters;</w:t>
      </w:r>
      <w:proofErr w:type="gramEnd"/>
    </w:p>
    <w:p w14:paraId="6C5666C7" w14:textId="77777777" w:rsidR="008C4190" w:rsidRDefault="008C4190" w:rsidP="008C4190">
      <w:pPr>
        <w:spacing w:after="0"/>
        <w:rPr>
          <w:rFonts w:cs="Arial"/>
          <w:szCs w:val="24"/>
        </w:rPr>
      </w:pPr>
    </w:p>
    <w:p w14:paraId="49B1CFB6" w14:textId="77777777" w:rsidR="008C4190" w:rsidRPr="00BD033C" w:rsidRDefault="008C4190" w:rsidP="00BD033C">
      <w:pPr>
        <w:pStyle w:val="Heading3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BD033C">
        <w:rPr>
          <w:rFonts w:ascii="Arial" w:eastAsia="Times New Roman" w:hAnsi="Arial" w:cs="Arial"/>
          <w:b/>
          <w:bCs/>
          <w:color w:val="auto"/>
          <w:lang w:eastAsia="en-GB"/>
        </w:rPr>
        <w:t>Postgraduate Doctoral Loan Scheme</w:t>
      </w:r>
    </w:p>
    <w:p w14:paraId="457A6264" w14:textId="77777777" w:rsidR="008C4190" w:rsidRDefault="008C4190" w:rsidP="008C4190">
      <w:pPr>
        <w:spacing w:after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The scheme under which students starting a postgraduate Doctoral course could be eligible for a loan from the UK Government to help with course fees and living </w:t>
      </w:r>
      <w:proofErr w:type="gramStart"/>
      <w:r>
        <w:rPr>
          <w:rFonts w:eastAsia="Times New Roman" w:cs="Arial"/>
          <w:szCs w:val="24"/>
          <w:lang w:eastAsia="en-GB"/>
        </w:rPr>
        <w:t>costs;</w:t>
      </w:r>
      <w:proofErr w:type="gramEnd"/>
    </w:p>
    <w:bookmarkEnd w:id="2"/>
    <w:p w14:paraId="031D780A" w14:textId="77777777" w:rsidR="008C4190" w:rsidRDefault="008C4190" w:rsidP="008C4190">
      <w:pPr>
        <w:spacing w:after="0"/>
        <w:rPr>
          <w:rFonts w:eastAsia="Times New Roman" w:cs="Arial"/>
          <w:szCs w:val="24"/>
          <w:lang w:eastAsia="en-GB"/>
        </w:rPr>
      </w:pPr>
    </w:p>
    <w:p w14:paraId="1C92C5B7" w14:textId="525E65E0" w:rsidR="008C4190" w:rsidRPr="00BD033C" w:rsidRDefault="008C4190" w:rsidP="00BD033C">
      <w:pPr>
        <w:pStyle w:val="Heading3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BD033C">
        <w:rPr>
          <w:rFonts w:ascii="Arial" w:eastAsia="Times New Roman" w:hAnsi="Arial" w:cs="Arial"/>
          <w:b/>
          <w:bCs/>
          <w:color w:val="auto"/>
          <w:lang w:eastAsia="en-GB"/>
        </w:rPr>
        <w:t>Postgraduate Masters Loan Scheme</w:t>
      </w:r>
    </w:p>
    <w:p w14:paraId="45B7CC28" w14:textId="0A773611" w:rsidR="008C4190" w:rsidRDefault="008C4190" w:rsidP="008C4190">
      <w:pPr>
        <w:spacing w:after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The scheme under which students starting a postgraduate </w:t>
      </w:r>
      <w:proofErr w:type="gramStart"/>
      <w:r>
        <w:rPr>
          <w:rFonts w:eastAsia="Times New Roman" w:cs="Arial"/>
          <w:szCs w:val="24"/>
          <w:lang w:eastAsia="en-GB"/>
        </w:rPr>
        <w:t>masters</w:t>
      </w:r>
      <w:proofErr w:type="gramEnd"/>
      <w:r>
        <w:rPr>
          <w:rFonts w:eastAsia="Times New Roman" w:cs="Arial"/>
          <w:szCs w:val="24"/>
          <w:lang w:eastAsia="en-GB"/>
        </w:rPr>
        <w:t xml:space="preserve"> course could be eligible for a loan from the UK Government to help towards course fees and in some cases living costs;</w:t>
      </w:r>
    </w:p>
    <w:p w14:paraId="372000BC" w14:textId="77777777" w:rsidR="008C4190" w:rsidRDefault="008C4190" w:rsidP="008C4190">
      <w:pPr>
        <w:spacing w:after="0"/>
        <w:rPr>
          <w:rFonts w:eastAsia="Times New Roman" w:cs="Arial"/>
          <w:szCs w:val="24"/>
          <w:lang w:eastAsia="en-GB"/>
        </w:rPr>
      </w:pPr>
    </w:p>
    <w:p w14:paraId="61C8FCD8" w14:textId="77777777" w:rsidR="008C4190" w:rsidRPr="00BD033C" w:rsidRDefault="008C4190" w:rsidP="00BD033C">
      <w:pPr>
        <w:pStyle w:val="Heading3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BD033C">
        <w:rPr>
          <w:rFonts w:ascii="Arial" w:eastAsia="Times New Roman" w:hAnsi="Arial" w:cs="Arial"/>
          <w:b/>
          <w:bCs/>
          <w:color w:val="auto"/>
          <w:lang w:eastAsia="en-GB"/>
        </w:rPr>
        <w:t>Repeat Year</w:t>
      </w:r>
    </w:p>
    <w:p w14:paraId="7698CE6C" w14:textId="77777777" w:rsidR="008C4190" w:rsidRDefault="008C4190" w:rsidP="008C4190">
      <w:pPr>
        <w:spacing w:after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permission to undertake a full year or level of study as if for the first time, despite having previously undertaken part or all of that </w:t>
      </w:r>
      <w:proofErr w:type="gramStart"/>
      <w:r>
        <w:rPr>
          <w:rFonts w:eastAsia="Times New Roman" w:cs="Arial"/>
          <w:szCs w:val="24"/>
          <w:lang w:eastAsia="en-GB"/>
        </w:rPr>
        <w:t>year;</w:t>
      </w:r>
      <w:proofErr w:type="gramEnd"/>
    </w:p>
    <w:p w14:paraId="5F33EAE9" w14:textId="77777777" w:rsidR="008C4190" w:rsidRDefault="008C4190" w:rsidP="008C4190">
      <w:pPr>
        <w:spacing w:after="0"/>
        <w:rPr>
          <w:b/>
        </w:rPr>
      </w:pPr>
    </w:p>
    <w:p w14:paraId="65C7D937" w14:textId="77777777" w:rsidR="008C4190" w:rsidRPr="00BD033C" w:rsidRDefault="008C4190" w:rsidP="00BD033C">
      <w:pPr>
        <w:pStyle w:val="Heading3"/>
        <w:rPr>
          <w:rFonts w:ascii="Arial" w:hAnsi="Arial" w:cs="Arial"/>
          <w:b/>
          <w:bCs/>
          <w:color w:val="auto"/>
        </w:rPr>
      </w:pPr>
      <w:r w:rsidRPr="00BD033C">
        <w:rPr>
          <w:rFonts w:ascii="Arial" w:hAnsi="Arial" w:cs="Arial"/>
          <w:b/>
          <w:bCs/>
          <w:color w:val="auto"/>
        </w:rPr>
        <w:t>Sponsor</w:t>
      </w:r>
    </w:p>
    <w:p w14:paraId="3EE4F463" w14:textId="77777777" w:rsidR="008C4190" w:rsidRDefault="008C4190" w:rsidP="008C4190">
      <w:pPr>
        <w:spacing w:after="0"/>
      </w:pPr>
      <w:r>
        <w:t xml:space="preserve">an employer or other organisation that agrees to pay all or part of a student’s tuition fee for a period of </w:t>
      </w:r>
      <w:proofErr w:type="gramStart"/>
      <w:r>
        <w:t>registration;</w:t>
      </w:r>
      <w:proofErr w:type="gramEnd"/>
    </w:p>
    <w:p w14:paraId="708058E5" w14:textId="77777777" w:rsidR="008C4190" w:rsidRDefault="008C4190" w:rsidP="008C4190">
      <w:pPr>
        <w:spacing w:after="0"/>
      </w:pPr>
    </w:p>
    <w:p w14:paraId="06DF4EB8" w14:textId="77777777" w:rsidR="008C4190" w:rsidRPr="00BD033C" w:rsidRDefault="008C4190" w:rsidP="00BD033C">
      <w:pPr>
        <w:pStyle w:val="Heading3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BD033C">
        <w:rPr>
          <w:rFonts w:ascii="Arial" w:eastAsia="Times New Roman" w:hAnsi="Arial" w:cs="Arial"/>
          <w:b/>
          <w:bCs/>
          <w:color w:val="auto"/>
          <w:lang w:eastAsia="en-GB"/>
        </w:rPr>
        <w:t>Study Abroad (students)</w:t>
      </w:r>
    </w:p>
    <w:p w14:paraId="3FDB9055" w14:textId="20B7D556" w:rsidR="008C4190" w:rsidRDefault="008C4190" w:rsidP="00BD033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students who come to study at Edge Hill from a University outside the UK as part of their degree course. Study Abroad students can choose to study for a semester or for a whole academic year at Edge Hill</w:t>
      </w:r>
      <w:r w:rsidR="00BF6B72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 </w:t>
      </w:r>
    </w:p>
    <w:p w14:paraId="653CDC27" w14:textId="77777777" w:rsidR="008C4190" w:rsidRDefault="008C4190" w:rsidP="00BD033C">
      <w:pPr>
        <w:pStyle w:val="Heading2"/>
      </w:pPr>
      <w:bookmarkStart w:id="3" w:name="_Toc22201753"/>
      <w:r>
        <w:t>Purpose</w:t>
      </w:r>
      <w:bookmarkEnd w:id="3"/>
      <w:r>
        <w:t xml:space="preserve"> </w:t>
      </w:r>
    </w:p>
    <w:p w14:paraId="3C0767AA" w14:textId="6F16242D" w:rsidR="001206C7" w:rsidRDefault="008C4190" w:rsidP="008C4190">
      <w:r>
        <w:t>This procedure sets out the criteria for Edge Hill Alumni, former ERASMUS+ and Study Abroad students who may benefit from tuition fee remission and informs of specific programmes which are excluded from the fee remission offer.</w:t>
      </w:r>
      <w:r w:rsidR="008A16B4">
        <w:t xml:space="preserve"> </w:t>
      </w:r>
    </w:p>
    <w:p w14:paraId="5D3D509A" w14:textId="77777777" w:rsidR="008C4190" w:rsidRDefault="008C4190" w:rsidP="00BD033C">
      <w:pPr>
        <w:pStyle w:val="Heading2"/>
      </w:pPr>
      <w:bookmarkStart w:id="4" w:name="_Toc22201754"/>
      <w:r>
        <w:lastRenderedPageBreak/>
        <w:t>Procedure</w:t>
      </w:r>
      <w:bookmarkEnd w:id="4"/>
    </w:p>
    <w:p w14:paraId="144A13E4" w14:textId="77777777" w:rsidR="008C4190" w:rsidRDefault="008C4190" w:rsidP="008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An Edge Hill Alumni, former ERASMUS+ or Study Abroad student could benefit from a reduction in tuition fee when enrolling onto an eligible full-time or part-time postgraduate programme at the University for the first time during 2024/25. </w:t>
      </w:r>
    </w:p>
    <w:p w14:paraId="78E9D389" w14:textId="77777777" w:rsidR="008C4190" w:rsidRPr="00C86A82" w:rsidRDefault="008C4190" w:rsidP="008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6"/>
          <w:szCs w:val="16"/>
          <w:lang w:eastAsia="en-GB"/>
        </w:rPr>
      </w:pPr>
    </w:p>
    <w:p w14:paraId="3D653A70" w14:textId="27B0907B" w:rsidR="008C4190" w:rsidRDefault="008C4190" w:rsidP="008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The offer is intended to be as inclusive as possible and is open to students who completed within the last t</w:t>
      </w:r>
      <w:r w:rsidR="00BF6B72">
        <w:rPr>
          <w:rFonts w:eastAsia="Times New Roman" w:cs="Arial"/>
          <w:szCs w:val="24"/>
          <w:lang w:eastAsia="en-GB"/>
        </w:rPr>
        <w:t>wo</w:t>
      </w:r>
      <w:r>
        <w:rPr>
          <w:rFonts w:eastAsia="Times New Roman" w:cs="Arial"/>
          <w:szCs w:val="24"/>
          <w:lang w:eastAsia="en-GB"/>
        </w:rPr>
        <w:t xml:space="preserve"> years and meet the criteria outlined below</w:t>
      </w:r>
      <w:r w:rsidR="00BF6B72">
        <w:rPr>
          <w:rFonts w:eastAsia="Times New Roman" w:cs="Arial"/>
          <w:szCs w:val="24"/>
          <w:lang w:eastAsia="en-GB"/>
        </w:rPr>
        <w:t>:</w:t>
      </w:r>
    </w:p>
    <w:p w14:paraId="6F7FA457" w14:textId="77777777" w:rsidR="008C4190" w:rsidRPr="00C86A82" w:rsidRDefault="008C4190" w:rsidP="008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6"/>
          <w:szCs w:val="16"/>
          <w:lang w:eastAsia="en-GB"/>
        </w:rPr>
      </w:pPr>
    </w:p>
    <w:p w14:paraId="0ED08CA7" w14:textId="77777777" w:rsidR="008C4190" w:rsidRDefault="008C4190" w:rsidP="00BD033C">
      <w:pPr>
        <w:pStyle w:val="Heading3"/>
        <w:rPr>
          <w:rFonts w:eastAsia="Times New Roman"/>
          <w:lang w:eastAsia="en-GB"/>
        </w:rPr>
      </w:pPr>
      <w:bookmarkStart w:id="5" w:name="_Toc22201755"/>
      <w:r>
        <w:rPr>
          <w:rFonts w:eastAsia="Times New Roman"/>
          <w:lang w:eastAsia="en-GB"/>
        </w:rPr>
        <w:t xml:space="preserve">Edge Hill University Alumni </w:t>
      </w:r>
      <w:bookmarkEnd w:id="5"/>
    </w:p>
    <w:p w14:paraId="71B09DA2" w14:textId="77777777" w:rsidR="008C4190" w:rsidRDefault="008C4190" w:rsidP="008C41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jc w:val="both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with UK resident status. Exemptions to the UK residency criteria may apply for EU students who have settled or pre-settled status under the EU Settlement Scheme, or who are Irish nationals. </w:t>
      </w:r>
    </w:p>
    <w:p w14:paraId="1F9C4E2F" w14:textId="7314261F" w:rsidR="008C4190" w:rsidRDefault="008C4190" w:rsidP="008C41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jc w:val="both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holding an undergraduate award</w:t>
      </w:r>
      <w:r>
        <w:rPr>
          <w:rFonts w:eastAsia="Times New Roman" w:cs="Arial"/>
          <w:szCs w:val="24"/>
          <w:vertAlign w:val="superscript"/>
          <w:lang w:eastAsia="en-GB"/>
        </w:rPr>
        <w:footnoteReference w:id="1"/>
      </w:r>
      <w:r>
        <w:rPr>
          <w:rFonts w:eastAsia="Times New Roman" w:cs="Arial"/>
          <w:szCs w:val="24"/>
          <w:lang w:eastAsia="en-GB"/>
        </w:rPr>
        <w:t xml:space="preserve"> at level five (for example </w:t>
      </w:r>
      <w:r w:rsidR="00464580">
        <w:rPr>
          <w:rFonts w:eastAsia="Times New Roman" w:cs="Arial"/>
          <w:szCs w:val="24"/>
          <w:lang w:eastAsia="en-GB"/>
        </w:rPr>
        <w:t>F</w:t>
      </w:r>
      <w:r>
        <w:rPr>
          <w:rFonts w:eastAsia="Times New Roman" w:cs="Arial"/>
          <w:szCs w:val="24"/>
          <w:lang w:eastAsia="en-GB"/>
        </w:rPr>
        <w:t xml:space="preserve">oundation </w:t>
      </w:r>
      <w:r w:rsidR="00464580">
        <w:rPr>
          <w:rFonts w:eastAsia="Times New Roman" w:cs="Arial"/>
          <w:szCs w:val="24"/>
          <w:lang w:eastAsia="en-GB"/>
        </w:rPr>
        <w:t>D</w:t>
      </w:r>
      <w:r>
        <w:rPr>
          <w:rFonts w:eastAsia="Times New Roman" w:cs="Arial"/>
          <w:szCs w:val="24"/>
          <w:lang w:eastAsia="en-GB"/>
        </w:rPr>
        <w:t>egree</w:t>
      </w:r>
      <w:r w:rsidR="00464580">
        <w:rPr>
          <w:rFonts w:eastAsia="Times New Roman" w:cs="Arial"/>
          <w:szCs w:val="24"/>
          <w:lang w:eastAsia="en-GB"/>
        </w:rPr>
        <w:t>, University Higher Diploma</w:t>
      </w:r>
      <w:r>
        <w:rPr>
          <w:rFonts w:eastAsia="Times New Roman" w:cs="Arial"/>
          <w:szCs w:val="24"/>
          <w:lang w:eastAsia="en-GB"/>
        </w:rPr>
        <w:t>) or at level six (for example BA, BSc or LLB)</w:t>
      </w:r>
      <w:r w:rsidR="00374F16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PGCE</w:t>
      </w:r>
      <w:r w:rsidR="00464580">
        <w:rPr>
          <w:rFonts w:eastAsia="Times New Roman" w:cs="Arial"/>
          <w:szCs w:val="24"/>
          <w:lang w:eastAsia="en-GB"/>
        </w:rPr>
        <w:t xml:space="preserve"> or </w:t>
      </w:r>
      <w:r>
        <w:rPr>
          <w:rFonts w:eastAsia="Times New Roman" w:cs="Arial"/>
          <w:szCs w:val="24"/>
          <w:lang w:eastAsia="en-GB"/>
        </w:rPr>
        <w:t>PGDE.</w:t>
      </w:r>
    </w:p>
    <w:p w14:paraId="4A412657" w14:textId="77777777" w:rsidR="008C4190" w:rsidRDefault="008C4190" w:rsidP="00BD033C">
      <w:pPr>
        <w:pStyle w:val="Heading3"/>
        <w:rPr>
          <w:rFonts w:eastAsia="Times New Roman"/>
          <w:lang w:eastAsia="en-GB"/>
        </w:rPr>
      </w:pPr>
      <w:bookmarkStart w:id="6" w:name="_Toc22201756"/>
      <w:r>
        <w:rPr>
          <w:rFonts w:eastAsia="Times New Roman"/>
          <w:lang w:eastAsia="en-GB"/>
        </w:rPr>
        <w:t>Former ERASMUS+ students</w:t>
      </w:r>
      <w:bookmarkEnd w:id="6"/>
    </w:p>
    <w:p w14:paraId="4068BA96" w14:textId="77777777" w:rsidR="008C4190" w:rsidRDefault="008C4190" w:rsidP="008C41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jc w:val="both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with EU resident status.</w:t>
      </w:r>
    </w:p>
    <w:p w14:paraId="0CCAE450" w14:textId="77777777" w:rsidR="008C4190" w:rsidRDefault="008C4190" w:rsidP="00BD033C">
      <w:pPr>
        <w:pStyle w:val="Heading3"/>
        <w:rPr>
          <w:rFonts w:eastAsia="Times New Roman"/>
          <w:lang w:eastAsia="en-GB"/>
        </w:rPr>
      </w:pPr>
      <w:bookmarkStart w:id="7" w:name="_Toc22201757"/>
      <w:r>
        <w:rPr>
          <w:rFonts w:eastAsia="Times New Roman"/>
          <w:lang w:eastAsia="en-GB"/>
        </w:rPr>
        <w:t xml:space="preserve">Study Abroad </w:t>
      </w:r>
      <w:proofErr w:type="gramStart"/>
      <w:r>
        <w:rPr>
          <w:rFonts w:eastAsia="Times New Roman"/>
          <w:lang w:eastAsia="en-GB"/>
        </w:rPr>
        <w:t>students</w:t>
      </w:r>
      <w:bookmarkEnd w:id="7"/>
      <w:proofErr w:type="gramEnd"/>
      <w:r>
        <w:rPr>
          <w:rFonts w:eastAsia="Times New Roman"/>
          <w:lang w:eastAsia="en-GB"/>
        </w:rPr>
        <w:t xml:space="preserve"> </w:t>
      </w:r>
    </w:p>
    <w:p w14:paraId="5EA5800A" w14:textId="77777777" w:rsidR="008C4190" w:rsidRDefault="008C4190" w:rsidP="008C41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who have studied at least one semester with Edge Hill University at undergraduate level.</w:t>
      </w:r>
    </w:p>
    <w:p w14:paraId="0E2DFB91" w14:textId="77777777" w:rsidR="008C4190" w:rsidRDefault="008C4190" w:rsidP="00BD033C">
      <w:pPr>
        <w:pStyle w:val="Heading3"/>
        <w:rPr>
          <w:rFonts w:eastAsia="Times New Roman"/>
          <w:lang w:eastAsia="en-GB"/>
        </w:rPr>
      </w:pPr>
      <w:bookmarkStart w:id="8" w:name="_Toc22201758"/>
      <w:r>
        <w:rPr>
          <w:rFonts w:eastAsia="Times New Roman"/>
          <w:lang w:eastAsia="en-GB"/>
        </w:rPr>
        <w:t>All students must</w:t>
      </w:r>
      <w:bookmarkEnd w:id="8"/>
    </w:p>
    <w:p w14:paraId="7F4D9777" w14:textId="4FC1CAAD" w:rsidR="00F67C86" w:rsidRPr="00F67C86" w:rsidRDefault="00BF6B72" w:rsidP="00F67C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szCs w:val="24"/>
          <w:lang w:eastAsia="en-GB"/>
        </w:rPr>
      </w:pPr>
      <w:bookmarkStart w:id="9" w:name="_Hlk93405086"/>
      <w:bookmarkStart w:id="10" w:name="_Hlk106109591"/>
      <w:r>
        <w:rPr>
          <w:rFonts w:eastAsia="Times New Roman" w:cs="Arial"/>
          <w:szCs w:val="24"/>
          <w:lang w:eastAsia="en-GB"/>
        </w:rPr>
        <w:t>have been registered on their final year of study (including registration for re-assessment purposes) and received confirmation of their undergraduate</w:t>
      </w:r>
      <w:r w:rsidR="00565E97">
        <w:rPr>
          <w:rFonts w:eastAsia="Times New Roman" w:cs="Arial"/>
          <w:szCs w:val="24"/>
          <w:lang w:eastAsia="en-GB"/>
        </w:rPr>
        <w:t>, PGCE or PGDE</w:t>
      </w:r>
      <w:r>
        <w:rPr>
          <w:rFonts w:eastAsia="Times New Roman" w:cs="Arial"/>
          <w:szCs w:val="24"/>
          <w:lang w:eastAsia="en-GB"/>
        </w:rPr>
        <w:t xml:space="preserve"> award from, and including, academic year 2022/2</w:t>
      </w:r>
      <w:bookmarkEnd w:id="9"/>
      <w:r>
        <w:rPr>
          <w:rFonts w:eastAsia="Times New Roman" w:cs="Arial"/>
          <w:szCs w:val="24"/>
          <w:lang w:eastAsia="en-GB"/>
        </w:rPr>
        <w:t>3</w:t>
      </w:r>
      <w:r w:rsidR="00F67C86">
        <w:rPr>
          <w:vertAlign w:val="superscript"/>
        </w:rPr>
        <w:footnoteReference w:id="2"/>
      </w:r>
      <w:r>
        <w:rPr>
          <w:rFonts w:eastAsia="Times New Roman" w:cs="Arial"/>
          <w:szCs w:val="24"/>
          <w:lang w:eastAsia="en-GB"/>
        </w:rPr>
        <w:t>;</w:t>
      </w:r>
    </w:p>
    <w:p w14:paraId="1518ADCA" w14:textId="2603F30A" w:rsidR="008C4190" w:rsidRDefault="008C4190" w:rsidP="008C41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have responsibility for payment of their own tuition fee, meaning they must not be in receipt of sponsorship or a contribution towards their fee from external funding. Receipt of a postgraduate loan via the Postgraduate Masters or Doctoral Loan Scheme does not count as external funding for these purposes. </w:t>
      </w:r>
    </w:p>
    <w:p w14:paraId="6ECFD620" w14:textId="3A1C0356" w:rsidR="008C4190" w:rsidRDefault="008C4190" w:rsidP="008C41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be enrolled onto an Edge Hill University Postgraduate Certificate, Diploma, taught or research </w:t>
      </w:r>
      <w:proofErr w:type="gramStart"/>
      <w:r>
        <w:rPr>
          <w:rFonts w:eastAsia="Times New Roman" w:cs="Arial"/>
          <w:szCs w:val="24"/>
          <w:lang w:eastAsia="en-GB"/>
        </w:rPr>
        <w:t>Masters</w:t>
      </w:r>
      <w:proofErr w:type="gramEnd"/>
      <w:r>
        <w:rPr>
          <w:rFonts w:eastAsia="Times New Roman" w:cs="Arial"/>
          <w:szCs w:val="24"/>
          <w:lang w:eastAsia="en-GB"/>
        </w:rPr>
        <w:t xml:space="preserve"> programme</w:t>
      </w:r>
      <w:r>
        <w:rPr>
          <w:vertAlign w:val="superscript"/>
        </w:rPr>
        <w:footnoteReference w:id="3"/>
      </w:r>
      <w:r>
        <w:rPr>
          <w:rFonts w:eastAsia="Times New Roman" w:cs="Arial"/>
          <w:color w:val="FFFFFF" w:themeColor="background1"/>
          <w:szCs w:val="24"/>
          <w:vertAlign w:val="superscript"/>
          <w:lang w:eastAsia="en-GB"/>
        </w:rPr>
        <w:footnoteReference w:id="4"/>
      </w:r>
      <w:r>
        <w:rPr>
          <w:rFonts w:eastAsia="Times New Roman" w:cs="Arial"/>
          <w:szCs w:val="24"/>
          <w:lang w:eastAsia="en-GB"/>
        </w:rPr>
        <w:t>or a Doctoral programme (PhD or Professional Doctorate) either full or part-time, commencing in 2024/25;</w:t>
      </w:r>
    </w:p>
    <w:p w14:paraId="36568F39" w14:textId="777803CF" w:rsidR="008C4190" w:rsidRDefault="008C4190" w:rsidP="008C41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be studying a minimum of 60 credits each academic year and have all modules confirmed at the start of the academic year</w:t>
      </w:r>
      <w:r w:rsidR="001D3CC7">
        <w:rPr>
          <w:rFonts w:eastAsia="Times New Roman" w:cs="Arial"/>
          <w:szCs w:val="24"/>
          <w:vertAlign w:val="superscript"/>
          <w:lang w:eastAsia="en-GB"/>
        </w:rPr>
        <w:t>4</w:t>
      </w:r>
      <w:r>
        <w:rPr>
          <w:rFonts w:eastAsia="Times New Roman" w:cs="Arial"/>
          <w:color w:val="FFFFFF" w:themeColor="background1"/>
          <w:sz w:val="2"/>
          <w:szCs w:val="24"/>
          <w:vertAlign w:val="superscript"/>
          <w:lang w:eastAsia="en-GB"/>
        </w:rPr>
        <w:footnoteReference w:id="5"/>
      </w:r>
      <w:r>
        <w:rPr>
          <w:rFonts w:eastAsia="Times New Roman" w:cs="Arial"/>
          <w:szCs w:val="24"/>
          <w:lang w:eastAsia="en-GB"/>
        </w:rPr>
        <w:t>;</w:t>
      </w:r>
    </w:p>
    <w:p w14:paraId="31C15274" w14:textId="15D1BE08" w:rsidR="008C4190" w:rsidRDefault="008C4190" w:rsidP="008C41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have no outstanding debt with the University</w:t>
      </w:r>
      <w:r w:rsidR="00B92FBA">
        <w:rPr>
          <w:rFonts w:eastAsia="Times New Roman" w:cs="Arial"/>
          <w:szCs w:val="24"/>
          <w:lang w:eastAsia="en-GB"/>
        </w:rPr>
        <w:t xml:space="preserve"> at the course start </w:t>
      </w:r>
      <w:proofErr w:type="gramStart"/>
      <w:r w:rsidR="00B92FBA">
        <w:rPr>
          <w:rFonts w:eastAsia="Times New Roman" w:cs="Arial"/>
          <w:szCs w:val="24"/>
          <w:lang w:eastAsia="en-GB"/>
        </w:rPr>
        <w:t>date</w:t>
      </w:r>
      <w:r>
        <w:rPr>
          <w:rFonts w:eastAsia="Times New Roman" w:cs="Arial"/>
          <w:szCs w:val="24"/>
          <w:lang w:eastAsia="en-GB"/>
        </w:rPr>
        <w:t>;</w:t>
      </w:r>
      <w:proofErr w:type="gramEnd"/>
    </w:p>
    <w:p w14:paraId="6084F053" w14:textId="77777777" w:rsidR="008C4190" w:rsidRDefault="008C4190" w:rsidP="008C419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not be in receipt of staff fee remission.</w:t>
      </w:r>
    </w:p>
    <w:p w14:paraId="3378038C" w14:textId="77777777" w:rsidR="008C4190" w:rsidRPr="00C86A82" w:rsidRDefault="008C4190" w:rsidP="008C4190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14:paraId="5722E3B5" w14:textId="13796252" w:rsidR="008C4190" w:rsidRPr="00FD2B2D" w:rsidRDefault="008C4190" w:rsidP="008C4190">
      <w:pPr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Subject to the above, Edge Hill students may benefit from </w:t>
      </w:r>
      <w:r w:rsidRPr="00EB4F0E">
        <w:rPr>
          <w:rFonts w:eastAsia="Times New Roman" w:cs="Arial"/>
          <w:color w:val="000000" w:themeColor="text1"/>
          <w:szCs w:val="24"/>
          <w:lang w:eastAsia="en-GB"/>
        </w:rPr>
        <w:t>20% tuition fee discount</w:t>
      </w:r>
      <w:r>
        <w:rPr>
          <w:rFonts w:eastAsia="Times New Roman" w:cs="Arial"/>
          <w:color w:val="000000" w:themeColor="text1"/>
          <w:szCs w:val="24"/>
          <w:lang w:eastAsia="en-GB"/>
        </w:rPr>
        <w:t>.</w:t>
      </w:r>
      <w:bookmarkEnd w:id="10"/>
      <w:r w:rsidR="008A16B4">
        <w:rPr>
          <w:rFonts w:eastAsia="Times New Roman" w:cs="Arial"/>
          <w:color w:val="000000" w:themeColor="text1"/>
          <w:szCs w:val="24"/>
          <w:lang w:eastAsia="en-GB"/>
        </w:rPr>
        <w:t xml:space="preserve">  </w:t>
      </w:r>
      <w:r w:rsidR="008A16B4">
        <w:t xml:space="preserve">Entitlement will only be confirmed by the University following </w:t>
      </w:r>
      <w:proofErr w:type="gramStart"/>
      <w:r w:rsidR="008A16B4">
        <w:t>enrolment, once</w:t>
      </w:r>
      <w:proofErr w:type="gramEnd"/>
      <w:r w:rsidR="008A16B4">
        <w:t xml:space="preserve"> an assessment against all criteria has been undertaken.</w:t>
      </w:r>
    </w:p>
    <w:p w14:paraId="63E55DC7" w14:textId="77777777" w:rsidR="00C86A82" w:rsidRPr="00C86A82" w:rsidRDefault="00C86A82" w:rsidP="00C86A82">
      <w:pPr>
        <w:spacing w:after="0" w:line="240" w:lineRule="auto"/>
        <w:rPr>
          <w:rFonts w:eastAsia="Times New Roman" w:cs="Arial"/>
          <w:color w:val="000000" w:themeColor="text1"/>
          <w:sz w:val="16"/>
          <w:szCs w:val="16"/>
          <w:lang w:eastAsia="en-GB"/>
        </w:rPr>
      </w:pPr>
    </w:p>
    <w:p w14:paraId="706EBC4E" w14:textId="77777777" w:rsidR="00C86A82" w:rsidRDefault="008C4190" w:rsidP="00C86A82">
      <w:pPr>
        <w:spacing w:after="0" w:line="240" w:lineRule="auto"/>
        <w:rPr>
          <w:rFonts w:eastAsia="Times New Roman" w:cs="Arial"/>
          <w:color w:val="000000" w:themeColor="text1"/>
          <w:szCs w:val="24"/>
          <w:lang w:eastAsia="en-GB"/>
        </w:rPr>
      </w:pPr>
      <w:r w:rsidRPr="00401AF4">
        <w:rPr>
          <w:rFonts w:eastAsia="Times New Roman" w:cs="Arial"/>
          <w:color w:val="000000" w:themeColor="text1"/>
          <w:szCs w:val="24"/>
          <w:lang w:eastAsia="en-GB"/>
        </w:rPr>
        <w:t xml:space="preserve">By exceptional arrangement, </w:t>
      </w:r>
      <w:r w:rsidR="00C86A82">
        <w:rPr>
          <w:rFonts w:eastAsia="Times New Roman" w:cs="Arial"/>
          <w:color w:val="000000" w:themeColor="text1"/>
          <w:szCs w:val="24"/>
          <w:lang w:eastAsia="en-GB"/>
        </w:rPr>
        <w:t xml:space="preserve">20% </w:t>
      </w:r>
      <w:r w:rsidRPr="00401AF4">
        <w:rPr>
          <w:rFonts w:eastAsia="Times New Roman" w:cs="Arial"/>
          <w:color w:val="000000" w:themeColor="text1"/>
          <w:szCs w:val="24"/>
          <w:lang w:eastAsia="en-GB"/>
        </w:rPr>
        <w:t xml:space="preserve">discount is </w:t>
      </w:r>
      <w:r w:rsidR="00C86A82">
        <w:rPr>
          <w:rFonts w:eastAsia="Times New Roman" w:cs="Arial"/>
          <w:color w:val="000000" w:themeColor="text1"/>
          <w:szCs w:val="24"/>
          <w:lang w:eastAsia="en-GB"/>
        </w:rPr>
        <w:t xml:space="preserve">also </w:t>
      </w:r>
      <w:r w:rsidRPr="00401AF4">
        <w:rPr>
          <w:rFonts w:eastAsia="Times New Roman" w:cs="Arial"/>
          <w:color w:val="000000" w:themeColor="text1"/>
          <w:szCs w:val="24"/>
          <w:lang w:eastAsia="en-GB"/>
        </w:rPr>
        <w:t>offered to Edge Hill students intercalating from MBChB Medicine to undertake postgraduate study</w:t>
      </w:r>
      <w:r w:rsidR="00C86A82">
        <w:rPr>
          <w:rFonts w:eastAsia="Times New Roman" w:cs="Arial"/>
          <w:color w:val="000000" w:themeColor="text1"/>
          <w:szCs w:val="24"/>
          <w:lang w:eastAsia="en-GB"/>
        </w:rPr>
        <w:t>.</w:t>
      </w:r>
    </w:p>
    <w:p w14:paraId="67443E8C" w14:textId="7BAD3336" w:rsidR="00EE2914" w:rsidRDefault="00FD2B2D" w:rsidP="00BD033C">
      <w:pPr>
        <w:rPr>
          <w:lang w:eastAsia="en-GB"/>
        </w:rPr>
      </w:pPr>
      <w:r>
        <w:rPr>
          <w:lang w:eastAsia="en-GB"/>
        </w:rPr>
        <w:t>The following conditions apply</w:t>
      </w:r>
      <w:r w:rsidR="00EE2914">
        <w:rPr>
          <w:lang w:eastAsia="en-GB"/>
        </w:rPr>
        <w:t>:</w:t>
      </w:r>
    </w:p>
    <w:p w14:paraId="347DD41D" w14:textId="77777777" w:rsidR="00EE2914" w:rsidRDefault="00EE2914" w:rsidP="00C86A82">
      <w:pPr>
        <w:spacing w:after="0" w:line="240" w:lineRule="auto"/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eastAsia="en-GB"/>
        </w:rPr>
      </w:pPr>
    </w:p>
    <w:p w14:paraId="6E5F6DD4" w14:textId="40205C33" w:rsidR="00FD2B2D" w:rsidRPr="00C86A82" w:rsidRDefault="00FD2B2D" w:rsidP="00BD033C">
      <w:pPr>
        <w:pStyle w:val="Heading3"/>
        <w:rPr>
          <w:rFonts w:eastAsia="Times New Roman" w:cs="Arial"/>
          <w:color w:val="000000" w:themeColor="text1"/>
          <w:lang w:eastAsia="en-GB"/>
        </w:rPr>
      </w:pPr>
      <w:r>
        <w:rPr>
          <w:rFonts w:eastAsia="Times New Roman"/>
          <w:lang w:eastAsia="en-GB"/>
        </w:rPr>
        <w:t>Students</w:t>
      </w:r>
    </w:p>
    <w:p w14:paraId="7B3F7FBB" w14:textId="34EC1632" w:rsidR="008C4190" w:rsidRPr="00FD2B2D" w:rsidRDefault="008C4190" w:rsidP="00FD2B2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 w:rsidRPr="00FD2B2D">
        <w:rPr>
          <w:rFonts w:eastAsia="Times New Roman" w:cs="Arial"/>
          <w:szCs w:val="24"/>
          <w:lang w:eastAsia="en-GB"/>
        </w:rPr>
        <w:t>will be invited to confirm their eligibility at enrolment to enable assessment of the remission.</w:t>
      </w:r>
    </w:p>
    <w:p w14:paraId="697053EE" w14:textId="71C05274" w:rsidR="00FD2B2D" w:rsidRDefault="008C4190" w:rsidP="00FD2B2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 w:rsidRPr="00FD2B2D">
        <w:rPr>
          <w:rFonts w:eastAsia="Times New Roman" w:cs="Arial"/>
          <w:szCs w:val="24"/>
          <w:lang w:eastAsia="en-GB"/>
        </w:rPr>
        <w:t xml:space="preserve">in receipt of staff fee remission </w:t>
      </w:r>
      <w:r w:rsidR="00535AD3" w:rsidRPr="00FD2B2D">
        <w:rPr>
          <w:rFonts w:eastAsia="Times New Roman" w:cs="Arial"/>
          <w:szCs w:val="24"/>
          <w:lang w:eastAsia="en-GB"/>
        </w:rPr>
        <w:t>do</w:t>
      </w:r>
      <w:r w:rsidRPr="00FD2B2D">
        <w:rPr>
          <w:rFonts w:eastAsia="Times New Roman" w:cs="Arial"/>
          <w:szCs w:val="24"/>
          <w:lang w:eastAsia="en-GB"/>
        </w:rPr>
        <w:t xml:space="preserve"> not qualify for</w:t>
      </w:r>
      <w:r w:rsidR="008B43FE" w:rsidRPr="00FD2B2D">
        <w:rPr>
          <w:rFonts w:eastAsia="Times New Roman" w:cs="Arial"/>
          <w:szCs w:val="24"/>
          <w:lang w:eastAsia="en-GB"/>
        </w:rPr>
        <w:t xml:space="preserve"> </w:t>
      </w:r>
      <w:r w:rsidR="00927F50" w:rsidRPr="00FD2B2D">
        <w:rPr>
          <w:rFonts w:eastAsia="Times New Roman" w:cs="Arial"/>
          <w:szCs w:val="24"/>
          <w:lang w:eastAsia="en-GB"/>
        </w:rPr>
        <w:t xml:space="preserve">the </w:t>
      </w:r>
      <w:r w:rsidR="008B43FE" w:rsidRPr="00FD2B2D">
        <w:rPr>
          <w:rFonts w:eastAsia="Times New Roman" w:cs="Arial"/>
          <w:szCs w:val="24"/>
          <w:lang w:eastAsia="en-GB"/>
        </w:rPr>
        <w:t>Progress to Postgraduate Award</w:t>
      </w:r>
      <w:r w:rsidRPr="00FD2B2D">
        <w:rPr>
          <w:rFonts w:eastAsia="Times New Roman" w:cs="Arial"/>
          <w:szCs w:val="24"/>
          <w:lang w:eastAsia="en-GB"/>
        </w:rPr>
        <w:t xml:space="preserve">. </w:t>
      </w:r>
    </w:p>
    <w:p w14:paraId="323B5677" w14:textId="47DB01E2" w:rsidR="00FD2B2D" w:rsidRPr="00FD2B2D" w:rsidRDefault="008C4190" w:rsidP="00FD2B2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 w:rsidRPr="00FD2B2D">
        <w:rPr>
          <w:rFonts w:eastAsia="Times New Roman" w:cs="Arial"/>
          <w:szCs w:val="24"/>
          <w:lang w:eastAsia="en-GB"/>
        </w:rPr>
        <w:t>will only be entitled to this remission for registration on one postgraduate programme</w:t>
      </w:r>
      <w:r w:rsidR="00FD2B2D">
        <w:rPr>
          <w:rFonts w:eastAsia="Times New Roman" w:cs="Arial"/>
          <w:szCs w:val="24"/>
          <w:lang w:eastAsia="en-GB"/>
        </w:rPr>
        <w:t xml:space="preserve"> only</w:t>
      </w:r>
      <w:r w:rsidRPr="00FD2B2D">
        <w:rPr>
          <w:rFonts w:eastAsia="Times New Roman" w:cs="Arial"/>
          <w:color w:val="000000" w:themeColor="text1"/>
          <w:szCs w:val="24"/>
          <w:lang w:eastAsia="en-GB"/>
        </w:rPr>
        <w:t xml:space="preserve">. </w:t>
      </w:r>
    </w:p>
    <w:p w14:paraId="38CAEEC2" w14:textId="416EB5CA" w:rsidR="00FD2B2D" w:rsidRDefault="008C4190" w:rsidP="008C419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 w:rsidRPr="00FD2B2D">
        <w:rPr>
          <w:rFonts w:eastAsia="Times New Roman" w:cs="Arial"/>
          <w:szCs w:val="24"/>
          <w:lang w:eastAsia="en-GB"/>
        </w:rPr>
        <w:t xml:space="preserve">previously awarded remission and who failed to complete or pass their programme will not normally be permitted the benefit again. However, postgraduate taught or research students transferring onto a different </w:t>
      </w:r>
      <w:r w:rsidR="006D5C00" w:rsidRPr="00FD2B2D">
        <w:rPr>
          <w:rFonts w:eastAsia="Times New Roman" w:cs="Arial"/>
          <w:szCs w:val="24"/>
          <w:lang w:eastAsia="en-GB"/>
        </w:rPr>
        <w:t xml:space="preserve">programme </w:t>
      </w:r>
      <w:r w:rsidRPr="00FD2B2D">
        <w:rPr>
          <w:rFonts w:eastAsia="Times New Roman" w:cs="Arial"/>
          <w:szCs w:val="24"/>
          <w:lang w:eastAsia="en-GB"/>
        </w:rPr>
        <w:t>will retain their benefit, where it is a qualifying course.</w:t>
      </w:r>
      <w:bookmarkStart w:id="11" w:name="_Hlk77070544"/>
    </w:p>
    <w:p w14:paraId="45489584" w14:textId="633B00E2" w:rsidR="008C4190" w:rsidRPr="00FD2B2D" w:rsidRDefault="008C4190" w:rsidP="008C419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 w:rsidRPr="00FD2B2D">
        <w:rPr>
          <w:rFonts w:eastAsia="Times New Roman" w:cs="Arial"/>
          <w:szCs w:val="24"/>
          <w:lang w:eastAsia="en-GB"/>
        </w:rPr>
        <w:t>who have had their tuition fee modified or waived for an academic session following award of Recognition of Prior/Experiential Learning (RP/EL) will not be eligible to receive this remission. Students will also not qualify for future registrations on the same programme.</w:t>
      </w:r>
      <w:bookmarkEnd w:id="11"/>
    </w:p>
    <w:p w14:paraId="0C9CB3A9" w14:textId="77777777" w:rsidR="008C4190" w:rsidRDefault="008C4190" w:rsidP="008C4190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p w14:paraId="34C8746D" w14:textId="41823366" w:rsidR="00EE2914" w:rsidRPr="00EE2914" w:rsidRDefault="00EE2914" w:rsidP="00EE291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The Progress to Postgraduate Award</w:t>
      </w:r>
      <w:r w:rsidR="008C4190" w:rsidRPr="00EE2914">
        <w:rPr>
          <w:rFonts w:eastAsia="Times New Roman" w:cs="Arial"/>
          <w:szCs w:val="24"/>
          <w:lang w:eastAsia="en-GB"/>
        </w:rPr>
        <w:t xml:space="preserve"> normally applies for the full duration of the programme, excluding any repeat years.</w:t>
      </w:r>
    </w:p>
    <w:p w14:paraId="55C351F0" w14:textId="468DB4E5" w:rsidR="00EE2914" w:rsidRPr="00EE2914" w:rsidRDefault="008C4190" w:rsidP="00EE291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 w:rsidRPr="00EE2914">
        <w:rPr>
          <w:rFonts w:eastAsia="Times New Roman" w:cs="Arial"/>
          <w:szCs w:val="24"/>
          <w:lang w:eastAsia="en-GB"/>
        </w:rPr>
        <w:t xml:space="preserve">If a sponsorship agreement is sought for payment of fees or an external bursary is awarded at any point prior to or during the programme, entitlement will </w:t>
      </w:r>
      <w:proofErr w:type="gramStart"/>
      <w:r w:rsidRPr="00EE2914">
        <w:rPr>
          <w:rFonts w:eastAsia="Times New Roman" w:cs="Arial"/>
          <w:szCs w:val="24"/>
          <w:lang w:eastAsia="en-GB"/>
        </w:rPr>
        <w:t>cease</w:t>
      </w:r>
      <w:proofErr w:type="gramEnd"/>
      <w:r w:rsidR="00915C7E">
        <w:rPr>
          <w:rFonts w:eastAsia="Times New Roman" w:cs="Arial"/>
          <w:szCs w:val="24"/>
          <w:lang w:eastAsia="en-GB"/>
        </w:rPr>
        <w:t xml:space="preserve"> </w:t>
      </w:r>
      <w:r w:rsidRPr="00EE2914">
        <w:rPr>
          <w:rFonts w:eastAsia="Times New Roman" w:cs="Arial"/>
          <w:szCs w:val="24"/>
          <w:lang w:eastAsia="en-GB"/>
        </w:rPr>
        <w:t>and the full fee becomes payable for that academic session onwards.</w:t>
      </w:r>
    </w:p>
    <w:p w14:paraId="0AE74488" w14:textId="2DA517D1" w:rsidR="00EE2914" w:rsidRPr="00EE2914" w:rsidRDefault="008C4190" w:rsidP="00EE291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 w:rsidRPr="00EE2914">
        <w:rPr>
          <w:rFonts w:eastAsia="Times New Roman" w:cs="Arial"/>
          <w:color w:val="000000" w:themeColor="text1"/>
          <w:szCs w:val="24"/>
          <w:lang w:eastAsia="en-GB"/>
        </w:rPr>
        <w:t xml:space="preserve">All students who fail to pay 1/3 of their annual tuition fee liability, within 30 days of the published first instalment date, will have their </w:t>
      </w:r>
      <w:r w:rsidR="00927F50" w:rsidRPr="00EE2914">
        <w:rPr>
          <w:rFonts w:eastAsia="Times New Roman" w:cs="Arial"/>
          <w:color w:val="000000" w:themeColor="text1"/>
          <w:szCs w:val="24"/>
          <w:lang w:eastAsia="en-GB"/>
        </w:rPr>
        <w:t>Progress to Postgraduate Award</w:t>
      </w:r>
      <w:r w:rsidRPr="00EE2914">
        <w:rPr>
          <w:rFonts w:eastAsia="Times New Roman" w:cs="Arial"/>
          <w:color w:val="000000" w:themeColor="text1"/>
          <w:szCs w:val="24"/>
          <w:lang w:eastAsia="en-GB"/>
        </w:rPr>
        <w:t xml:space="preserve"> withdrawn without exception, and the full fee will become payable. </w:t>
      </w:r>
      <w:r w:rsidR="00927F50" w:rsidRPr="00EE2914">
        <w:rPr>
          <w:rFonts w:eastAsia="Times New Roman" w:cs="Arial"/>
          <w:color w:val="000000" w:themeColor="text1"/>
          <w:szCs w:val="24"/>
          <w:lang w:eastAsia="en-GB"/>
        </w:rPr>
        <w:t>T</w:t>
      </w:r>
      <w:r w:rsidR="00861E6E">
        <w:rPr>
          <w:rFonts w:eastAsia="Times New Roman" w:cs="Arial"/>
          <w:color w:val="000000" w:themeColor="text1"/>
          <w:szCs w:val="24"/>
          <w:lang w:eastAsia="en-GB"/>
        </w:rPr>
        <w:t>his benefit</w:t>
      </w:r>
      <w:r w:rsidRPr="00EE2914">
        <w:rPr>
          <w:rFonts w:eastAsia="Times New Roman" w:cs="Arial"/>
          <w:color w:val="000000" w:themeColor="text1"/>
          <w:szCs w:val="24"/>
          <w:lang w:eastAsia="en-GB"/>
        </w:rPr>
        <w:t xml:space="preserve"> will not be reinstated following late payment. </w:t>
      </w:r>
    </w:p>
    <w:p w14:paraId="5E4DB974" w14:textId="77777777" w:rsidR="00EE2914" w:rsidRDefault="00EE2914" w:rsidP="00EE29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</w:p>
    <w:p w14:paraId="77AB31F5" w14:textId="2E62926D" w:rsidR="008C4190" w:rsidRPr="00EE2914" w:rsidRDefault="008C4190" w:rsidP="00EE29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GB"/>
        </w:rPr>
      </w:pPr>
      <w:r w:rsidRPr="00EE2914">
        <w:rPr>
          <w:rFonts w:eastAsia="Times New Roman" w:cs="Arial"/>
          <w:szCs w:val="24"/>
          <w:lang w:eastAsia="en-GB"/>
        </w:rPr>
        <w:t>For further information contact the Fees and Bursaries Team in Academic Registry</w:t>
      </w:r>
      <w:r w:rsidR="00AA2901" w:rsidRPr="00EE2914">
        <w:rPr>
          <w:rFonts w:eastAsia="Times New Roman" w:cs="Arial"/>
          <w:szCs w:val="24"/>
          <w:lang w:eastAsia="en-GB"/>
        </w:rPr>
        <w:t xml:space="preserve"> at </w:t>
      </w:r>
      <w:hyperlink r:id="rId8" w:history="1">
        <w:r w:rsidRPr="00EE2914">
          <w:rPr>
            <w:rStyle w:val="Hyperlink"/>
            <w:rFonts w:eastAsia="Times New Roman" w:cs="Arial"/>
            <w:color w:val="000000" w:themeColor="text1"/>
            <w:szCs w:val="24"/>
            <w:lang w:eastAsia="en-GB"/>
          </w:rPr>
          <w:t>TuitionFees@edgehill.ac.uk</w:t>
        </w:r>
      </w:hyperlink>
      <w:r w:rsidRPr="00EE2914">
        <w:rPr>
          <w:rFonts w:eastAsia="Times New Roman" w:cs="Arial"/>
          <w:color w:val="000000" w:themeColor="text1"/>
          <w:szCs w:val="24"/>
          <w:lang w:eastAsia="en-GB"/>
        </w:rPr>
        <w:t xml:space="preserve">. </w:t>
      </w:r>
    </w:p>
    <w:p w14:paraId="7DA87DD5" w14:textId="77777777" w:rsidR="008C4190" w:rsidRDefault="008C4190" w:rsidP="008C419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12" w:name="_Toc22201759"/>
    </w:p>
    <w:p w14:paraId="66FB0E4D" w14:textId="77777777" w:rsidR="00EE2914" w:rsidRDefault="00EE2914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 w:type="page"/>
      </w:r>
    </w:p>
    <w:p w14:paraId="43F06212" w14:textId="66D07A92" w:rsidR="008C4190" w:rsidRPr="009C6B49" w:rsidRDefault="008C4190" w:rsidP="00BD033C">
      <w:pPr>
        <w:pStyle w:val="Heading2"/>
      </w:pPr>
      <w:r>
        <w:lastRenderedPageBreak/>
        <w:t>Key to Relevant Documents</w:t>
      </w:r>
      <w:bookmarkEnd w:id="12"/>
      <w:r>
        <w:t xml:space="preserve"> </w:t>
      </w:r>
    </w:p>
    <w:p w14:paraId="77EF1298" w14:textId="77777777" w:rsidR="008C4190" w:rsidRDefault="008C4190" w:rsidP="008C4190">
      <w:pPr>
        <w:spacing w:line="240" w:lineRule="auto"/>
      </w:pPr>
      <w:r>
        <w:t>This procedure does not refer to other documents.</w:t>
      </w:r>
    </w:p>
    <w:p w14:paraId="29A94B0E" w14:textId="77777777" w:rsidR="008C4190" w:rsidRDefault="008C4190" w:rsidP="00BD033C">
      <w:pPr>
        <w:pStyle w:val="Heading2"/>
      </w:pPr>
      <w:bookmarkStart w:id="13" w:name="_Toc22201760"/>
      <w:r>
        <w:t>Annexes</w:t>
      </w:r>
      <w:bookmarkEnd w:id="13"/>
      <w:r>
        <w:t xml:space="preserve"> </w:t>
      </w:r>
    </w:p>
    <w:p w14:paraId="5EB1190C" w14:textId="77777777" w:rsidR="008C4190" w:rsidRDefault="008C4190" w:rsidP="008C4190">
      <w:pPr>
        <w:keepNext/>
        <w:keepLines/>
        <w:spacing w:before="240" w:after="0"/>
        <w:outlineLvl w:val="0"/>
        <w:rPr>
          <w:rFonts w:eastAsiaTheme="majorEastAsia" w:cs="Arial"/>
          <w:szCs w:val="24"/>
        </w:rPr>
      </w:pPr>
      <w:bookmarkStart w:id="14" w:name="_Toc22199175"/>
      <w:bookmarkStart w:id="15" w:name="_Toc22201761"/>
      <w:r>
        <w:rPr>
          <w:rFonts w:eastAsiaTheme="majorEastAsia" w:cs="Arial"/>
          <w:szCs w:val="24"/>
        </w:rPr>
        <w:t>This procedure does not contain any additional information.</w:t>
      </w:r>
      <w:bookmarkEnd w:id="14"/>
      <w:bookmarkEnd w:id="15"/>
      <w:r>
        <w:rPr>
          <w:rFonts w:eastAsiaTheme="majorEastAsia" w:cs="Arial"/>
          <w:szCs w:val="24"/>
        </w:rPr>
        <w:t xml:space="preserve"> </w:t>
      </w:r>
    </w:p>
    <w:p w14:paraId="4B1ACDB5" w14:textId="77777777" w:rsidR="008C4190" w:rsidRDefault="008C4190" w:rsidP="008C4190">
      <w:pPr>
        <w:rPr>
          <w:rFonts w:eastAsiaTheme="majorEastAsia" w:cs="Arial"/>
          <w:szCs w:val="24"/>
        </w:rPr>
      </w:pPr>
      <w:r>
        <w:rPr>
          <w:rFonts w:eastAsiaTheme="majorEastAsia" w:cs="Arial"/>
          <w:szCs w:val="24"/>
        </w:rPr>
        <w:br w:type="page"/>
      </w:r>
    </w:p>
    <w:p w14:paraId="5E526541" w14:textId="77777777" w:rsidR="008C4190" w:rsidRDefault="008C4190" w:rsidP="00BD033C">
      <w:pPr>
        <w:pStyle w:val="Heading2"/>
      </w:pPr>
      <w:proofErr w:type="spellStart"/>
      <w:r>
        <w:lastRenderedPageBreak/>
        <w:t>Endmatter</w:t>
      </w:r>
      <w:proofErr w:type="spellEnd"/>
    </w:p>
    <w:p w14:paraId="1A0359EA" w14:textId="77777777" w:rsidR="008C4190" w:rsidRDefault="008C4190" w:rsidP="008C419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52"/>
        <w:gridCol w:w="6264"/>
      </w:tblGrid>
      <w:tr w:rsidR="008C4190" w14:paraId="10E9451D" w14:textId="77777777" w:rsidTr="00BD033C">
        <w:trPr>
          <w:cantSplit/>
          <w:tblHeader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1DAF" w14:textId="77777777" w:rsidR="008C4190" w:rsidRDefault="008C4190" w:rsidP="00A35EF3">
            <w:r>
              <w:t>Title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747A" w14:textId="731AC7FD" w:rsidR="008C4190" w:rsidRDefault="008C4190" w:rsidP="00A35EF3">
            <w:r>
              <w:t xml:space="preserve">2024/25 </w:t>
            </w:r>
            <w:r w:rsidR="00927F50">
              <w:t>Progress to Postgraduate Award</w:t>
            </w:r>
            <w:r>
              <w:t xml:space="preserve"> Procedure</w:t>
            </w:r>
          </w:p>
        </w:tc>
      </w:tr>
      <w:tr w:rsidR="008C4190" w14:paraId="7B2A3F8F" w14:textId="77777777" w:rsidTr="00BD033C">
        <w:trPr>
          <w:cantSplit/>
          <w:tblHeader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2660" w14:textId="77777777" w:rsidR="008C4190" w:rsidRDefault="008C4190" w:rsidP="00A35EF3">
            <w:r>
              <w:t>Policy Owner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1D98" w14:textId="24CF74BA" w:rsidR="008C4190" w:rsidRDefault="008C4190" w:rsidP="00A35EF3">
            <w:r>
              <w:t xml:space="preserve">Assistant Registrar: Fees </w:t>
            </w:r>
            <w:r w:rsidR="00C11F36">
              <w:t>and</w:t>
            </w:r>
            <w:r>
              <w:t xml:space="preserve"> Bursaries</w:t>
            </w:r>
          </w:p>
        </w:tc>
      </w:tr>
      <w:tr w:rsidR="008C4190" w14:paraId="1C5663BE" w14:textId="77777777" w:rsidTr="00BD033C">
        <w:trPr>
          <w:cantSplit/>
          <w:tblHeader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4E28" w14:textId="77777777" w:rsidR="008C4190" w:rsidRDefault="008C4190" w:rsidP="00A35EF3">
            <w:r>
              <w:t>Approved by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C16" w14:textId="77777777" w:rsidR="008C4190" w:rsidRDefault="008C4190" w:rsidP="00A35EF3">
            <w:r>
              <w:t>Pro Vice-Chancellor University Secretary</w:t>
            </w:r>
          </w:p>
        </w:tc>
      </w:tr>
      <w:tr w:rsidR="008C4190" w14:paraId="3325F101" w14:textId="77777777" w:rsidTr="00BD033C">
        <w:trPr>
          <w:cantSplit/>
          <w:tblHeader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B4B" w14:textId="77777777" w:rsidR="008C4190" w:rsidRDefault="008C4190" w:rsidP="00A35EF3">
            <w:r>
              <w:t>Date of Approval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A9B8" w14:textId="2B4D138A" w:rsidR="008C4190" w:rsidRDefault="00C11F36" w:rsidP="00A35EF3">
            <w:r>
              <w:t>27 October 2023</w:t>
            </w:r>
          </w:p>
        </w:tc>
      </w:tr>
      <w:tr w:rsidR="008C4190" w14:paraId="39D96AAA" w14:textId="77777777" w:rsidTr="00BD033C">
        <w:trPr>
          <w:cantSplit/>
          <w:tblHeader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8243" w14:textId="77777777" w:rsidR="008C4190" w:rsidRDefault="008C4190" w:rsidP="00A35EF3">
            <w:r>
              <w:t xml:space="preserve">Date for Review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871" w14:textId="26F9C9FA" w:rsidR="008C4190" w:rsidRDefault="00C11F36" w:rsidP="00A35EF3">
            <w:r>
              <w:t>July 2025</w:t>
            </w:r>
          </w:p>
        </w:tc>
      </w:tr>
    </w:tbl>
    <w:p w14:paraId="64DDE003" w14:textId="77777777" w:rsidR="008C4190" w:rsidRDefault="008C4190" w:rsidP="008C4190"/>
    <w:p w14:paraId="2EE7AE47" w14:textId="77777777" w:rsidR="008C4190" w:rsidRDefault="008C4190" w:rsidP="008C4190">
      <w:pPr>
        <w:keepNext/>
        <w:keepLines/>
        <w:spacing w:before="240" w:after="0"/>
        <w:outlineLvl w:val="0"/>
        <w:rPr>
          <w:rFonts w:eastAsiaTheme="majorEastAsia" w:cs="Arial"/>
          <w:szCs w:val="24"/>
        </w:rPr>
      </w:pPr>
    </w:p>
    <w:p w14:paraId="0915B5CF" w14:textId="77777777" w:rsidR="008C4190" w:rsidRPr="00401AF4" w:rsidRDefault="008C4190" w:rsidP="008C4190">
      <w:pPr>
        <w:rPr>
          <w:rFonts w:eastAsiaTheme="majorEastAsia" w:cs="Arial"/>
          <w:szCs w:val="24"/>
        </w:rPr>
      </w:pPr>
    </w:p>
    <w:p w14:paraId="59F27A66" w14:textId="3E41E1E7" w:rsidR="006B7DBB" w:rsidRDefault="006B7DBB" w:rsidP="006B7DBB"/>
    <w:sectPr w:rsidR="006B7DBB" w:rsidSect="003417C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7D2B" w14:textId="77777777" w:rsidR="003417CE" w:rsidRDefault="003417CE" w:rsidP="002D2D60">
      <w:pPr>
        <w:spacing w:after="0" w:line="240" w:lineRule="auto"/>
      </w:pPr>
      <w:r>
        <w:separator/>
      </w:r>
    </w:p>
  </w:endnote>
  <w:endnote w:type="continuationSeparator" w:id="0">
    <w:p w14:paraId="677F399A" w14:textId="77777777" w:rsidR="003417CE" w:rsidRDefault="003417CE" w:rsidP="002D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3D6A4" w14:textId="0BA95286" w:rsidR="000531C0" w:rsidRDefault="00053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9AC3E2" w14:textId="77777777" w:rsidR="00BF6B72" w:rsidRDefault="00BF6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B673" w14:textId="77777777" w:rsidR="003417CE" w:rsidRDefault="003417CE" w:rsidP="002D2D60">
      <w:pPr>
        <w:spacing w:after="0" w:line="240" w:lineRule="auto"/>
      </w:pPr>
      <w:r>
        <w:separator/>
      </w:r>
    </w:p>
  </w:footnote>
  <w:footnote w:type="continuationSeparator" w:id="0">
    <w:p w14:paraId="1F70D360" w14:textId="77777777" w:rsidR="003417CE" w:rsidRDefault="003417CE" w:rsidP="002D2D60">
      <w:pPr>
        <w:spacing w:after="0" w:line="240" w:lineRule="auto"/>
      </w:pPr>
      <w:r>
        <w:continuationSeparator/>
      </w:r>
    </w:p>
  </w:footnote>
  <w:footnote w:id="1">
    <w:p w14:paraId="20EC7BC6" w14:textId="48487D00" w:rsidR="008C4190" w:rsidRDefault="008C4190" w:rsidP="008C4190">
      <w:pPr>
        <w:pStyle w:val="FootnoteText"/>
      </w:pPr>
      <w:r>
        <w:rPr>
          <w:rStyle w:val="FootnoteReference"/>
        </w:rPr>
        <w:footnoteRef/>
      </w:r>
      <w:r>
        <w:t xml:space="preserve"> Exclud</w:t>
      </w:r>
      <w:r w:rsidR="006B5544">
        <w:t>ing</w:t>
      </w:r>
      <w:r>
        <w:t xml:space="preserve"> </w:t>
      </w:r>
      <w:r w:rsidR="006B5544">
        <w:t>e</w:t>
      </w:r>
      <w:r>
        <w:t xml:space="preserve">xit </w:t>
      </w:r>
      <w:r w:rsidR="006B5544">
        <w:t>a</w:t>
      </w:r>
      <w:r>
        <w:t xml:space="preserve">wards </w:t>
      </w:r>
    </w:p>
  </w:footnote>
  <w:footnote w:id="2">
    <w:p w14:paraId="55E64DD5" w14:textId="6615FDBA" w:rsidR="00F67C86" w:rsidRDefault="00F67C86" w:rsidP="00F67C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Arial"/>
          <w:color w:val="000000" w:themeColor="text1"/>
          <w:szCs w:val="24"/>
          <w:lang w:eastAsia="en-GB"/>
        </w:rPr>
        <w:t>The academic year in which a student completes, is the year their degree is formerly awarded at an Academic Assessment Board</w:t>
      </w:r>
    </w:p>
  </w:footnote>
  <w:footnote w:id="3">
    <w:p w14:paraId="2B552FE6" w14:textId="24DF68E6" w:rsidR="008C4190" w:rsidRDefault="008C4190" w:rsidP="008C4190">
      <w:pPr>
        <w:pStyle w:val="FootnoteText"/>
      </w:pPr>
      <w:r>
        <w:rPr>
          <w:rStyle w:val="FootnoteReference"/>
        </w:rPr>
        <w:footnoteRef/>
      </w:r>
      <w:r>
        <w:t xml:space="preserve"> Excludes P</w:t>
      </w:r>
      <w:r>
        <w:rPr>
          <w:rFonts w:eastAsia="Times New Roman" w:cs="Arial"/>
          <w:lang w:eastAsia="en-GB"/>
        </w:rPr>
        <w:t xml:space="preserve">GCE, </w:t>
      </w:r>
      <w:r w:rsidR="001D3CC7">
        <w:rPr>
          <w:rFonts w:eastAsia="Times New Roman" w:cs="Arial"/>
          <w:lang w:eastAsia="en-GB"/>
        </w:rPr>
        <w:t xml:space="preserve">Postgraduate Diploma in Teaching (Further Education and Skills), </w:t>
      </w:r>
      <w:r>
        <w:rPr>
          <w:rFonts w:eastAsia="Times New Roman" w:cs="Arial"/>
          <w:lang w:eastAsia="en-GB"/>
        </w:rPr>
        <w:t xml:space="preserve">Integrated Masters, MSc Midwifery, MSc Nursing, MSc Advanced Fertility Practice, MSc Clinical Reproductive Medicine, PGDip Nursing, PG Cert Medical Leadership and MCh/MMed </w:t>
      </w:r>
      <w:proofErr w:type="gramStart"/>
      <w:r>
        <w:rPr>
          <w:rFonts w:eastAsia="Times New Roman" w:cs="Arial"/>
          <w:lang w:eastAsia="en-GB"/>
        </w:rPr>
        <w:t>programmes</w:t>
      </w:r>
      <w:proofErr w:type="gramEnd"/>
    </w:p>
  </w:footnote>
  <w:footnote w:id="4">
    <w:p w14:paraId="7E1B63A4" w14:textId="77777777" w:rsidR="008C4190" w:rsidRDefault="008C4190" w:rsidP="008C41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Arial"/>
          <w:szCs w:val="24"/>
          <w:lang w:eastAsia="en-GB"/>
        </w:rPr>
        <w:t xml:space="preserve">Exception is granted for PGCert SpLD Dyslexia, part time MSc Psychotherapy and Counselling, MRes, PhD and Professional Doctorate courses only, where course delivery does not allow for a curriculum of 60 </w:t>
      </w:r>
      <w:proofErr w:type="gramStart"/>
      <w:r>
        <w:rPr>
          <w:rFonts w:eastAsia="Times New Roman" w:cs="Arial"/>
          <w:szCs w:val="24"/>
          <w:lang w:eastAsia="en-GB"/>
        </w:rPr>
        <w:t>credits</w:t>
      </w:r>
      <w:proofErr w:type="gramEnd"/>
    </w:p>
  </w:footnote>
  <w:footnote w:id="5">
    <w:p w14:paraId="7BCA89A7" w14:textId="77777777" w:rsidR="008C4190" w:rsidRDefault="008C4190" w:rsidP="008C4190">
      <w:pPr>
        <w:pStyle w:val="FootnoteText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D85E" w14:textId="67076167" w:rsidR="002D2D60" w:rsidRDefault="002E4131" w:rsidP="002D2D60">
    <w:pPr>
      <w:pStyle w:val="Header"/>
      <w:jc w:val="right"/>
    </w:pPr>
    <w:r>
      <w:t>V</w:t>
    </w:r>
    <w:r w:rsidR="0081559B">
      <w:t>0.</w:t>
    </w:r>
    <w:r w:rsidR="00A04BC2">
      <w:t>5</w:t>
    </w:r>
  </w:p>
  <w:p w14:paraId="59319C76" w14:textId="77777777" w:rsidR="008A16B4" w:rsidRDefault="008A16B4" w:rsidP="002D2D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5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20321"/>
    <w:multiLevelType w:val="hybridMultilevel"/>
    <w:tmpl w:val="6090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11B5"/>
    <w:multiLevelType w:val="hybridMultilevel"/>
    <w:tmpl w:val="18F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3E80"/>
    <w:multiLevelType w:val="hybridMultilevel"/>
    <w:tmpl w:val="F6583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316E5"/>
    <w:multiLevelType w:val="multilevel"/>
    <w:tmpl w:val="EA2ACD0C"/>
    <w:lvl w:ilvl="0">
      <w:start w:val="1"/>
      <w:numFmt w:val="upperRoman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352FCF"/>
    <w:multiLevelType w:val="multilevel"/>
    <w:tmpl w:val="8DD0F320"/>
    <w:lvl w:ilvl="0">
      <w:start w:val="1"/>
      <w:numFmt w:val="upperRoman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4C19DB"/>
    <w:multiLevelType w:val="hybridMultilevel"/>
    <w:tmpl w:val="51383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F7449"/>
    <w:multiLevelType w:val="hybridMultilevel"/>
    <w:tmpl w:val="E5D6D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372BF"/>
    <w:multiLevelType w:val="hybridMultilevel"/>
    <w:tmpl w:val="1B36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E6F44"/>
    <w:multiLevelType w:val="hybridMultilevel"/>
    <w:tmpl w:val="940E6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3466D7"/>
    <w:multiLevelType w:val="multilevel"/>
    <w:tmpl w:val="4104A022"/>
    <w:lvl w:ilvl="0">
      <w:start w:val="1"/>
      <w:numFmt w:val="lowerRoman"/>
      <w:lvlText w:val="%1."/>
      <w:lvlJc w:val="left"/>
      <w:pPr>
        <w:tabs>
          <w:tab w:val="left" w:pos="1080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7F2740"/>
    <w:multiLevelType w:val="multilevel"/>
    <w:tmpl w:val="EF16B9E8"/>
    <w:lvl w:ilvl="0">
      <w:start w:val="1"/>
      <w:numFmt w:val="upperRoman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7D265F"/>
    <w:multiLevelType w:val="hybridMultilevel"/>
    <w:tmpl w:val="BE9C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73B4C"/>
    <w:multiLevelType w:val="hybridMultilevel"/>
    <w:tmpl w:val="2CCE23BA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B508D8"/>
    <w:multiLevelType w:val="hybridMultilevel"/>
    <w:tmpl w:val="76A6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11EAB"/>
    <w:multiLevelType w:val="hybridMultilevel"/>
    <w:tmpl w:val="6B9839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9143118">
    <w:abstractNumId w:val="3"/>
  </w:num>
  <w:num w:numId="2" w16cid:durableId="1089233121">
    <w:abstractNumId w:val="15"/>
  </w:num>
  <w:num w:numId="3" w16cid:durableId="2026127428">
    <w:abstractNumId w:val="9"/>
  </w:num>
  <w:num w:numId="4" w16cid:durableId="1810241628">
    <w:abstractNumId w:val="7"/>
  </w:num>
  <w:num w:numId="5" w16cid:durableId="1616521207">
    <w:abstractNumId w:val="8"/>
  </w:num>
  <w:num w:numId="6" w16cid:durableId="1931037206">
    <w:abstractNumId w:val="2"/>
  </w:num>
  <w:num w:numId="7" w16cid:durableId="70854601">
    <w:abstractNumId w:val="1"/>
  </w:num>
  <w:num w:numId="8" w16cid:durableId="1943955988">
    <w:abstractNumId w:val="6"/>
  </w:num>
  <w:num w:numId="9" w16cid:durableId="1013724566">
    <w:abstractNumId w:val="13"/>
  </w:num>
  <w:num w:numId="10" w16cid:durableId="1999114937">
    <w:abstractNumId w:val="0"/>
  </w:num>
  <w:num w:numId="11" w16cid:durableId="1891647904">
    <w:abstractNumId w:val="4"/>
  </w:num>
  <w:num w:numId="12" w16cid:durableId="1520244079">
    <w:abstractNumId w:val="11"/>
  </w:num>
  <w:num w:numId="13" w16cid:durableId="1692225852">
    <w:abstractNumId w:val="5"/>
  </w:num>
  <w:num w:numId="14" w16cid:durableId="1018197938">
    <w:abstractNumId w:val="10"/>
  </w:num>
  <w:num w:numId="15" w16cid:durableId="861095317">
    <w:abstractNumId w:val="14"/>
  </w:num>
  <w:num w:numId="16" w16cid:durableId="1445078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5C"/>
    <w:rsid w:val="000219D8"/>
    <w:rsid w:val="0002357C"/>
    <w:rsid w:val="00034A58"/>
    <w:rsid w:val="000416F7"/>
    <w:rsid w:val="000531C0"/>
    <w:rsid w:val="00067429"/>
    <w:rsid w:val="000A5011"/>
    <w:rsid w:val="000E7717"/>
    <w:rsid w:val="000F3143"/>
    <w:rsid w:val="001206C7"/>
    <w:rsid w:val="0012288E"/>
    <w:rsid w:val="001775BE"/>
    <w:rsid w:val="001D3CC7"/>
    <w:rsid w:val="001E09C3"/>
    <w:rsid w:val="001E4AD6"/>
    <w:rsid w:val="0025238E"/>
    <w:rsid w:val="002569F7"/>
    <w:rsid w:val="002C05F8"/>
    <w:rsid w:val="002C5D49"/>
    <w:rsid w:val="002D2D60"/>
    <w:rsid w:val="002E4131"/>
    <w:rsid w:val="002F439E"/>
    <w:rsid w:val="00306B3A"/>
    <w:rsid w:val="003417CE"/>
    <w:rsid w:val="00374F16"/>
    <w:rsid w:val="00396A6B"/>
    <w:rsid w:val="003D6427"/>
    <w:rsid w:val="003E6E16"/>
    <w:rsid w:val="003F541E"/>
    <w:rsid w:val="003F59A9"/>
    <w:rsid w:val="004050E3"/>
    <w:rsid w:val="004263D4"/>
    <w:rsid w:val="00464580"/>
    <w:rsid w:val="00482FB2"/>
    <w:rsid w:val="00511E90"/>
    <w:rsid w:val="00535AD3"/>
    <w:rsid w:val="00552FBE"/>
    <w:rsid w:val="0056024C"/>
    <w:rsid w:val="00565E97"/>
    <w:rsid w:val="0059585C"/>
    <w:rsid w:val="0059647B"/>
    <w:rsid w:val="005B4EAE"/>
    <w:rsid w:val="005C715D"/>
    <w:rsid w:val="005C7BF2"/>
    <w:rsid w:val="005D43BE"/>
    <w:rsid w:val="006A3E8C"/>
    <w:rsid w:val="006B36D3"/>
    <w:rsid w:val="006B4EEB"/>
    <w:rsid w:val="006B5544"/>
    <w:rsid w:val="006B7DBB"/>
    <w:rsid w:val="006D5C00"/>
    <w:rsid w:val="00707A2A"/>
    <w:rsid w:val="00722685"/>
    <w:rsid w:val="00730F77"/>
    <w:rsid w:val="0073511E"/>
    <w:rsid w:val="00741ECA"/>
    <w:rsid w:val="007515B1"/>
    <w:rsid w:val="00783238"/>
    <w:rsid w:val="007B1032"/>
    <w:rsid w:val="007B2E05"/>
    <w:rsid w:val="0081559B"/>
    <w:rsid w:val="00861E5D"/>
    <w:rsid w:val="00861E6E"/>
    <w:rsid w:val="008A16B4"/>
    <w:rsid w:val="008B43FE"/>
    <w:rsid w:val="008B53EA"/>
    <w:rsid w:val="008C4190"/>
    <w:rsid w:val="00915C7E"/>
    <w:rsid w:val="00924494"/>
    <w:rsid w:val="00925C9F"/>
    <w:rsid w:val="00927F50"/>
    <w:rsid w:val="00957A02"/>
    <w:rsid w:val="00971F84"/>
    <w:rsid w:val="009B6845"/>
    <w:rsid w:val="009D7376"/>
    <w:rsid w:val="009E0E3A"/>
    <w:rsid w:val="00A04BC2"/>
    <w:rsid w:val="00A06EAD"/>
    <w:rsid w:val="00A07868"/>
    <w:rsid w:val="00A37721"/>
    <w:rsid w:val="00A43031"/>
    <w:rsid w:val="00A516F8"/>
    <w:rsid w:val="00A57B38"/>
    <w:rsid w:val="00A91BD4"/>
    <w:rsid w:val="00AA2901"/>
    <w:rsid w:val="00AC09AD"/>
    <w:rsid w:val="00AE7983"/>
    <w:rsid w:val="00B404A5"/>
    <w:rsid w:val="00B92FBA"/>
    <w:rsid w:val="00BA39EB"/>
    <w:rsid w:val="00BD033C"/>
    <w:rsid w:val="00BD671A"/>
    <w:rsid w:val="00BF6B72"/>
    <w:rsid w:val="00C01F00"/>
    <w:rsid w:val="00C0431D"/>
    <w:rsid w:val="00C11F36"/>
    <w:rsid w:val="00C15D4D"/>
    <w:rsid w:val="00C25F64"/>
    <w:rsid w:val="00C26386"/>
    <w:rsid w:val="00C31010"/>
    <w:rsid w:val="00C86A82"/>
    <w:rsid w:val="00CA6841"/>
    <w:rsid w:val="00CD3F8A"/>
    <w:rsid w:val="00CF75EE"/>
    <w:rsid w:val="00D309F7"/>
    <w:rsid w:val="00D40537"/>
    <w:rsid w:val="00DC5974"/>
    <w:rsid w:val="00DD6B52"/>
    <w:rsid w:val="00DD7B7F"/>
    <w:rsid w:val="00DE71B1"/>
    <w:rsid w:val="00E165A5"/>
    <w:rsid w:val="00E83726"/>
    <w:rsid w:val="00E91229"/>
    <w:rsid w:val="00EB4F0E"/>
    <w:rsid w:val="00ED3092"/>
    <w:rsid w:val="00EE2914"/>
    <w:rsid w:val="00F3575C"/>
    <w:rsid w:val="00F67C86"/>
    <w:rsid w:val="00F73CC7"/>
    <w:rsid w:val="00F85C66"/>
    <w:rsid w:val="00FB44F6"/>
    <w:rsid w:val="00FB7709"/>
    <w:rsid w:val="00FD2B2D"/>
    <w:rsid w:val="00FD6A33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EB3BF"/>
  <w15:chartTrackingRefBased/>
  <w15:docId w15:val="{506F245F-AC09-4B32-B2CF-6331CF08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5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3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35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6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60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E165A5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165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5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5A5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65A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9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9D8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219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912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33C"/>
    <w:rPr>
      <w:rFonts w:asciiTheme="majorHAnsi" w:eastAsiaTheme="majorEastAsia" w:hAnsiTheme="majorHAnsi" w:cstheme="majorBidi"/>
      <w:color w:val="365F91" w:themeColor="accent1" w:themeShade="BF"/>
      <w:sz w:val="32"/>
      <w:szCs w:val="26"/>
    </w:rPr>
  </w:style>
  <w:style w:type="paragraph" w:styleId="ListParagraph">
    <w:name w:val="List Paragraph"/>
    <w:basedOn w:val="Normal"/>
    <w:uiPriority w:val="34"/>
    <w:qFormat/>
    <w:rsid w:val="00E912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B7DB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7D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7DBB"/>
    <w:pPr>
      <w:spacing w:after="100"/>
      <w:ind w:left="240"/>
    </w:pPr>
  </w:style>
  <w:style w:type="paragraph" w:customStyle="1" w:styleId="Default">
    <w:name w:val="Default"/>
    <w:rsid w:val="006B7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03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033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tionFees@edgehil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8D1E-379D-4D65-B087-9D4D9FAB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Poole</dc:creator>
  <cp:keywords/>
  <dc:description/>
  <cp:lastModifiedBy>Julie Harrison</cp:lastModifiedBy>
  <cp:revision>2</cp:revision>
  <cp:lastPrinted>2024-03-25T12:47:00Z</cp:lastPrinted>
  <dcterms:created xsi:type="dcterms:W3CDTF">2024-03-27T11:36:00Z</dcterms:created>
  <dcterms:modified xsi:type="dcterms:W3CDTF">2024-03-27T11:36:00Z</dcterms:modified>
</cp:coreProperties>
</file>